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ind w:firstLine="0"/>
        <w:rPr>
          <w:rFonts w:ascii="方正黑体_GBK" w:eastAsia="方正黑体_GBK" w:cs="方正黑体_GBK"/>
          <w:sz w:val="32"/>
          <w:szCs w:val="32"/>
        </w:rPr>
      </w:pPr>
      <w:bookmarkStart w:id="0" w:name="_GoBack"/>
      <w:bookmarkEnd w:id="0"/>
      <w:r>
        <w:rPr>
          <w:rFonts w:ascii="方正黑体_GBK" w:eastAsia="方正黑体_GBK" w:cs="方正黑体_GBK" w:hint="eastAsia"/>
          <w:sz w:val="32"/>
          <w:szCs w:val="32"/>
        </w:rPr>
        <w:t>附件1</w:t>
      </w:r>
    </w:p>
    <w:p>
      <w:pPr>
        <w:spacing w:line="560" w:lineRule="exact"/>
        <w:jc w:val="center"/>
        <w:rPr>
          <w:rFonts w:ascii="方正小标宋_GBK" w:eastAsia="方正小标宋_GBK" w:cs="方正小标宋_GBK"/>
          <w:sz w:val="44"/>
          <w:szCs w:val="44"/>
        </w:rPr>
      </w:pPr>
      <w:r>
        <w:rPr>
          <w:rFonts w:ascii="方正小标宋_GBK" w:eastAsia="方正小标宋_GBK" w:cs="方正小标宋_GBK" w:hint="eastAsia"/>
          <w:sz w:val="44"/>
          <w:szCs w:val="44"/>
        </w:rPr>
        <w:t>比选采购需求书</w:t>
      </w:r>
    </w:p>
    <w:tbl>
      <w:tblPr>
        <w:jc w:val="left"/>
        <w:tblInd w:w="0" w:type="dxa"/>
        <w:tblW w:w="9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3"/>
        <w:gridCol w:w="6877"/>
      </w:tblGrid>
      <w:tr>
        <w:tc>
          <w:tcPr>
            <w:tcW w:w="906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楷体_GBK" w:eastAsia="方正楷体_GBK" w:cs="方正楷体_GBK" w:hint="eastAsia"/>
                <w:sz w:val="32"/>
                <w:szCs w:val="32"/>
              </w:rPr>
              <w:t>基础信息栏</w:t>
            </w:r>
          </w:p>
        </w:tc>
      </w:tr>
      <w:tr>
        <w:tc>
          <w:tcPr>
            <w:tcW w:w="2183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项目名称</w:t>
            </w:r>
          </w:p>
        </w:tc>
        <w:tc>
          <w:tcPr>
            <w:tcW w:w="6877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32"/>
                <w:szCs w:val="32"/>
              </w:rPr>
              <w:t>东乌</w:t>
            </w:r>
            <w:r>
              <w:rPr>
                <w:rFonts w:ascii="方正仿宋_GBK" w:eastAsia="方正仿宋_GBK" w:cs="方正仿宋_GBK" w:hint="eastAsia"/>
                <w:sz w:val="32"/>
                <w:szCs w:val="32"/>
              </w:rPr>
              <w:t>海关</w:t>
            </w:r>
            <w:r>
              <w:rPr>
                <w:rFonts w:ascii="方正仿宋_GBK" w:eastAsia="方正仿宋_GBK" w:cs="方正仿宋_GBK"/>
                <w:sz w:val="32"/>
                <w:szCs w:val="32"/>
              </w:rPr>
              <w:t>采购供暖所需煤炭</w:t>
            </w:r>
            <w:r>
              <w:rPr>
                <w:rFonts w:ascii="方正仿宋_GBK" w:eastAsia="方正仿宋_GBK" w:cs="方正仿宋_GBK" w:hint="eastAsia"/>
                <w:sz w:val="32"/>
                <w:szCs w:val="32"/>
              </w:rPr>
              <w:t>项目</w:t>
            </w:r>
          </w:p>
        </w:tc>
      </w:tr>
      <w:tr>
        <w:tc>
          <w:tcPr>
            <w:tcW w:w="2183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需求部门</w:t>
            </w:r>
          </w:p>
        </w:tc>
        <w:tc>
          <w:tcPr>
            <w:tcW w:w="6877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中华人民共和国东乌海关</w:t>
            </w:r>
          </w:p>
        </w:tc>
      </w:tr>
      <w:tr>
        <w:tc>
          <w:tcPr>
            <w:tcW w:w="2183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采购预算</w:t>
            </w:r>
          </w:p>
        </w:tc>
        <w:tc>
          <w:tcPr>
            <w:tcW w:w="6877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23.54万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元</w:t>
            </w:r>
          </w:p>
        </w:tc>
      </w:tr>
      <w:tr>
        <w:tc>
          <w:tcPr>
            <w:tcW w:w="2183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审批文件</w:t>
            </w:r>
          </w:p>
        </w:tc>
        <w:tc>
          <w:tcPr>
            <w:tcW w:w="6877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——</w:t>
            </w:r>
          </w:p>
        </w:tc>
      </w:tr>
      <w:tr>
        <w:tc>
          <w:tcPr>
            <w:tcW w:w="2183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经费来源</w:t>
            </w:r>
          </w:p>
        </w:tc>
        <w:tc>
          <w:tcPr>
            <w:tcW w:w="6877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财政拨款</w:t>
            </w:r>
          </w:p>
        </w:tc>
      </w:tr>
      <w:tr>
        <w:tc>
          <w:tcPr>
            <w:tcW w:w="2183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评审方法</w:t>
            </w:r>
          </w:p>
        </w:tc>
        <w:tc>
          <w:tcPr>
            <w:tcW w:w="6877" w:type="dxa"/>
            <w:vAlign w:val="center"/>
          </w:tcPr>
          <w:p>
            <w:pPr>
              <w:spacing w:line="40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sym w:font="Wingdings 2" w:char="A3"/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最低价法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 xml:space="preserve"> </w:t>
            </w:r>
            <w:r>
              <w:rPr>
                <w:rFonts w:ascii="仿宋" w:eastAsia="仿宋" w:cs="方正仿宋_GBK" w:hint="eastAsia"/>
                <w:sz w:val="28"/>
                <w:szCs w:val="28"/>
              </w:rPr>
              <w:t>√</w:t>
            </w:r>
          </w:p>
          <w:p>
            <w:pPr>
              <w:spacing w:line="40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sym w:font="Wingdings 2" w:char="A3"/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综合评分法</w:t>
            </w:r>
          </w:p>
        </w:tc>
      </w:tr>
      <w:tr>
        <w:trPr>
          <w:trHeight w:val="815"/>
        </w:trPr>
        <w:tc>
          <w:tcPr>
            <w:tcW w:w="2183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编制人</w:t>
            </w:r>
          </w:p>
        </w:tc>
        <w:tc>
          <w:tcPr>
            <w:tcW w:w="6877" w:type="dxa"/>
            <w:vAlign w:val="center"/>
          </w:tcPr>
          <w:p>
            <w:pPr>
              <w:spacing w:line="560" w:lineRule="exact"/>
              <w:jc w:val="center"/>
              <w:rPr>
                <w:rFonts w:ascii="方正楷体_GBK" w:eastAsia="方正楷体_GBK" w:cs="方正楷体_GBK"/>
                <w:sz w:val="32"/>
                <w:szCs w:val="32"/>
              </w:rPr>
            </w:pPr>
          </w:p>
        </w:tc>
      </w:tr>
      <w:tr>
        <w:trPr>
          <w:trHeight w:val="926"/>
        </w:trPr>
        <w:tc>
          <w:tcPr>
            <w:tcW w:w="2183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复核人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（科室负责人）</w:t>
            </w:r>
          </w:p>
        </w:tc>
        <w:tc>
          <w:tcPr>
            <w:tcW w:w="6877" w:type="dxa"/>
            <w:vAlign w:val="center"/>
          </w:tcPr>
          <w:p>
            <w:pPr>
              <w:spacing w:line="560" w:lineRule="exact"/>
              <w:jc w:val="center"/>
              <w:rPr>
                <w:rFonts w:ascii="方正楷体_GBK" w:eastAsia="方正楷体_GBK" w:cs="方正楷体_GBK"/>
                <w:sz w:val="32"/>
                <w:szCs w:val="32"/>
              </w:rPr>
            </w:pPr>
          </w:p>
        </w:tc>
      </w:tr>
      <w:tr>
        <w:trPr>
          <w:trHeight w:val="926"/>
        </w:trPr>
        <w:tc>
          <w:tcPr>
            <w:tcW w:w="2183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审核人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（部门负责人）</w:t>
            </w:r>
          </w:p>
        </w:tc>
        <w:tc>
          <w:tcPr>
            <w:tcW w:w="6877" w:type="dxa"/>
            <w:vAlign w:val="center"/>
          </w:tcPr>
          <w:p>
            <w:pPr>
              <w:spacing w:line="560" w:lineRule="exact"/>
              <w:jc w:val="center"/>
              <w:rPr>
                <w:rFonts w:ascii="方正楷体_GBK" w:eastAsia="方正楷体_GBK" w:cs="方正楷体_GBK"/>
                <w:sz w:val="32"/>
                <w:szCs w:val="32"/>
              </w:rPr>
            </w:pPr>
          </w:p>
        </w:tc>
      </w:tr>
      <w:tr>
        <w:tc>
          <w:tcPr>
            <w:tcW w:w="906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楷体_GBK" w:eastAsia="方正楷体_GBK" w:cs="方正楷体_GBK" w:hint="eastAsia"/>
                <w:sz w:val="32"/>
                <w:szCs w:val="32"/>
              </w:rPr>
              <w:t>详细需求栏</w:t>
            </w:r>
          </w:p>
        </w:tc>
      </w:tr>
      <w:tr>
        <w:trPr>
          <w:trHeight w:val="4731"/>
        </w:trPr>
        <w:tc>
          <w:tcPr>
            <w:tcW w:w="2183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说明</w:t>
            </w:r>
          </w:p>
        </w:tc>
        <w:tc>
          <w:tcPr>
            <w:tcW w:w="6877" w:type="dxa"/>
            <w:vAlign w:val="center"/>
          </w:tcPr>
          <w:p>
            <w:pPr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1.不满足资格条件的响应文件将按无效响应文件处理。</w:t>
            </w:r>
          </w:p>
          <w:p>
            <w:pPr>
              <w:spacing w:line="40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2.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详细需求栏中所有加“★”项的需求均为实质性要求，不满足实质性要求的响应文件将按无效响应文件处理。</w:t>
            </w:r>
          </w:p>
        </w:tc>
      </w:tr>
      <w:tr>
        <w:trPr>
          <w:trHeight w:val="3568"/>
        </w:trPr>
        <w:tc>
          <w:tcPr>
            <w:tcW w:w="2183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资格条件</w:t>
            </w:r>
          </w:p>
        </w:tc>
        <w:tc>
          <w:tcPr>
            <w:tcW w:w="6877" w:type="dxa"/>
            <w:vAlign w:val="center"/>
          </w:tcPr>
          <w:p>
            <w:pPr>
              <w:pStyle w:val="58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1、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具有独立承担民事责任的能力。</w:t>
              <w:br/>
              <w:t>2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、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具备销售该类货物应具备的相应资质。</w:t>
              <w:br/>
              <w:t>3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、提供货物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质量保证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承诺书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。</w:t>
              <w:br/>
              <w:t>4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、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提供相关营业执照、经办人授权等材料。</w:t>
            </w:r>
          </w:p>
          <w:p>
            <w:pPr>
              <w:pStyle w:val="63"/>
              <w:rPr>
                <w:rFonts w:ascii="方正仿宋_GBK" w:eastAsia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5、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三年内在经营活动中没有重大违法记录的书面证明（须有“信用中国”或“中国政府采购网”等机构查询记录）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。</w:t>
            </w:r>
          </w:p>
        </w:tc>
      </w:tr>
      <w:tr>
        <w:trPr>
          <w:trHeight w:val="1082"/>
        </w:trPr>
        <w:tc>
          <w:tcPr>
            <w:tcW w:w="2183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★实质性要求</w:t>
            </w:r>
          </w:p>
        </w:tc>
        <w:tc>
          <w:tcPr>
            <w:tcW w:w="6877" w:type="dxa"/>
          </w:tcPr>
          <w:p>
            <w:pPr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1、采购货物名称：精选煤（适用于无压锅炉供暖）。</w:t>
            </w:r>
          </w:p>
          <w:p>
            <w:pPr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2、数量：220吨（以实际称重为准）。</w:t>
            </w:r>
          </w:p>
          <w:p>
            <w:pPr>
              <w:pStyle w:val="64"/>
              <w:spacing w:line="560" w:lineRule="exact"/>
              <w:ind w:left="0"/>
              <w:rPr>
                <w:rFonts w:ascii="方正仿宋_GBK" w:eastAsia="方正仿宋_GBK" w:cs="方正仿宋_GBK"/>
                <w:sz w:val="32"/>
                <w:szCs w:val="32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3、金额：23.54</w:t>
            </w:r>
            <w:r>
              <w:rPr>
                <w:rFonts w:ascii="方正仿宋_GBK" w:eastAsia="方正仿宋_GBK" w:cs="方正仿宋_GBK"/>
                <w:sz w:val="32"/>
                <w:szCs w:val="32"/>
              </w:rPr>
              <w:t>万元（如超此金额视为无效）。</w:t>
            </w:r>
          </w:p>
          <w:p>
            <w:pPr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4、煤炭块状：60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—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80mm区间。</w:t>
            </w:r>
          </w:p>
          <w:p>
            <w:pPr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5、发热量：5500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—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6000大卡之间，其他标准符合国家标准。</w:t>
            </w:r>
          </w:p>
          <w:p>
            <w:pPr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6、应提供煤炭产品的相关检测报告等相关证明材料</w:t>
            </w:r>
          </w:p>
          <w:p>
            <w:pPr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7、供煤时间：签订合同之日起7天。</w:t>
            </w:r>
          </w:p>
          <w:p>
            <w:pPr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8、供应商报价包含装卸费以及运至采购方指点供货地点费用。</w:t>
            </w:r>
          </w:p>
          <w:p>
            <w:pPr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9、供货地点：锡林郭勒盟东乌旗嘎达布其镇海关公寓楼。</w:t>
            </w:r>
          </w:p>
          <w:p>
            <w:pPr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10、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支付方式：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供应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方按照合同约定完成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供货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，经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双方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验收合格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，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无质量问题后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供应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方开具全款有效发票，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采购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方一次性支付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全部费用。</w:t>
            </w:r>
          </w:p>
          <w:p>
            <w:pPr>
              <w:pStyle w:val="61"/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11、成交条件：符合采购要求且报价最低的供应商为成交供应商。成交供应商应在规定时间内与采购人签订合同。若成交供应商无正当理由放弃成交、未按时签订合同构成违约的，应向采购人书面说明，并支付违约金。违约金的计算方式为：本项目预算金额的3%，采购人有权取消其成交资格，并可按报价由低到高的顺序顺延确定下一候选供应商为成交供应商。</w:t>
            </w:r>
          </w:p>
          <w:p>
            <w:pPr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</w:p>
        </w:tc>
      </w:tr>
      <w:tr>
        <w:trPr>
          <w:trHeight w:val="3753"/>
        </w:trPr>
        <w:tc>
          <w:tcPr>
            <w:tcW w:w="2183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评审因素</w:t>
            </w:r>
          </w:p>
        </w:tc>
        <w:tc>
          <w:tcPr>
            <w:tcW w:w="6877" w:type="dxa"/>
          </w:tcPr>
          <w:p>
            <w:pPr>
              <w:spacing w:line="56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</w:p>
        </w:tc>
      </w:tr>
      <w:tr>
        <w:trPr>
          <w:trHeight w:val="2545"/>
        </w:trPr>
        <w:tc>
          <w:tcPr>
            <w:tcW w:w="2183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其他因素</w:t>
            </w:r>
          </w:p>
        </w:tc>
        <w:tc>
          <w:tcPr>
            <w:tcW w:w="6877" w:type="dxa"/>
          </w:tcPr>
          <w:p>
            <w:pPr>
              <w:spacing w:line="40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1、公告期限（3个工作日）</w:t>
            </w:r>
          </w:p>
          <w:p>
            <w:pPr>
              <w:spacing w:line="40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2、响应文件份数（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3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份）</w:t>
            </w:r>
          </w:p>
        </w:tc>
      </w:tr>
    </w:tbl>
    <w:p>
      <w:pPr>
        <w:spacing w:line="240" w:lineRule="auto"/>
        <w:rPr>
          <w:rFonts w:ascii="方正仿宋_GBK" w:eastAsia="方正仿宋_GBK" w:cs="方正仿宋_GBK"/>
          <w:sz w:val="32"/>
          <w:szCs w:val="32"/>
        </w:rPr>
      </w:pPr>
    </w:p>
    <w:p>
      <w:pPr>
        <w:spacing w:line="560" w:lineRule="exact"/>
        <w:jc w:val="right"/>
        <w:rPr>
          <w:rFonts w:ascii="方正仿宋_GBK" w:eastAsia="方正仿宋_GBK" w:cs="方正仿宋_GBK"/>
          <w:sz w:val="32"/>
          <w:szCs w:val="32"/>
        </w:rPr>
      </w:pPr>
    </w:p>
    <w:sectPr>
      <w:footerReference w:type="default" r:id="rId2"/>
      <w:footerReference w:type="even" r:id="rId3"/>
      <w:pgSz w:w="11906" w:h="16838"/>
      <w:pgMar w:top="1440" w:right="1800" w:bottom="1440" w:left="1800" w:header="851" w:footer="992" w:gutter="0"/>
      <w:pgNumType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黑体_GBK"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方正小标宋_GBK"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方正楷体_GBK">
    <w:panose1 w:val="02000000000000000000"/>
    <w:charset w:val="86"/>
    <w:family w:val="script"/>
    <w:pitch w:val="variable"/>
    <w:sig w:usb0="00000001" w:usb1="08000000" w:usb2="00000000" w:usb3="00000000" w:csb0="00040000" w:csb1="00000000"/>
  </w:font>
  <w:font w:name="方正仿宋_GBK">
    <w:panose1 w:val="02000000000000000000"/>
    <w:charset w:val="86"/>
    <w:family w:val="script"/>
    <w:pitch w:val="variable"/>
    <w:sig w:usb0="00000001" w:usb1="08000000" w:usb2="00000000" w:usb3="00000000" w:csb0="00040000" w:csb1="00000000"/>
  </w:font>
  <w:font w:name="Wingdings 2">
    <w:altName w:val="方正宋体S-超大字符集(SIP)"/>
    <w:panose1 w:val="05020102010507070707"/>
    <w:charset w:val="02"/>
    <w:family w:val="roman"/>
    <w:pitch w:val="variable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Calibri">
    <w:altName w:val="DejaVu Sans"/>
    <w:panose1 w:val="020F0502020204030204"/>
    <w:charset w:val="00"/>
    <w:family w:val="swiss"/>
    <w:pitch w:val="variable"/>
    <w:sig w:usb0="00000000" w:usb1="00000000" w:usb2="00000001" w:usb3="00000000" w:csb0="0000019F" w:csb1="00000000"/>
  </w:font>
  <w:font w:name="Arial">
    <w:altName w:val="Times New Roman"/>
    <w:panose1 w:val="020B0604020202020204"/>
    <w:charset w:val="01"/>
    <w:family w:val="swiss"/>
    <w:pitch w:val="variable"/>
    <w:sig w:usb0="E0002AFF" w:usb1="C0007843" w:usb2="00000009" w:usb3="00000000" w:csb0="400001FF" w:csb1="FFFF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p>
    <w:pPr>
      <w:pStyle w:val="16"/>
      <w:framePr w:w="0" w:hRule="auto" w:wrap="around" w:vAnchor="text" w:hAnchor="margin" w:xAlign="right" w:y="1" w:anchorLock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enter" w:pos="4153"/>
        <w:tab w:val="right" w:pos="8306"/>
      </w:tabs>
    </w:pPr>
    <w:r>
      <w:rPr>
        <w:rStyle w:val="57"/>
      </w:rPr>
      <w:fldChar w:fldCharType="begin"/>
    </w:r>
    <w:r>
      <w:rPr>
        <w:rStyle w:val="57"/>
      </w:rPr>
      <w:instrText>Page</w:instrText>
    </w:r>
    <w:r>
      <w:rPr>
        <w:rStyle w:val="57"/>
      </w:rPr>
      <w:fldChar w:fldCharType="separate"/>
    </w:r>
    <w:r>
      <w:rPr>
        <w:rStyle w:val="57"/>
      </w:rPr>
      <w:t>1</w:t>
    </w:r>
    <w:r>
      <w:rPr>
        <w:rStyle w:val="57"/>
      </w:rPr>
      <w:fldChar w:fldCharType="end"/>
    </w:r>
  </w:p>
  <w:p>
    <w:pPr>
      <w:pStyle w:val="16"/>
      <w:tabs>
        <w:tab w:val="center" w:pos="4153"/>
        <w:tab w:val="right" w:pos="8306"/>
      </w:tabs>
      <w:ind w:right="360"/>
    </w:pPr>
  </w:p>
</w:ftr>
</file>

<file path=word/footer2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p>
    <w:pPr>
      <w:pStyle w:val="16"/>
      <w:framePr w:w="0" w:hRule="auto" w:wrap="around" w:vAnchor="text" w:hAnchor="margin" w:xAlign="right" w:y="1" w:anchorLock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enter" w:pos="4153"/>
        <w:tab w:val="right" w:pos="8306"/>
      </w:tabs>
    </w:pPr>
    <w:r>
      <w:rPr>
        <w:rStyle w:val="57"/>
      </w:rPr>
      <w:fldChar w:fldCharType="begin"/>
    </w:r>
    <w:r>
      <w:rPr>
        <w:rStyle w:val="57"/>
      </w:rPr>
      <w:instrText>Page</w:instrText>
    </w:r>
    <w:r>
      <w:rPr>
        <w:rStyle w:val="57"/>
      </w:rPr>
      <w:fldChar w:fldCharType="separate"/>
    </w:r>
    <w:r>
      <w:rPr>
        <w:rStyle w:val="57"/>
      </w:rPr>
      <w:t>1</w:t>
    </w:r>
    <w:r>
      <w:rPr>
        <w:rStyle w:val="57"/>
      </w:rPr>
      <w:fldChar w:fldCharType="end"/>
    </w:r>
  </w:p>
  <w:p>
    <w:pPr>
      <w:pStyle w:val="16"/>
      <w:tabs>
        <w:tab w:val="center" w:pos="4153"/>
        <w:tab w:val="right" w:pos="8306"/>
      </w:tabs>
      <w:ind w:right="360"/>
    </w:pPr>
  </w:p>
</w:ftr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100"/>
  <w:doNotDisplayPageBoundaries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>
    <w:docVar w:name="commondata" w:val="eyJoZGlkIjoiOWRlNmFjNTE0YmQzNDgwNGMxODI4OWJlYzRjMWE3MTcifQ=="/>
  </w:docVars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</w:style>
  <w:style w:type="paragraph" w:styleId="15">
    <w:name w:val="annotation text"/>
    <w:basedOn w:val="0"/>
    <w:pPr>
      <w:jc w:val="left"/>
    </w:pPr>
  </w:style>
  <w:style w:type="paragraph" w:styleId="16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7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8">
    <w:name w:val="index heading"/>
    <w:basedOn w:val="0"/>
    <w:rPr>
      <w:rFonts w:ascii="Arial" w:hAnsi="Arial"/>
      <w:b/>
    </w:rPr>
  </w:style>
  <w:style w:type="paragraph" w:customStyle="1" w:styleId="19">
    <w:name w:val="样式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0">
    <w:name w:val="样式 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1">
    <w:name w:val="样式 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2">
    <w:name w:val="样式 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3">
    <w:name w:val="样式 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4">
    <w:name w:val="样式 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5">
    <w:name w:val="样式 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6">
    <w:name w:val="样式 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7">
    <w:name w:val="样式 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8">
    <w:name w:val="样式 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9">
    <w:name w:val="样式 1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0">
    <w:name w:val="样式 1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1">
    <w:name w:val="样式 1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2">
    <w:name w:val="样式 1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3">
    <w:name w:val="样式 1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4">
    <w:name w:val="样式 1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5">
    <w:name w:val="样式 1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6">
    <w:name w:val="样式 1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7">
    <w:name w:val="样式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38">
    <w:name w:val="样式 1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39">
    <w:name w:val="样式 1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0">
    <w:name w:val="样式 1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1">
    <w:name w:val="样式 2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2">
    <w:name w:val="样式 2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3">
    <w:name w:val="样式 2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4">
    <w:name w:val="样式 小四"/>
    <w:pPr>
      <w:widowControl w:val="0"/>
      <w:spacing w:line="240" w:lineRule="auto"/>
      <w:jc w:val="left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45">
    <w:name w:val="样式 2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6">
    <w:name w:val="样式 2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7">
    <w:name w:val="样式 2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48">
    <w:name w:val="样式 3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49">
    <w:name w:val="样式 2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0">
    <w:name w:val="样式 2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1">
    <w:name w:val="样式 27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jc w:val="both"/>
      <w:textAlignment w:val="auto"/>
      <w:outlineLvl w:val="9"/>
    </w:pPr>
    <w:rPr>
      <w:rFonts w:ascii="Calibri" w:eastAsia="宋体" w:cs="Times New Roman" w:hAnsi="Calibri"/>
      <w:snapToGrid/>
      <w:color w:val="auto"/>
      <w:spacing w:val="0"/>
      <w:w w:val="100"/>
      <w:kern w:val="2"/>
      <w:position w:val="0"/>
      <w:sz w:val="21"/>
      <w:szCs w:val="22"/>
      <w:u w:val="none" w:color="auto"/>
      <w:vertAlign w:val="baseline"/>
      <w:lang w:val="en-US" w:eastAsia="zh-CN" w:bidi="ar-SA"/>
    </w:rPr>
  </w:style>
  <w:style w:type="paragraph" w:customStyle="1" w:styleId="52">
    <w:name w:val="样式 28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jc w:val="both"/>
      <w:textAlignment w:val="auto"/>
      <w:outlineLvl w:val="9"/>
    </w:pPr>
    <w:rPr>
      <w:rFonts w:ascii="Calibri" w:eastAsia="宋体" w:cs="Times New Roman" w:hAnsi="Calibri"/>
      <w:snapToGrid/>
      <w:color w:val="auto"/>
      <w:spacing w:val="0"/>
      <w:w w:val="100"/>
      <w:kern w:val="2"/>
      <w:position w:val="0"/>
      <w:sz w:val="21"/>
      <w:szCs w:val="22"/>
      <w:u w:val="none" w:color="auto"/>
      <w:vertAlign w:val="baseline"/>
      <w:lang w:val="en-US" w:eastAsia="zh-CN" w:bidi="ar-SA"/>
    </w:rPr>
  </w:style>
  <w:style w:type="paragraph" w:customStyle="1" w:styleId="53">
    <w:name w:val="样式 2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4">
    <w:name w:val="样式 3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5">
    <w:name w:val="样式 3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6">
    <w:name w:val="样式 3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character" w:styleId="57">
    <w:name w:val="page number"/>
    <w:basedOn w:val="10"/>
  </w:style>
  <w:style w:type="paragraph" w:customStyle="1" w:styleId="58">
    <w:name w:val="样式 1 小四"/>
    <w:pPr>
      <w:widowControl w:val="0"/>
      <w:spacing w:line="240" w:lineRule="auto"/>
      <w:jc w:val="left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59">
    <w:name w:val="样式 3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0">
    <w:name w:val="公式样式 数字"/>
    <w:autoRedefine/>
    <w:rPr>
      <w:rFonts w:ascii="Times New Roman" w:eastAsia="宋体" w:cs="Times New Roman" w:hAnsi="Times New Roman"/>
      <w:b w:val="0"/>
      <w:i w:val="0"/>
      <w:lang w:val="en-US" w:eastAsia="zh-CN" w:bidi="ar-SA"/>
    </w:rPr>
  </w:style>
  <w:style w:type="paragraph" w:customStyle="1" w:styleId="61">
    <w:name w:val="样式 2 小四"/>
    <w:pPr>
      <w:widowControl w:val="0"/>
      <w:spacing w:line="240" w:lineRule="auto"/>
      <w:jc w:val="left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62">
    <w:name w:val="样式 34 10 磅"/>
    <w:next w:val="60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3">
    <w:name w:val="样式 3 小四"/>
    <w:pPr>
      <w:widowControl w:val="0"/>
      <w:spacing w:line="240" w:lineRule="auto"/>
      <w:jc w:val="left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64">
    <w:name w:val="样式 3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5">
    <w:name w:val="样式 3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6">
    <w:name w:val="样式 3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oter" Target="footer1.xml"/><Relationship Id="rId3" Type="http://schemas.openxmlformats.org/officeDocument/2006/relationships/footer" Target="footer2.xml"/><Relationship Id="rId4" Type="http://schemas.openxmlformats.org/officeDocument/2006/relationships/styles" Target="styles.xml"/><Relationship Id="rId5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389</TotalTime>
  <Application>Yozo_Office</Application>
  <Pages>3</Pages>
  <Words>760</Words>
  <Characters>789</Characters>
  <Lines>67</Lines>
  <Paragraphs>43</Paragraphs>
  <CharactersWithSpaces>793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阿牧古龙</dc:creator>
  <cp:lastModifiedBy>曾得源</cp:lastModifiedBy>
  <cp:revision>2</cp:revision>
  <cp:lastPrinted>2025-09-19T07:23:13Z</cp:lastPrinted>
  <dcterms:created xsi:type="dcterms:W3CDTF">2025-05-16T10:09:00Z</dcterms:created>
  <dcterms:modified xsi:type="dcterms:W3CDTF">2025-09-19T08:30:01Z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2052-11.8.2.12065</vt:lpwstr>
  </property>
  <property fmtid="{D5CDD505-2E9C-101B-9397-08002B2CF9AE}" pid="3" name="ICV">
    <vt:lpwstr>8BFDB32D35E2409A96B744D0C7FC1FE2</vt:lpwstr>
  </property>
</Properties>
</file>