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C2C562">
      <w:pPr>
        <w:spacing w:line="560" w:lineRule="exact"/>
        <w:jc w:val="center"/>
        <w:rPr>
          <w:rFonts w:ascii="方正小标宋_GBK" w:eastAsia="方正小标宋_GBK" w:cs="方正小标宋_GBK"/>
          <w:color w:val="auto"/>
          <w:sz w:val="44"/>
          <w:szCs w:val="44"/>
        </w:rPr>
      </w:pPr>
      <w:bookmarkStart w:id="0" w:name="_GoBack"/>
      <w:r>
        <w:rPr>
          <w:rFonts w:hint="eastAsia" w:ascii="方正小标宋_GBK" w:eastAsia="方正小标宋_GBK" w:cs="方正小标宋_GBK"/>
          <w:color w:val="auto"/>
          <w:sz w:val="44"/>
          <w:szCs w:val="44"/>
        </w:rPr>
        <w:t>比选采购需求书</w:t>
      </w:r>
    </w:p>
    <w:tbl>
      <w:tblPr>
        <w:tblStyle w:val="9"/>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98"/>
        <w:gridCol w:w="6862"/>
      </w:tblGrid>
      <w:tr w14:paraId="3B3E8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0" w:type="dxa"/>
            <w:gridSpan w:val="2"/>
            <w:vAlign w:val="center"/>
          </w:tcPr>
          <w:p w14:paraId="01493743">
            <w:pPr>
              <w:spacing w:line="560" w:lineRule="exact"/>
              <w:jc w:val="center"/>
              <w:rPr>
                <w:rFonts w:ascii="方正仿宋_GBK" w:eastAsia="方正仿宋_GBK" w:cs="方正仿宋_GBK"/>
                <w:color w:val="auto"/>
                <w:sz w:val="28"/>
                <w:szCs w:val="28"/>
              </w:rPr>
            </w:pPr>
            <w:r>
              <w:rPr>
                <w:rFonts w:hint="eastAsia" w:ascii="方正楷体_GBK" w:eastAsia="方正楷体_GBK" w:cs="方正楷体_GBK"/>
                <w:color w:val="auto"/>
                <w:sz w:val="32"/>
                <w:szCs w:val="32"/>
              </w:rPr>
              <w:t>基础信息栏</w:t>
            </w:r>
          </w:p>
        </w:tc>
      </w:tr>
      <w:tr w14:paraId="1EB26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8" w:type="dxa"/>
            <w:vAlign w:val="center"/>
          </w:tcPr>
          <w:p w14:paraId="084AB488">
            <w:pPr>
              <w:spacing w:line="560" w:lineRule="exact"/>
              <w:jc w:val="center"/>
              <w:rPr>
                <w:rFonts w:ascii="方正仿宋_GBK" w:eastAsia="方正仿宋_GBK" w:cs="方正仿宋_GBK"/>
                <w:color w:val="auto"/>
                <w:sz w:val="28"/>
                <w:szCs w:val="28"/>
              </w:rPr>
            </w:pPr>
            <w:r>
              <w:rPr>
                <w:rFonts w:hint="eastAsia" w:ascii="方正仿宋_GBK" w:eastAsia="方正仿宋_GBK" w:cs="方正仿宋_GBK"/>
                <w:color w:val="auto"/>
                <w:sz w:val="28"/>
                <w:szCs w:val="28"/>
              </w:rPr>
              <w:t>项目名称</w:t>
            </w:r>
          </w:p>
        </w:tc>
        <w:tc>
          <w:tcPr>
            <w:tcW w:w="6862" w:type="dxa"/>
            <w:vAlign w:val="center"/>
          </w:tcPr>
          <w:p w14:paraId="35785907">
            <w:pPr>
              <w:spacing w:line="560" w:lineRule="exact"/>
              <w:jc w:val="center"/>
              <w:rPr>
                <w:rFonts w:hint="default" w:ascii="方正仿宋_GBK" w:eastAsia="方正仿宋_GBK" w:cs="方正仿宋_GBK"/>
                <w:color w:val="auto"/>
                <w:sz w:val="28"/>
                <w:szCs w:val="28"/>
                <w:lang w:val="en-US" w:eastAsia="zh-CN"/>
              </w:rPr>
            </w:pPr>
            <w:r>
              <w:rPr>
                <w:rFonts w:hint="eastAsia" w:ascii="方正仿宋_GBK" w:eastAsia="方正仿宋_GBK" w:cs="方正仿宋_GBK"/>
                <w:color w:val="auto"/>
                <w:sz w:val="28"/>
                <w:szCs w:val="28"/>
                <w:lang w:val="en-US" w:eastAsia="zh-CN"/>
              </w:rPr>
              <w:t>呼和浩特国际旅行卫生保健中心生物安全二级实验室设施设备检测与灭菌效果验证服务</w:t>
            </w:r>
          </w:p>
        </w:tc>
      </w:tr>
      <w:tr w14:paraId="13CEB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2198" w:type="dxa"/>
            <w:vAlign w:val="center"/>
          </w:tcPr>
          <w:p w14:paraId="63148F5B">
            <w:pPr>
              <w:spacing w:line="560" w:lineRule="exact"/>
              <w:jc w:val="center"/>
              <w:rPr>
                <w:rFonts w:ascii="方正仿宋_GBK" w:eastAsia="方正仿宋_GBK" w:cs="方正仿宋_GBK"/>
                <w:color w:val="auto"/>
                <w:sz w:val="28"/>
                <w:szCs w:val="28"/>
              </w:rPr>
            </w:pPr>
            <w:r>
              <w:rPr>
                <w:rFonts w:hint="eastAsia" w:ascii="方正仿宋_GBK" w:eastAsia="方正仿宋_GBK" w:cs="方正仿宋_GBK"/>
                <w:color w:val="auto"/>
                <w:sz w:val="28"/>
                <w:szCs w:val="28"/>
              </w:rPr>
              <w:t>需求部门</w:t>
            </w:r>
          </w:p>
        </w:tc>
        <w:tc>
          <w:tcPr>
            <w:tcW w:w="6862" w:type="dxa"/>
            <w:vAlign w:val="center"/>
          </w:tcPr>
          <w:p w14:paraId="330CF595">
            <w:pPr>
              <w:spacing w:line="560" w:lineRule="exact"/>
              <w:jc w:val="center"/>
              <w:rPr>
                <w:rFonts w:ascii="方正仿宋_GBK" w:eastAsia="方正仿宋_GBK" w:cs="方正仿宋_GBK"/>
                <w:color w:val="auto"/>
                <w:sz w:val="28"/>
                <w:szCs w:val="28"/>
              </w:rPr>
            </w:pPr>
            <w:r>
              <w:rPr>
                <w:rFonts w:hint="eastAsia" w:ascii="方正仿宋_GBK" w:eastAsia="方正仿宋_GBK" w:cs="方正仿宋_GBK"/>
                <w:color w:val="auto"/>
                <w:sz w:val="28"/>
                <w:szCs w:val="28"/>
              </w:rPr>
              <w:t>口岸生物安全研究所</w:t>
            </w:r>
          </w:p>
        </w:tc>
      </w:tr>
      <w:tr w14:paraId="2DCD58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8" w:type="dxa"/>
            <w:vAlign w:val="center"/>
          </w:tcPr>
          <w:p w14:paraId="6124E424">
            <w:pPr>
              <w:spacing w:line="560" w:lineRule="exact"/>
              <w:jc w:val="center"/>
              <w:rPr>
                <w:rFonts w:ascii="方正仿宋_GBK" w:eastAsia="方正仿宋_GBK" w:cs="方正仿宋_GBK"/>
                <w:color w:val="auto"/>
                <w:sz w:val="28"/>
                <w:szCs w:val="28"/>
              </w:rPr>
            </w:pPr>
            <w:r>
              <w:rPr>
                <w:rFonts w:hint="eastAsia" w:ascii="方正仿宋_GBK" w:eastAsia="方正仿宋_GBK" w:cs="方正仿宋_GBK"/>
                <w:color w:val="auto"/>
                <w:sz w:val="28"/>
                <w:szCs w:val="28"/>
              </w:rPr>
              <w:t>采购预算</w:t>
            </w:r>
          </w:p>
        </w:tc>
        <w:tc>
          <w:tcPr>
            <w:tcW w:w="6862" w:type="dxa"/>
            <w:vAlign w:val="center"/>
          </w:tcPr>
          <w:p w14:paraId="45400317">
            <w:pPr>
              <w:spacing w:line="560" w:lineRule="exact"/>
              <w:jc w:val="center"/>
              <w:rPr>
                <w:rFonts w:ascii="方正仿宋_GBK" w:eastAsia="方正仿宋_GBK" w:cs="方正仿宋_GBK"/>
                <w:color w:val="auto"/>
                <w:sz w:val="28"/>
                <w:szCs w:val="28"/>
              </w:rPr>
            </w:pPr>
            <w:r>
              <w:rPr>
                <w:rFonts w:hint="eastAsia" w:ascii="方正仿宋_GBK" w:eastAsia="方正仿宋_GBK" w:cs="方正仿宋_GBK"/>
                <w:color w:val="auto"/>
                <w:sz w:val="28"/>
                <w:szCs w:val="28"/>
              </w:rPr>
              <w:t>3万元</w:t>
            </w:r>
          </w:p>
        </w:tc>
      </w:tr>
      <w:tr w14:paraId="69ABB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98" w:type="dxa"/>
            <w:vAlign w:val="center"/>
          </w:tcPr>
          <w:p w14:paraId="1148198F">
            <w:pPr>
              <w:spacing w:line="560" w:lineRule="exact"/>
              <w:jc w:val="center"/>
              <w:rPr>
                <w:rFonts w:ascii="方正仿宋_GBK" w:eastAsia="方正仿宋_GBK" w:cs="方正仿宋_GBK"/>
                <w:color w:val="auto"/>
                <w:sz w:val="28"/>
                <w:szCs w:val="28"/>
              </w:rPr>
            </w:pPr>
            <w:r>
              <w:rPr>
                <w:rFonts w:hint="eastAsia" w:ascii="方正仿宋_GBK" w:eastAsia="方正仿宋_GBK" w:cs="方正仿宋_GBK"/>
                <w:color w:val="auto"/>
                <w:sz w:val="28"/>
                <w:szCs w:val="28"/>
              </w:rPr>
              <w:t>评审方法</w:t>
            </w:r>
          </w:p>
        </w:tc>
        <w:tc>
          <w:tcPr>
            <w:tcW w:w="6862" w:type="dxa"/>
            <w:vAlign w:val="center"/>
          </w:tcPr>
          <w:p w14:paraId="0EFE4A30">
            <w:pPr>
              <w:spacing w:line="400" w:lineRule="exact"/>
              <w:jc w:val="left"/>
              <w:rPr>
                <w:rFonts w:ascii="方正仿宋_GBK" w:eastAsia="方正仿宋_GBK" w:cs="方正仿宋_GBK"/>
                <w:color w:val="auto"/>
                <w:sz w:val="28"/>
                <w:szCs w:val="28"/>
              </w:rPr>
            </w:pPr>
            <w:r>
              <w:rPr>
                <w:rFonts w:hint="eastAsia" w:ascii="方正仿宋_GBK" w:eastAsia="方正仿宋_GBK" w:cs="方正仿宋_GBK"/>
                <w:color w:val="auto"/>
                <w:sz w:val="28"/>
                <w:szCs w:val="28"/>
              </w:rPr>
              <w:sym w:font="Wingdings 2" w:char="00A3"/>
            </w:r>
            <w:r>
              <w:rPr>
                <w:rFonts w:hint="eastAsia" w:ascii="方正仿宋_GBK" w:eastAsia="方正仿宋_GBK" w:cs="方正仿宋_GBK"/>
                <w:color w:val="auto"/>
                <w:sz w:val="28"/>
                <w:szCs w:val="28"/>
              </w:rPr>
              <w:t>最低价法</w:t>
            </w:r>
          </w:p>
          <w:p w14:paraId="2DFF1EBD">
            <w:pPr>
              <w:spacing w:line="400" w:lineRule="exact"/>
              <w:jc w:val="left"/>
              <w:rPr>
                <w:rFonts w:ascii="方正仿宋_GBK" w:eastAsia="方正仿宋_GBK" w:cs="方正仿宋_GBK"/>
                <w:color w:val="auto"/>
                <w:sz w:val="28"/>
                <w:szCs w:val="28"/>
              </w:rPr>
            </w:pPr>
            <w:r>
              <w:rPr>
                <w:rFonts w:hint="eastAsia" w:ascii="方正仿宋_GBK" w:eastAsia="方正仿宋_GBK" w:cs="方正仿宋_GBK"/>
                <w:color w:val="auto"/>
                <w:sz w:val="28"/>
                <w:szCs w:val="28"/>
              </w:rPr>
              <w:sym w:font="Wingdings 2" w:char="0052"/>
            </w:r>
            <w:r>
              <w:rPr>
                <w:rFonts w:hint="eastAsia" w:ascii="方正仿宋_GBK" w:eastAsia="方正仿宋_GBK" w:cs="方正仿宋_GBK"/>
                <w:color w:val="auto"/>
                <w:sz w:val="28"/>
                <w:szCs w:val="28"/>
              </w:rPr>
              <w:t>综合评分法（权重：</w:t>
            </w:r>
            <w:r>
              <w:rPr>
                <w:rFonts w:hint="eastAsia" w:ascii="方正仿宋_GBK" w:eastAsia="方正仿宋_GBK" w:cs="方正仿宋_GBK"/>
                <w:color w:val="auto"/>
                <w:sz w:val="28"/>
                <w:szCs w:val="28"/>
              </w:rPr>
              <w:t>价格</w:t>
            </w:r>
            <w:r>
              <w:rPr>
                <w:rFonts w:hint="eastAsia" w:ascii="方正仿宋_GBK" w:eastAsia="方正仿宋_GBK" w:cs="方正仿宋_GBK"/>
                <w:color w:val="auto"/>
                <w:sz w:val="28"/>
                <w:szCs w:val="28"/>
                <w:lang w:val="en-US" w:eastAsia="zh-CN"/>
              </w:rPr>
              <w:t>1</w:t>
            </w:r>
            <w:r>
              <w:rPr>
                <w:rFonts w:hint="eastAsia" w:ascii="方正仿宋_GBK" w:eastAsia="方正仿宋_GBK" w:cs="方正仿宋_GBK"/>
                <w:color w:val="auto"/>
                <w:sz w:val="28"/>
                <w:szCs w:val="28"/>
              </w:rPr>
              <w:t>0%、评审因素</w:t>
            </w:r>
            <w:r>
              <w:rPr>
                <w:rFonts w:hint="eastAsia" w:ascii="方正仿宋_GBK" w:eastAsia="方正仿宋_GBK" w:cs="方正仿宋_GBK"/>
                <w:color w:val="auto"/>
                <w:sz w:val="28"/>
                <w:szCs w:val="28"/>
                <w:lang w:val="en-US" w:eastAsia="zh-CN"/>
              </w:rPr>
              <w:t>9</w:t>
            </w:r>
            <w:r>
              <w:rPr>
                <w:rFonts w:hint="eastAsia" w:ascii="方正仿宋_GBK" w:eastAsia="方正仿宋_GBK" w:cs="方正仿宋_GBK"/>
                <w:color w:val="auto"/>
                <w:sz w:val="28"/>
                <w:szCs w:val="28"/>
              </w:rPr>
              <w:t>0%</w:t>
            </w:r>
            <w:r>
              <w:rPr>
                <w:rFonts w:hint="eastAsia" w:ascii="方正仿宋_GBK" w:eastAsia="方正仿宋_GBK" w:cs="方正仿宋_GBK"/>
                <w:color w:val="auto"/>
                <w:sz w:val="28"/>
                <w:szCs w:val="28"/>
              </w:rPr>
              <w:t>）</w:t>
            </w:r>
          </w:p>
        </w:tc>
      </w:tr>
      <w:tr w14:paraId="63BCC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0" w:type="dxa"/>
            <w:gridSpan w:val="2"/>
            <w:vAlign w:val="center"/>
          </w:tcPr>
          <w:p w14:paraId="5087BE85">
            <w:pPr>
              <w:spacing w:line="560" w:lineRule="exact"/>
              <w:jc w:val="center"/>
              <w:rPr>
                <w:rFonts w:ascii="方正仿宋_GBK" w:eastAsia="方正仿宋_GBK" w:cs="方正仿宋_GBK"/>
                <w:color w:val="auto"/>
                <w:sz w:val="28"/>
                <w:szCs w:val="28"/>
              </w:rPr>
            </w:pPr>
            <w:r>
              <w:rPr>
                <w:rFonts w:hint="eastAsia" w:ascii="方正楷体_GBK" w:eastAsia="方正楷体_GBK" w:cs="方正楷体_GBK"/>
                <w:color w:val="auto"/>
                <w:sz w:val="32"/>
                <w:szCs w:val="32"/>
              </w:rPr>
              <w:t>详细需求栏</w:t>
            </w:r>
          </w:p>
        </w:tc>
      </w:tr>
      <w:tr w14:paraId="11E19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198" w:type="dxa"/>
            <w:vAlign w:val="center"/>
          </w:tcPr>
          <w:p w14:paraId="6ED9A756">
            <w:pPr>
              <w:spacing w:line="560" w:lineRule="exact"/>
              <w:jc w:val="center"/>
              <w:rPr>
                <w:rFonts w:ascii="方正仿宋_GBK" w:eastAsia="方正仿宋_GBK" w:cs="方正仿宋_GBK"/>
                <w:color w:val="auto"/>
                <w:sz w:val="28"/>
                <w:szCs w:val="28"/>
              </w:rPr>
            </w:pPr>
            <w:r>
              <w:rPr>
                <w:rFonts w:hint="eastAsia" w:ascii="方正仿宋_GBK" w:eastAsia="方正仿宋_GBK" w:cs="方正仿宋_GBK"/>
                <w:color w:val="auto"/>
                <w:sz w:val="28"/>
                <w:szCs w:val="28"/>
              </w:rPr>
              <w:t>说明</w:t>
            </w:r>
          </w:p>
        </w:tc>
        <w:tc>
          <w:tcPr>
            <w:tcW w:w="6862" w:type="dxa"/>
            <w:vAlign w:val="center"/>
          </w:tcPr>
          <w:p w14:paraId="64492B47">
            <w:pPr>
              <w:spacing w:line="400" w:lineRule="exact"/>
              <w:rPr>
                <w:rFonts w:ascii="Times New Roman" w:hAnsi="Times New Roman" w:eastAsia="方正仿宋_GBK" w:cs="Times New Roman"/>
                <w:color w:val="auto"/>
                <w:sz w:val="28"/>
                <w:szCs w:val="28"/>
              </w:rPr>
            </w:pPr>
            <w:r>
              <w:rPr>
                <w:rFonts w:ascii="Times New Roman" w:hAnsi="Times New Roman" w:eastAsia="方正仿宋_GBK" w:cs="Times New Roman"/>
                <w:color w:val="auto"/>
                <w:sz w:val="28"/>
                <w:szCs w:val="28"/>
              </w:rPr>
              <w:t>1</w:t>
            </w:r>
            <w:r>
              <w:rPr>
                <w:rFonts w:hint="eastAsia" w:ascii="Times New Roman" w:hAnsi="Times New Roman" w:eastAsia="方正仿宋_GBK" w:cs="Times New Roman"/>
                <w:color w:val="auto"/>
                <w:sz w:val="28"/>
                <w:szCs w:val="28"/>
              </w:rPr>
              <w:t>、</w:t>
            </w:r>
            <w:r>
              <w:rPr>
                <w:rFonts w:ascii="Times New Roman" w:hAnsi="Times New Roman" w:eastAsia="方正仿宋_GBK" w:cs="Times New Roman"/>
                <w:color w:val="auto"/>
                <w:sz w:val="28"/>
                <w:szCs w:val="28"/>
              </w:rPr>
              <w:t>不满足资格条件的响应文件将按无效响应文件处理。</w:t>
            </w:r>
          </w:p>
          <w:p w14:paraId="058B0DF5">
            <w:pPr>
              <w:spacing w:line="400" w:lineRule="exact"/>
              <w:rPr>
                <w:rFonts w:ascii="方正仿宋_GBK" w:eastAsia="方正仿宋_GBK" w:cs="方正仿宋_GBK"/>
                <w:color w:val="auto"/>
                <w:sz w:val="28"/>
                <w:szCs w:val="28"/>
              </w:rPr>
            </w:pPr>
            <w:r>
              <w:rPr>
                <w:rFonts w:ascii="Times New Roman" w:hAnsi="Times New Roman" w:eastAsia="方正仿宋_GBK" w:cs="Times New Roman"/>
                <w:color w:val="auto"/>
                <w:sz w:val="28"/>
                <w:szCs w:val="28"/>
              </w:rPr>
              <w:t>2</w:t>
            </w:r>
            <w:r>
              <w:rPr>
                <w:rFonts w:hint="eastAsia" w:ascii="Times New Roman" w:hAnsi="Times New Roman" w:eastAsia="方正仿宋_GBK" w:cs="Times New Roman"/>
                <w:color w:val="auto"/>
                <w:sz w:val="28"/>
                <w:szCs w:val="28"/>
              </w:rPr>
              <w:t>、</w:t>
            </w:r>
            <w:r>
              <w:rPr>
                <w:rFonts w:hint="eastAsia" w:ascii="方正仿宋_GBK" w:eastAsia="方正仿宋_GBK" w:cs="方正仿宋_GBK"/>
                <w:color w:val="auto"/>
                <w:sz w:val="28"/>
                <w:szCs w:val="28"/>
              </w:rPr>
              <w:t>详细需求栏中所有加“★”项的需求均为实质性要求，不满足实质性要求的响应文件将按无效响应文件处理。</w:t>
            </w:r>
          </w:p>
        </w:tc>
      </w:tr>
      <w:tr w14:paraId="57F59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2198" w:type="dxa"/>
            <w:vAlign w:val="center"/>
          </w:tcPr>
          <w:p w14:paraId="64BF5969">
            <w:pPr>
              <w:spacing w:line="560" w:lineRule="exact"/>
              <w:jc w:val="center"/>
              <w:rPr>
                <w:rFonts w:ascii="Times New Roman" w:hAnsi="Times New Roman" w:eastAsia="方正仿宋_GBK" w:cs="Times New Roman"/>
                <w:color w:val="auto"/>
                <w:sz w:val="28"/>
                <w:szCs w:val="28"/>
              </w:rPr>
            </w:pPr>
            <w:r>
              <w:rPr>
                <w:rFonts w:hint="eastAsia" w:ascii="Times New Roman" w:hAnsi="Times New Roman" w:eastAsia="方正仿宋_GBK" w:cs="Times New Roman"/>
                <w:color w:val="auto"/>
                <w:sz w:val="28"/>
                <w:szCs w:val="28"/>
              </w:rPr>
              <w:t>资格条件</w:t>
            </w:r>
          </w:p>
        </w:tc>
        <w:tc>
          <w:tcPr>
            <w:tcW w:w="6862" w:type="dxa"/>
            <w:vAlign w:val="center"/>
          </w:tcPr>
          <w:p w14:paraId="483FC992">
            <w:pPr>
              <w:spacing w:line="400" w:lineRule="exact"/>
              <w:rPr>
                <w:rFonts w:ascii="Times New Roman" w:hAnsi="Times New Roman" w:eastAsia="方正仿宋_GBK" w:cs="Times New Roman"/>
                <w:color w:val="auto"/>
                <w:sz w:val="28"/>
                <w:szCs w:val="28"/>
              </w:rPr>
            </w:pPr>
            <w:r>
              <w:rPr>
                <w:rFonts w:hint="eastAsia" w:ascii="Times New Roman" w:hAnsi="Times New Roman" w:eastAsia="方正仿宋_GBK" w:cs="Times New Roman"/>
                <w:color w:val="auto"/>
                <w:sz w:val="28"/>
                <w:szCs w:val="28"/>
              </w:rPr>
              <w:t>1、</w:t>
            </w:r>
            <w:r>
              <w:rPr>
                <w:rFonts w:hint="eastAsia" w:ascii="Times New Roman" w:hAnsi="Times New Roman" w:eastAsia="方正仿宋_GBK" w:cs="Times New Roman"/>
                <w:color w:val="auto"/>
                <w:sz w:val="28"/>
                <w:szCs w:val="28"/>
              </w:rPr>
              <w:t>法人或者其他组织提供营业执照等证明文件，自然人提供身份证明复印件；报名人身份证明复印件；报名人出具经法定代表人签字、公司盖章的“授权委托书”</w:t>
            </w:r>
            <w:r>
              <w:rPr>
                <w:rFonts w:ascii="Times New Roman" w:hAnsi="Times New Roman" w:eastAsia="方正仿宋_GBK" w:cs="Times New Roman"/>
                <w:color w:val="auto"/>
                <w:sz w:val="28"/>
                <w:szCs w:val="28"/>
              </w:rPr>
              <w:t>;</w:t>
            </w:r>
          </w:p>
          <w:p w14:paraId="10C39754">
            <w:pPr>
              <w:spacing w:line="400" w:lineRule="exact"/>
              <w:rPr>
                <w:rFonts w:ascii="Times New Roman" w:hAnsi="Times New Roman" w:eastAsia="方正仿宋_GBK" w:cs="Times New Roman"/>
                <w:color w:val="auto"/>
                <w:sz w:val="28"/>
                <w:szCs w:val="28"/>
              </w:rPr>
            </w:pPr>
            <w:r>
              <w:rPr>
                <w:rFonts w:hint="eastAsia" w:ascii="Times New Roman" w:hAnsi="Times New Roman" w:eastAsia="方正仿宋_GBK" w:cs="Times New Roman"/>
                <w:color w:val="auto"/>
                <w:sz w:val="28"/>
                <w:szCs w:val="28"/>
              </w:rPr>
              <w:t>2、具备检验检测机构资质证书（CMA），或CNAS颁发的认可证书，且在有效期内</w:t>
            </w:r>
            <w:r>
              <w:rPr>
                <w:rFonts w:hint="eastAsia" w:ascii="Times New Roman" w:hAnsi="Times New Roman" w:eastAsia="方正仿宋_GBK" w:cs="Times New Roman"/>
                <w:color w:val="auto"/>
                <w:sz w:val="28"/>
                <w:szCs w:val="28"/>
                <w:lang w:eastAsia="zh-CN"/>
              </w:rPr>
              <w:t>，</w:t>
            </w:r>
            <w:r>
              <w:rPr>
                <w:rFonts w:hint="eastAsia" w:ascii="Times New Roman" w:hAnsi="Times New Roman" w:eastAsia="方正仿宋_GBK" w:cs="Times New Roman"/>
                <w:color w:val="auto"/>
                <w:sz w:val="28"/>
                <w:szCs w:val="28"/>
                <w:lang w:val="en-US" w:eastAsia="zh-CN"/>
              </w:rPr>
              <w:t>均提供复印件并加盖公章</w:t>
            </w:r>
            <w:r>
              <w:rPr>
                <w:rFonts w:ascii="Times New Roman" w:hAnsi="Times New Roman" w:eastAsia="方正仿宋_GBK" w:cs="Times New Roman"/>
                <w:color w:val="auto"/>
                <w:sz w:val="28"/>
                <w:szCs w:val="28"/>
              </w:rPr>
              <w:t>;</w:t>
            </w:r>
          </w:p>
          <w:p w14:paraId="41B494E0">
            <w:pPr>
              <w:spacing w:line="400" w:lineRule="exact"/>
              <w:rPr>
                <w:rFonts w:ascii="Times New Roman" w:hAnsi="Times New Roman" w:eastAsia="方正仿宋_GBK" w:cs="Times New Roman"/>
                <w:color w:val="auto"/>
                <w:sz w:val="28"/>
                <w:szCs w:val="28"/>
              </w:rPr>
            </w:pPr>
            <w:r>
              <w:rPr>
                <w:rFonts w:hint="eastAsia" w:ascii="Times New Roman" w:hAnsi="Times New Roman" w:eastAsia="方正仿宋_GBK" w:cs="Times New Roman"/>
                <w:color w:val="auto"/>
                <w:sz w:val="28"/>
                <w:szCs w:val="28"/>
              </w:rPr>
              <w:t>3、对在“信用中国”网站(www.creditchina.gov.cn)、中国政府采购网(www.ccgp.gov.cn)等渠道列入失信被执行人、重大税收违法案件当事人名单、政府采购严重违法失信行为记录名单及其他不符合《中华人民共和国政府采购法》第二十二条规定条件的供应商，不得参与此次采购活动。</w:t>
            </w:r>
          </w:p>
        </w:tc>
      </w:tr>
      <w:tr w14:paraId="04965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 w:hRule="atLeast"/>
        </w:trPr>
        <w:tc>
          <w:tcPr>
            <w:tcW w:w="2198" w:type="dxa"/>
            <w:vAlign w:val="center"/>
          </w:tcPr>
          <w:p w14:paraId="01D5C697">
            <w:pPr>
              <w:spacing w:line="560" w:lineRule="exact"/>
              <w:jc w:val="center"/>
              <w:rPr>
                <w:rFonts w:ascii="方正仿宋_GBK" w:eastAsia="方正仿宋_GBK" w:cs="方正仿宋_GBK"/>
                <w:color w:val="auto"/>
                <w:sz w:val="28"/>
                <w:szCs w:val="28"/>
              </w:rPr>
            </w:pPr>
            <w:r>
              <w:rPr>
                <w:rFonts w:hint="eastAsia" w:ascii="方正仿宋_GBK" w:eastAsia="方正仿宋_GBK" w:cs="方正仿宋_GBK"/>
                <w:color w:val="auto"/>
                <w:sz w:val="28"/>
                <w:szCs w:val="28"/>
              </w:rPr>
              <w:t>★</w:t>
            </w:r>
          </w:p>
          <w:p w14:paraId="272C1A3B">
            <w:pPr>
              <w:spacing w:line="560" w:lineRule="exact"/>
              <w:jc w:val="center"/>
              <w:rPr>
                <w:rFonts w:ascii="方正仿宋_GBK" w:eastAsia="方正仿宋_GBK" w:cs="方正仿宋_GBK"/>
                <w:color w:val="auto"/>
                <w:sz w:val="28"/>
                <w:szCs w:val="28"/>
              </w:rPr>
            </w:pPr>
            <w:r>
              <w:rPr>
                <w:rFonts w:hint="eastAsia" w:ascii="方正仿宋_GBK" w:eastAsia="方正仿宋_GBK" w:cs="方正仿宋_GBK"/>
                <w:color w:val="auto"/>
                <w:sz w:val="28"/>
                <w:szCs w:val="28"/>
              </w:rPr>
              <w:t>实质性需求</w:t>
            </w:r>
          </w:p>
        </w:tc>
        <w:tc>
          <w:tcPr>
            <w:tcW w:w="6862" w:type="dxa"/>
          </w:tcPr>
          <w:p w14:paraId="3545DAA3">
            <w:pPr>
              <w:spacing w:line="560" w:lineRule="exact"/>
              <w:jc w:val="both"/>
              <w:rPr>
                <w:rFonts w:ascii="Times New Roman" w:hAnsi="Times New Roman" w:eastAsia="方正仿宋_GBK" w:cs="Times New Roman"/>
                <w:color w:val="auto"/>
                <w:sz w:val="28"/>
                <w:szCs w:val="28"/>
              </w:rPr>
            </w:pPr>
            <w:r>
              <w:rPr>
                <w:rFonts w:hint="eastAsia" w:ascii="方正仿宋_GBK" w:eastAsia="方正仿宋_GBK" w:cs="方正仿宋_GBK"/>
                <w:color w:val="auto"/>
                <w:sz w:val="28"/>
                <w:szCs w:val="28"/>
              </w:rPr>
              <w:t>★</w:t>
            </w:r>
            <w:r>
              <w:rPr>
                <w:rFonts w:hint="eastAsia" w:ascii="Times New Roman" w:hAnsi="Times New Roman" w:eastAsia="方正仿宋_GBK" w:cs="Times New Roman"/>
                <w:color w:val="auto"/>
                <w:sz w:val="28"/>
                <w:szCs w:val="28"/>
                <w:lang w:val="en-US" w:eastAsia="zh-CN"/>
              </w:rPr>
              <w:t>1.</w:t>
            </w:r>
            <w:r>
              <w:rPr>
                <w:rFonts w:hint="eastAsia" w:ascii="Times New Roman" w:hAnsi="Times New Roman" w:eastAsia="方正仿宋_GBK" w:cs="Times New Roman"/>
                <w:color w:val="auto"/>
                <w:sz w:val="28"/>
                <w:szCs w:val="28"/>
              </w:rPr>
              <w:t>检测服务内容见附表</w:t>
            </w:r>
            <w:r>
              <w:rPr>
                <w:rFonts w:hint="eastAsia" w:ascii="Times New Roman" w:hAnsi="Times New Roman" w:eastAsia="方正仿宋_GBK" w:cs="Times New Roman"/>
                <w:color w:val="auto"/>
                <w:sz w:val="28"/>
                <w:szCs w:val="28"/>
                <w:lang w:eastAsia="zh-CN"/>
              </w:rPr>
              <w:t>，</w:t>
            </w:r>
            <w:r>
              <w:rPr>
                <w:rFonts w:hint="eastAsia" w:ascii="Times New Roman" w:hAnsi="Times New Roman" w:eastAsia="方正仿宋_GBK" w:cs="Times New Roman"/>
                <w:color w:val="auto"/>
                <w:sz w:val="28"/>
                <w:szCs w:val="28"/>
                <w:lang w:val="en-US" w:eastAsia="zh-CN"/>
              </w:rPr>
              <w:t>供应商需满足全部检测服务内容</w:t>
            </w:r>
            <w:r>
              <w:rPr>
                <w:rFonts w:hint="eastAsia" w:ascii="Times New Roman" w:hAnsi="Times New Roman" w:eastAsia="方正仿宋_GBK" w:cs="Times New Roman"/>
                <w:color w:val="auto"/>
                <w:sz w:val="28"/>
                <w:szCs w:val="28"/>
              </w:rPr>
              <w:t>。</w:t>
            </w:r>
          </w:p>
          <w:p w14:paraId="76977965">
            <w:pPr>
              <w:pStyle w:val="28"/>
              <w:spacing w:line="360" w:lineRule="exact"/>
              <w:rPr>
                <w:rFonts w:hint="eastAsia" w:ascii="Times New Roman" w:hAnsi="Times New Roman" w:eastAsia="方正仿宋_GBK" w:cs="Times New Roman"/>
                <w:color w:val="auto"/>
                <w:sz w:val="28"/>
                <w:szCs w:val="28"/>
              </w:rPr>
            </w:pPr>
            <w:r>
              <w:rPr>
                <w:rFonts w:hint="eastAsia" w:ascii="方正仿宋_GBK" w:eastAsia="方正仿宋_GBK" w:cs="方正仿宋_GBK"/>
                <w:color w:val="auto"/>
                <w:sz w:val="28"/>
                <w:szCs w:val="28"/>
              </w:rPr>
              <w:t>★</w:t>
            </w:r>
            <w:r>
              <w:rPr>
                <w:rFonts w:hint="eastAsia" w:ascii="Times New Roman" w:hAnsi="Times New Roman" w:eastAsia="方正仿宋_GBK" w:cs="Times New Roman"/>
                <w:color w:val="auto"/>
                <w:sz w:val="28"/>
                <w:szCs w:val="28"/>
                <w:lang w:val="en-US" w:eastAsia="zh-CN"/>
              </w:rPr>
              <w:t>2.</w:t>
            </w:r>
            <w:r>
              <w:rPr>
                <w:rFonts w:hint="eastAsia" w:ascii="Times New Roman" w:hAnsi="Times New Roman" w:eastAsia="方正仿宋_GBK" w:cs="Times New Roman"/>
                <w:color w:val="auto"/>
                <w:sz w:val="28"/>
                <w:szCs w:val="28"/>
              </w:rPr>
              <w:t>服务方式：现场具备检测条件后，10 个工作日内完成检测。</w:t>
            </w:r>
          </w:p>
          <w:p w14:paraId="61ABB829">
            <w:pPr>
              <w:pStyle w:val="28"/>
              <w:spacing w:line="360" w:lineRule="exact"/>
              <w:rPr>
                <w:rFonts w:hint="eastAsia" w:ascii="Times New Roman" w:hAnsi="Times New Roman" w:eastAsia="方正仿宋_GBK" w:cs="Times New Roman"/>
                <w:color w:val="auto"/>
                <w:sz w:val="28"/>
                <w:szCs w:val="28"/>
                <w:lang w:val="en-US" w:eastAsia="zh-CN"/>
              </w:rPr>
            </w:pPr>
            <w:r>
              <w:rPr>
                <w:rFonts w:hint="eastAsia" w:ascii="方正仿宋_GBK" w:eastAsia="方正仿宋_GBK" w:cs="方正仿宋_GBK"/>
                <w:color w:val="auto"/>
                <w:sz w:val="28"/>
                <w:szCs w:val="28"/>
              </w:rPr>
              <w:t>★</w:t>
            </w:r>
            <w:r>
              <w:rPr>
                <w:rFonts w:hint="eastAsia" w:ascii="Times New Roman" w:hAnsi="Times New Roman" w:eastAsia="方正仿宋_GBK" w:cs="Times New Roman"/>
                <w:color w:val="auto"/>
                <w:sz w:val="28"/>
                <w:szCs w:val="28"/>
                <w:lang w:val="en-US" w:eastAsia="zh-CN"/>
              </w:rPr>
              <w:t>3.</w:t>
            </w:r>
            <w:r>
              <w:rPr>
                <w:rFonts w:hint="eastAsia" w:ascii="Times New Roman" w:hAnsi="Times New Roman" w:eastAsia="方正仿宋_GBK" w:cs="Times New Roman"/>
                <w:color w:val="auto"/>
                <w:sz w:val="28"/>
                <w:szCs w:val="28"/>
              </w:rPr>
              <w:t>具备检验检测机构资质证书（CMA），或CNAS颁发的认可证书，且在有效期内</w:t>
            </w:r>
            <w:r>
              <w:rPr>
                <w:rFonts w:hint="eastAsia" w:ascii="Times New Roman" w:hAnsi="Times New Roman" w:eastAsia="方正仿宋_GBK" w:cs="Times New Roman"/>
                <w:color w:val="auto"/>
                <w:sz w:val="28"/>
                <w:szCs w:val="28"/>
                <w:lang w:eastAsia="zh-CN"/>
              </w:rPr>
              <w:t>。</w:t>
            </w:r>
          </w:p>
        </w:tc>
      </w:tr>
      <w:tr w14:paraId="4888A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2198" w:type="dxa"/>
            <w:vAlign w:val="center"/>
          </w:tcPr>
          <w:p w14:paraId="2AF2CE02">
            <w:pPr>
              <w:spacing w:line="560" w:lineRule="exact"/>
              <w:jc w:val="center"/>
              <w:rPr>
                <w:rFonts w:ascii="方正仿宋_GBK" w:eastAsia="方正仿宋_GBK" w:cs="方正仿宋_GBK"/>
                <w:color w:val="auto"/>
                <w:sz w:val="28"/>
                <w:szCs w:val="28"/>
              </w:rPr>
            </w:pPr>
            <w:r>
              <w:rPr>
                <w:rFonts w:hint="eastAsia" w:ascii="方正仿宋_GBK" w:eastAsia="方正仿宋_GBK" w:cs="方正仿宋_GBK"/>
                <w:color w:val="auto"/>
                <w:sz w:val="28"/>
                <w:szCs w:val="28"/>
              </w:rPr>
              <w:t>评审因素</w:t>
            </w:r>
          </w:p>
        </w:tc>
        <w:tc>
          <w:tcPr>
            <w:tcW w:w="6862" w:type="dxa"/>
            <w:vAlign w:val="center"/>
          </w:tcPr>
          <w:p w14:paraId="643B55A0">
            <w:pPr>
              <w:spacing w:line="560" w:lineRule="exact"/>
              <w:jc w:val="left"/>
              <w:rPr>
                <w:rFonts w:hint="eastAsia" w:ascii="方正仿宋_GBK" w:eastAsia="方正仿宋_GBK" w:cs="方正仿宋_GBK"/>
                <w:color w:val="auto"/>
                <w:sz w:val="28"/>
                <w:szCs w:val="28"/>
                <w:lang w:eastAsia="zh-CN"/>
              </w:rPr>
            </w:pPr>
            <w:r>
              <w:rPr>
                <w:rFonts w:ascii="方正仿宋_GBK" w:eastAsia="方正仿宋_GBK" w:cs="方正仿宋_GBK"/>
                <w:color w:val="auto"/>
                <w:sz w:val="28"/>
                <w:szCs w:val="28"/>
              </w:rPr>
              <w:t>评审方法按照</w:t>
            </w:r>
            <w:r>
              <w:rPr>
                <w:rFonts w:hint="eastAsia" w:ascii="方正仿宋_GBK" w:eastAsia="方正仿宋_GBK" w:cs="方正仿宋_GBK"/>
                <w:color w:val="auto"/>
                <w:sz w:val="28"/>
                <w:szCs w:val="28"/>
                <w:lang w:val="en-US" w:eastAsia="zh-CN"/>
              </w:rPr>
              <w:t>附件</w:t>
            </w:r>
            <w:r>
              <w:rPr>
                <w:rFonts w:hint="eastAsia" w:ascii="方正仿宋_GBK" w:eastAsia="方正仿宋_GBK" w:cs="方正仿宋_GBK"/>
                <w:color w:val="auto"/>
                <w:sz w:val="28"/>
                <w:szCs w:val="28"/>
                <w:lang w:eastAsia="zh-CN"/>
              </w:rPr>
              <w:t>“</w:t>
            </w:r>
            <w:r>
              <w:rPr>
                <w:rFonts w:hint="eastAsia" w:ascii="方正仿宋_GBK" w:eastAsia="方正仿宋_GBK" w:cs="方正仿宋_GBK"/>
                <w:color w:val="auto"/>
                <w:sz w:val="28"/>
                <w:szCs w:val="28"/>
                <w:lang w:val="en-US" w:eastAsia="zh-CN"/>
              </w:rPr>
              <w:t>综合评分法评审原则”</w:t>
            </w:r>
            <w:r>
              <w:rPr>
                <w:rFonts w:hint="eastAsia" w:ascii="方正仿宋_GBK" w:eastAsia="方正仿宋_GBK" w:cs="方正仿宋_GBK"/>
                <w:color w:val="auto"/>
                <w:sz w:val="28"/>
                <w:szCs w:val="28"/>
                <w:lang w:val="en-US" w:eastAsia="zh-CN"/>
              </w:rPr>
              <w:t>开展</w:t>
            </w:r>
            <w:r>
              <w:rPr>
                <w:rFonts w:hint="eastAsia" w:ascii="方正仿宋_GBK" w:eastAsia="方正仿宋_GBK" w:cs="方正仿宋_GBK"/>
                <w:color w:val="auto"/>
                <w:sz w:val="28"/>
                <w:szCs w:val="28"/>
                <w:lang w:eastAsia="zh-CN"/>
              </w:rPr>
              <w:t>。</w:t>
            </w:r>
          </w:p>
        </w:tc>
      </w:tr>
      <w:tr w14:paraId="220A3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5" w:hRule="atLeast"/>
        </w:trPr>
        <w:tc>
          <w:tcPr>
            <w:tcW w:w="2198" w:type="dxa"/>
            <w:vAlign w:val="center"/>
          </w:tcPr>
          <w:p w14:paraId="605802F7">
            <w:pPr>
              <w:spacing w:line="560" w:lineRule="exact"/>
              <w:jc w:val="center"/>
              <w:rPr>
                <w:rFonts w:ascii="方正仿宋_GBK" w:eastAsia="方正仿宋_GBK" w:cs="方正仿宋_GBK"/>
                <w:color w:val="auto"/>
                <w:sz w:val="28"/>
                <w:szCs w:val="28"/>
              </w:rPr>
            </w:pPr>
            <w:r>
              <w:rPr>
                <w:rFonts w:hint="eastAsia" w:ascii="方正仿宋_GBK" w:eastAsia="方正仿宋_GBK" w:cs="方正仿宋_GBK"/>
                <w:color w:val="auto"/>
                <w:sz w:val="28"/>
                <w:szCs w:val="28"/>
              </w:rPr>
              <w:t>其他因素</w:t>
            </w:r>
          </w:p>
        </w:tc>
        <w:tc>
          <w:tcPr>
            <w:tcW w:w="6862" w:type="dxa"/>
          </w:tcPr>
          <w:p w14:paraId="36E78F4E">
            <w:pPr>
              <w:spacing w:line="400" w:lineRule="exact"/>
              <w:jc w:val="left"/>
              <w:rPr>
                <w:rFonts w:ascii="方正仿宋_GBK" w:eastAsia="方正仿宋_GBK" w:cs="方正仿宋_GBK"/>
                <w:color w:val="auto"/>
                <w:sz w:val="28"/>
                <w:szCs w:val="28"/>
              </w:rPr>
            </w:pPr>
            <w:r>
              <w:rPr>
                <w:rFonts w:hint="eastAsia" w:ascii="方正仿宋_GBK" w:eastAsia="方正仿宋_GBK" w:cs="方正仿宋_GBK"/>
                <w:color w:val="auto"/>
                <w:sz w:val="28"/>
                <w:szCs w:val="28"/>
              </w:rPr>
              <w:t>1、公告期限3个工作日。</w:t>
            </w:r>
          </w:p>
          <w:p w14:paraId="400C52A2">
            <w:pPr>
              <w:pStyle w:val="28"/>
              <w:spacing w:line="360" w:lineRule="exact"/>
              <w:jc w:val="left"/>
              <w:rPr>
                <w:rFonts w:ascii="方正仿宋_GBK" w:eastAsia="方正仿宋_GBK" w:cs="方正仿宋_GBK"/>
                <w:color w:val="auto"/>
                <w:sz w:val="28"/>
                <w:szCs w:val="28"/>
              </w:rPr>
            </w:pPr>
            <w:r>
              <w:rPr>
                <w:rFonts w:hint="eastAsia" w:ascii="方正仿宋_GBK" w:eastAsia="方正仿宋_GBK" w:cs="方正仿宋_GBK"/>
                <w:color w:val="auto"/>
                <w:sz w:val="28"/>
                <w:szCs w:val="28"/>
              </w:rPr>
              <w:t>2、响应文件份数：响应文件正本1份、副本</w:t>
            </w:r>
            <w:r>
              <w:rPr>
                <w:rFonts w:hint="eastAsia" w:ascii="方正仿宋_GBK" w:eastAsia="方正仿宋_GBK" w:cs="方正仿宋_GBK"/>
                <w:color w:val="auto"/>
                <w:sz w:val="28"/>
                <w:szCs w:val="28"/>
                <w:lang w:val="en-US" w:eastAsia="zh-CN"/>
              </w:rPr>
              <w:t>2</w:t>
            </w:r>
            <w:r>
              <w:rPr>
                <w:rFonts w:hint="eastAsia" w:ascii="方正仿宋_GBK" w:eastAsia="方正仿宋_GBK" w:cs="方正仿宋_GBK"/>
                <w:color w:val="auto"/>
                <w:sz w:val="28"/>
                <w:szCs w:val="28"/>
              </w:rPr>
              <w:t>份，胶装装订成册，密封提交</w:t>
            </w:r>
            <w:r>
              <w:rPr>
                <w:rFonts w:hint="eastAsia" w:ascii="Times New Roman" w:hAnsi="Times New Roman" w:eastAsia="方正仿宋_GBK" w:cs="Times New Roman"/>
                <w:color w:val="auto"/>
                <w:sz w:val="28"/>
                <w:szCs w:val="28"/>
              </w:rPr>
              <w:t>。</w:t>
            </w:r>
          </w:p>
        </w:tc>
      </w:tr>
    </w:tbl>
    <w:p w14:paraId="47C35212">
      <w:pPr>
        <w:rPr>
          <w:color w:val="auto"/>
        </w:rPr>
      </w:pPr>
    </w:p>
    <w:p w14:paraId="76F6BD6D">
      <w:pPr>
        <w:rPr>
          <w:color w:val="auto"/>
        </w:rPr>
      </w:pPr>
    </w:p>
    <w:p w14:paraId="140EEE36">
      <w:pPr>
        <w:rPr>
          <w:color w:val="auto"/>
        </w:rPr>
      </w:pPr>
    </w:p>
    <w:p w14:paraId="1A633F40">
      <w:pPr>
        <w:rPr>
          <w:color w:val="auto"/>
        </w:rPr>
      </w:pPr>
    </w:p>
    <w:p w14:paraId="1B6DBF4A">
      <w:pPr>
        <w:rPr>
          <w:color w:val="auto"/>
        </w:rPr>
      </w:pPr>
    </w:p>
    <w:p w14:paraId="78794B5F">
      <w:pPr>
        <w:rPr>
          <w:color w:val="auto"/>
        </w:rPr>
      </w:pPr>
    </w:p>
    <w:p w14:paraId="1E256ACC">
      <w:pPr>
        <w:rPr>
          <w:color w:val="auto"/>
        </w:rPr>
      </w:pPr>
    </w:p>
    <w:p w14:paraId="0D9A4D8A">
      <w:pPr>
        <w:rPr>
          <w:color w:val="auto"/>
        </w:rPr>
      </w:pPr>
    </w:p>
    <w:p w14:paraId="4C207162">
      <w:pPr>
        <w:rPr>
          <w:color w:val="auto"/>
        </w:rPr>
      </w:pPr>
    </w:p>
    <w:p w14:paraId="0AC753AA">
      <w:pPr>
        <w:rPr>
          <w:color w:val="auto"/>
        </w:rPr>
      </w:pPr>
    </w:p>
    <w:p w14:paraId="4D187D5C">
      <w:pPr>
        <w:rPr>
          <w:color w:val="auto"/>
        </w:rPr>
      </w:pPr>
    </w:p>
    <w:p w14:paraId="3BD1A7BB">
      <w:pPr>
        <w:rPr>
          <w:color w:val="auto"/>
        </w:rPr>
      </w:pPr>
    </w:p>
    <w:p w14:paraId="7D0C006F">
      <w:pPr>
        <w:rPr>
          <w:color w:val="auto"/>
        </w:rPr>
      </w:pPr>
    </w:p>
    <w:p w14:paraId="20BAB7CC">
      <w:pPr>
        <w:rPr>
          <w:color w:val="auto"/>
        </w:rPr>
      </w:pPr>
    </w:p>
    <w:p w14:paraId="60067B8D">
      <w:pPr>
        <w:rPr>
          <w:color w:val="auto"/>
        </w:rPr>
      </w:pPr>
    </w:p>
    <w:p w14:paraId="2DEE9B3A">
      <w:pPr>
        <w:rPr>
          <w:color w:val="auto"/>
        </w:rPr>
      </w:pPr>
    </w:p>
    <w:p w14:paraId="43C8294C">
      <w:pPr>
        <w:rPr>
          <w:color w:val="auto"/>
        </w:rPr>
      </w:pPr>
    </w:p>
    <w:p w14:paraId="3983F53D">
      <w:pPr>
        <w:rPr>
          <w:color w:val="auto"/>
        </w:rPr>
      </w:pPr>
    </w:p>
    <w:p w14:paraId="5564AB79">
      <w:pPr>
        <w:rPr>
          <w:color w:val="auto"/>
        </w:rPr>
      </w:pPr>
    </w:p>
    <w:p w14:paraId="502C23EA">
      <w:pPr>
        <w:rPr>
          <w:color w:val="auto"/>
        </w:rPr>
      </w:pPr>
    </w:p>
    <w:p w14:paraId="345CB932">
      <w:pPr>
        <w:rPr>
          <w:color w:val="auto"/>
        </w:rPr>
      </w:pPr>
    </w:p>
    <w:p w14:paraId="4ED0FFDE">
      <w:pPr>
        <w:rPr>
          <w:color w:val="auto"/>
        </w:rPr>
      </w:pPr>
    </w:p>
    <w:p w14:paraId="657AC91C">
      <w:pPr>
        <w:rPr>
          <w:color w:val="auto"/>
        </w:rPr>
      </w:pPr>
    </w:p>
    <w:p w14:paraId="3F242ECF">
      <w:pPr>
        <w:rPr>
          <w:color w:val="auto"/>
        </w:rPr>
      </w:pPr>
    </w:p>
    <w:p w14:paraId="3B9D2C2A">
      <w:pPr>
        <w:rPr>
          <w:color w:val="auto"/>
        </w:rPr>
      </w:pPr>
    </w:p>
    <w:p w14:paraId="3F5DDD5F">
      <w:pPr>
        <w:rPr>
          <w:color w:val="auto"/>
        </w:rPr>
      </w:pPr>
    </w:p>
    <w:p w14:paraId="161734FD">
      <w:pPr>
        <w:rPr>
          <w:color w:val="auto"/>
        </w:rPr>
      </w:pPr>
    </w:p>
    <w:p w14:paraId="659787AF">
      <w:pPr>
        <w:rPr>
          <w:color w:val="auto"/>
        </w:rPr>
      </w:pPr>
    </w:p>
    <w:p w14:paraId="09BF0829">
      <w:pPr>
        <w:rPr>
          <w:color w:val="auto"/>
        </w:rPr>
      </w:pPr>
    </w:p>
    <w:p w14:paraId="42F38637">
      <w:pPr>
        <w:rPr>
          <w:color w:val="auto"/>
        </w:rPr>
      </w:pPr>
    </w:p>
    <w:p w14:paraId="024491EF">
      <w:pPr>
        <w:pStyle w:val="2"/>
        <w:rPr>
          <w:color w:val="auto"/>
        </w:rPr>
      </w:pPr>
    </w:p>
    <w:p w14:paraId="0646D9AB">
      <w:pPr>
        <w:pStyle w:val="2"/>
        <w:rPr>
          <w:color w:val="auto"/>
        </w:rPr>
      </w:pPr>
    </w:p>
    <w:p w14:paraId="6D677AF7">
      <w:pPr>
        <w:pStyle w:val="2"/>
        <w:rPr>
          <w:color w:val="auto"/>
        </w:rPr>
      </w:pPr>
    </w:p>
    <w:p w14:paraId="055C810D">
      <w:pPr>
        <w:rPr>
          <w:color w:val="auto"/>
        </w:rPr>
      </w:pPr>
    </w:p>
    <w:p w14:paraId="4E79283E">
      <w:pPr>
        <w:rPr>
          <w:color w:val="auto"/>
        </w:rPr>
      </w:pPr>
    </w:p>
    <w:p w14:paraId="1814A336">
      <w:pPr>
        <w:rPr>
          <w:color w:val="auto"/>
        </w:rPr>
      </w:pPr>
    </w:p>
    <w:p w14:paraId="4EDF83C0">
      <w:pPr>
        <w:rPr>
          <w:color w:val="auto"/>
        </w:rPr>
      </w:pPr>
    </w:p>
    <w:p w14:paraId="0DB03C9A">
      <w:pPr>
        <w:rPr>
          <w:color w:val="auto"/>
        </w:rPr>
      </w:pPr>
    </w:p>
    <w:p w14:paraId="6BF8199D">
      <w:pPr>
        <w:rPr>
          <w:color w:val="auto"/>
        </w:rPr>
      </w:pPr>
    </w:p>
    <w:p w14:paraId="79911D46">
      <w:pPr>
        <w:spacing w:line="560" w:lineRule="exact"/>
        <w:rPr>
          <w:rFonts w:ascii="方正仿宋_GBK" w:eastAsia="方正仿宋_GBK" w:cs="方正仿宋_GBK"/>
          <w:color w:val="auto"/>
          <w:sz w:val="28"/>
          <w:szCs w:val="28"/>
        </w:rPr>
      </w:pPr>
      <w:r>
        <w:rPr>
          <w:rFonts w:hint="eastAsia" w:ascii="方正仿宋_GBK" w:eastAsia="方正仿宋_GBK" w:cs="方正仿宋_GBK"/>
          <w:color w:val="auto"/>
          <w:sz w:val="28"/>
          <w:szCs w:val="28"/>
        </w:rPr>
        <w:t>附表：</w:t>
      </w:r>
    </w:p>
    <w:tbl>
      <w:tblPr>
        <w:tblStyle w:val="9"/>
        <w:tblW w:w="9424" w:type="dxa"/>
        <w:jc w:val="center"/>
        <w:tblLayout w:type="autofit"/>
        <w:tblCellMar>
          <w:top w:w="0" w:type="dxa"/>
          <w:left w:w="108" w:type="dxa"/>
          <w:bottom w:w="0" w:type="dxa"/>
          <w:right w:w="108" w:type="dxa"/>
        </w:tblCellMar>
      </w:tblPr>
      <w:tblGrid>
        <w:gridCol w:w="810"/>
        <w:gridCol w:w="7454"/>
        <w:gridCol w:w="1160"/>
      </w:tblGrid>
      <w:tr w14:paraId="7BDC3BA7">
        <w:tblPrEx>
          <w:tblCellMar>
            <w:top w:w="0" w:type="dxa"/>
            <w:left w:w="108" w:type="dxa"/>
            <w:bottom w:w="0" w:type="dxa"/>
            <w:right w:w="108" w:type="dxa"/>
          </w:tblCellMar>
        </w:tblPrEx>
        <w:trPr>
          <w:trHeight w:val="320" w:hRule="atLeast"/>
          <w:jc w:val="center"/>
        </w:trPr>
        <w:tc>
          <w:tcPr>
            <w:tcW w:w="810" w:type="dxa"/>
            <w:tcBorders>
              <w:top w:val="single" w:color="auto" w:sz="4" w:space="0"/>
              <w:left w:val="single" w:color="auto" w:sz="4" w:space="0"/>
              <w:bottom w:val="single" w:color="auto" w:sz="4" w:space="0"/>
              <w:right w:val="single" w:color="auto" w:sz="4" w:space="0"/>
            </w:tcBorders>
            <w:vAlign w:val="center"/>
          </w:tcPr>
          <w:p w14:paraId="0E32382E">
            <w:pPr>
              <w:spacing w:line="400" w:lineRule="exact"/>
              <w:jc w:val="center"/>
              <w:rPr>
                <w:rFonts w:ascii="方正仿宋_GBK" w:eastAsia="方正仿宋_GBK" w:cs="方正仿宋_GBK"/>
                <w:b/>
                <w:bCs/>
                <w:color w:val="auto"/>
                <w:szCs w:val="21"/>
              </w:rPr>
            </w:pPr>
            <w:r>
              <w:rPr>
                <w:rFonts w:hint="eastAsia" w:ascii="方正仿宋_GBK" w:eastAsia="方正仿宋_GBK" w:cs="方正仿宋_GBK"/>
                <w:b/>
                <w:bCs/>
                <w:color w:val="auto"/>
                <w:szCs w:val="21"/>
              </w:rPr>
              <w:t>序号</w:t>
            </w:r>
          </w:p>
        </w:tc>
        <w:tc>
          <w:tcPr>
            <w:tcW w:w="7454" w:type="dxa"/>
            <w:tcBorders>
              <w:top w:val="single" w:color="auto" w:sz="4" w:space="0"/>
              <w:left w:val="nil"/>
              <w:bottom w:val="single" w:color="auto" w:sz="4" w:space="0"/>
              <w:right w:val="single" w:color="auto" w:sz="4" w:space="0"/>
            </w:tcBorders>
            <w:vAlign w:val="center"/>
          </w:tcPr>
          <w:p w14:paraId="5D6A5FB6">
            <w:pPr>
              <w:spacing w:line="400" w:lineRule="exact"/>
              <w:jc w:val="center"/>
              <w:rPr>
                <w:rFonts w:ascii="方正仿宋_GBK" w:eastAsia="方正仿宋_GBK" w:cs="方正仿宋_GBK"/>
                <w:b/>
                <w:bCs/>
                <w:color w:val="auto"/>
                <w:szCs w:val="21"/>
              </w:rPr>
            </w:pPr>
            <w:r>
              <w:rPr>
                <w:rFonts w:hint="eastAsia" w:ascii="方正仿宋_GBK" w:eastAsia="方正仿宋_GBK" w:cs="方正仿宋_GBK"/>
                <w:b/>
                <w:bCs/>
                <w:color w:val="auto"/>
                <w:szCs w:val="21"/>
              </w:rPr>
              <w:t>项目名称</w:t>
            </w:r>
          </w:p>
        </w:tc>
        <w:tc>
          <w:tcPr>
            <w:tcW w:w="1160" w:type="dxa"/>
            <w:tcBorders>
              <w:top w:val="single" w:color="auto" w:sz="4" w:space="0"/>
              <w:left w:val="nil"/>
              <w:bottom w:val="single" w:color="auto" w:sz="4" w:space="0"/>
              <w:right w:val="single" w:color="auto" w:sz="4" w:space="0"/>
            </w:tcBorders>
            <w:vAlign w:val="center"/>
          </w:tcPr>
          <w:p w14:paraId="07721DF9">
            <w:pPr>
              <w:spacing w:line="400" w:lineRule="exact"/>
              <w:jc w:val="center"/>
              <w:rPr>
                <w:rFonts w:ascii="方正仿宋_GBK" w:eastAsia="方正仿宋_GBK" w:cs="方正仿宋_GBK"/>
                <w:b/>
                <w:bCs/>
                <w:color w:val="auto"/>
                <w:szCs w:val="21"/>
              </w:rPr>
            </w:pPr>
            <w:r>
              <w:rPr>
                <w:rFonts w:hint="eastAsia" w:ascii="方正仿宋_GBK" w:eastAsia="方正仿宋_GBK" w:cs="方正仿宋_GBK"/>
                <w:b/>
                <w:bCs/>
                <w:color w:val="auto"/>
                <w:szCs w:val="21"/>
                <w:lang w:val="en-US" w:eastAsia="zh-CN"/>
              </w:rPr>
              <w:t>金额</w:t>
            </w:r>
            <w:r>
              <w:rPr>
                <w:rFonts w:hint="eastAsia" w:ascii="方正仿宋_GBK" w:eastAsia="方正仿宋_GBK" w:cs="方正仿宋_GBK"/>
                <w:b/>
                <w:bCs/>
                <w:color w:val="auto"/>
                <w:szCs w:val="21"/>
              </w:rPr>
              <w:t>（元）</w:t>
            </w:r>
          </w:p>
        </w:tc>
      </w:tr>
      <w:tr w14:paraId="2587796B">
        <w:tblPrEx>
          <w:tblCellMar>
            <w:top w:w="0" w:type="dxa"/>
            <w:left w:w="108" w:type="dxa"/>
            <w:bottom w:w="0" w:type="dxa"/>
            <w:right w:w="108" w:type="dxa"/>
          </w:tblCellMar>
        </w:tblPrEx>
        <w:trPr>
          <w:trHeight w:val="900" w:hRule="atLeast"/>
          <w:jc w:val="center"/>
        </w:trPr>
        <w:tc>
          <w:tcPr>
            <w:tcW w:w="810" w:type="dxa"/>
            <w:vMerge w:val="restart"/>
            <w:tcBorders>
              <w:top w:val="nil"/>
              <w:left w:val="single" w:color="auto" w:sz="4" w:space="0"/>
              <w:bottom w:val="single" w:color="auto" w:sz="4" w:space="0"/>
              <w:right w:val="single" w:color="auto" w:sz="4" w:space="0"/>
            </w:tcBorders>
            <w:vAlign w:val="center"/>
          </w:tcPr>
          <w:p w14:paraId="5818D1B2">
            <w:pPr>
              <w:spacing w:line="400" w:lineRule="exact"/>
              <w:jc w:val="center"/>
              <w:rPr>
                <w:rFonts w:ascii="方正仿宋_GBK" w:eastAsia="方正仿宋_GBK" w:cs="方正仿宋_GBK"/>
                <w:color w:val="auto"/>
                <w:szCs w:val="21"/>
              </w:rPr>
            </w:pPr>
            <w:r>
              <w:rPr>
                <w:rFonts w:hint="eastAsia" w:ascii="方正仿宋_GBK" w:eastAsia="方正仿宋_GBK" w:cs="方正仿宋_GBK"/>
                <w:color w:val="auto"/>
                <w:szCs w:val="21"/>
              </w:rPr>
              <w:t>1</w:t>
            </w:r>
          </w:p>
        </w:tc>
        <w:tc>
          <w:tcPr>
            <w:tcW w:w="7454" w:type="dxa"/>
            <w:tcBorders>
              <w:top w:val="nil"/>
              <w:left w:val="nil"/>
              <w:bottom w:val="single" w:color="auto" w:sz="4" w:space="0"/>
              <w:right w:val="single" w:color="auto" w:sz="4" w:space="0"/>
            </w:tcBorders>
            <w:vAlign w:val="center"/>
          </w:tcPr>
          <w:p w14:paraId="13872A98">
            <w:pPr>
              <w:spacing w:line="400" w:lineRule="exact"/>
              <w:jc w:val="left"/>
              <w:rPr>
                <w:rFonts w:ascii="方正仿宋_GBK" w:eastAsia="方正仿宋_GBK" w:cs="方正仿宋_GBK"/>
                <w:color w:val="auto"/>
                <w:szCs w:val="21"/>
              </w:rPr>
            </w:pPr>
            <w:r>
              <w:rPr>
                <w:rFonts w:hint="eastAsia" w:ascii="方正仿宋_GBK" w:eastAsia="方正仿宋_GBK" w:cs="方正仿宋_GBK"/>
                <w:color w:val="auto"/>
                <w:szCs w:val="21"/>
              </w:rPr>
              <w:t>房间综合检测，按照</w:t>
            </w:r>
            <w:r>
              <w:rPr>
                <w:rFonts w:hint="eastAsia" w:ascii="方正仿宋_GBK" w:eastAsia="方正仿宋_GBK" w:cs="方正仿宋_GBK"/>
                <w:color w:val="auto"/>
                <w:szCs w:val="21"/>
                <w:lang w:val="en-US" w:eastAsia="zh-CN"/>
              </w:rPr>
              <w:t>20个</w:t>
            </w:r>
            <w:r>
              <w:rPr>
                <w:rFonts w:hint="eastAsia" w:ascii="方正仿宋_GBK" w:eastAsia="方正仿宋_GBK" w:cs="方正仿宋_GBK"/>
                <w:color w:val="auto"/>
                <w:szCs w:val="21"/>
              </w:rPr>
              <w:t>高效送风口计价</w:t>
            </w:r>
          </w:p>
        </w:tc>
        <w:tc>
          <w:tcPr>
            <w:tcW w:w="1160" w:type="dxa"/>
            <w:vMerge w:val="restart"/>
            <w:tcBorders>
              <w:top w:val="nil"/>
              <w:left w:val="nil"/>
              <w:right w:val="single" w:color="auto" w:sz="4" w:space="0"/>
            </w:tcBorders>
            <w:vAlign w:val="center"/>
          </w:tcPr>
          <w:p w14:paraId="1E63A30F">
            <w:pPr>
              <w:spacing w:line="400" w:lineRule="exact"/>
              <w:jc w:val="center"/>
              <w:rPr>
                <w:rFonts w:hint="default" w:ascii="方正仿宋_GBK" w:eastAsia="方正仿宋_GBK" w:cs="方正仿宋_GBK"/>
                <w:color w:val="auto"/>
                <w:szCs w:val="21"/>
                <w:lang w:val="en-US" w:eastAsia="zh-CN"/>
              </w:rPr>
            </w:pPr>
            <w:r>
              <w:rPr>
                <w:rFonts w:hint="eastAsia" w:ascii="方正仿宋_GBK" w:eastAsia="方正仿宋_GBK" w:cs="方正仿宋_GBK"/>
                <w:color w:val="auto"/>
                <w:szCs w:val="21"/>
                <w:lang w:val="en-US" w:eastAsia="zh-CN"/>
              </w:rPr>
              <w:t>7000</w:t>
            </w:r>
          </w:p>
        </w:tc>
      </w:tr>
      <w:tr w14:paraId="3C3391C4">
        <w:tblPrEx>
          <w:tblCellMar>
            <w:top w:w="0" w:type="dxa"/>
            <w:left w:w="108" w:type="dxa"/>
            <w:bottom w:w="0" w:type="dxa"/>
            <w:right w:w="108" w:type="dxa"/>
          </w:tblCellMar>
        </w:tblPrEx>
        <w:trPr>
          <w:trHeight w:val="660" w:hRule="atLeast"/>
          <w:jc w:val="center"/>
        </w:trPr>
        <w:tc>
          <w:tcPr>
            <w:tcW w:w="810" w:type="dxa"/>
            <w:vMerge w:val="continue"/>
            <w:tcBorders>
              <w:top w:val="nil"/>
              <w:left w:val="single" w:color="auto" w:sz="4" w:space="0"/>
              <w:bottom w:val="single" w:color="auto" w:sz="4" w:space="0"/>
              <w:right w:val="single" w:color="auto" w:sz="4" w:space="0"/>
            </w:tcBorders>
            <w:vAlign w:val="center"/>
          </w:tcPr>
          <w:p w14:paraId="1CFD9C9F">
            <w:pPr>
              <w:spacing w:line="400" w:lineRule="exact"/>
              <w:jc w:val="center"/>
              <w:rPr>
                <w:rFonts w:ascii="方正仿宋_GBK" w:eastAsia="方正仿宋_GBK" w:cs="方正仿宋_GBK"/>
                <w:color w:val="auto"/>
                <w:szCs w:val="21"/>
              </w:rPr>
            </w:pPr>
          </w:p>
        </w:tc>
        <w:tc>
          <w:tcPr>
            <w:tcW w:w="7454" w:type="dxa"/>
            <w:tcBorders>
              <w:top w:val="single" w:color="auto" w:sz="4" w:space="0"/>
              <w:left w:val="nil"/>
              <w:bottom w:val="single" w:color="auto" w:sz="4" w:space="0"/>
              <w:right w:val="single" w:color="auto" w:sz="4" w:space="0"/>
            </w:tcBorders>
            <w:vAlign w:val="center"/>
          </w:tcPr>
          <w:p w14:paraId="7C348655">
            <w:pPr>
              <w:spacing w:line="400" w:lineRule="exact"/>
              <w:rPr>
                <w:rFonts w:ascii="方正仿宋_GBK" w:eastAsia="方正仿宋_GBK" w:cs="方正仿宋_GBK"/>
                <w:color w:val="auto"/>
                <w:szCs w:val="21"/>
              </w:rPr>
            </w:pPr>
            <w:r>
              <w:rPr>
                <w:rFonts w:hint="eastAsia" w:ascii="方正仿宋_GBK" w:eastAsia="方正仿宋_GBK" w:cs="方正仿宋_GBK"/>
                <w:color w:val="auto"/>
                <w:szCs w:val="21"/>
              </w:rPr>
              <w:t>说明：范围包括防房间的各项物理参数（风量、静压差、洁净度、噪声、照度、温度、湿度）</w:t>
            </w:r>
          </w:p>
        </w:tc>
        <w:tc>
          <w:tcPr>
            <w:tcW w:w="1160" w:type="dxa"/>
            <w:vMerge w:val="continue"/>
            <w:tcBorders>
              <w:left w:val="nil"/>
              <w:bottom w:val="single" w:color="auto" w:sz="4" w:space="0"/>
              <w:right w:val="single" w:color="auto" w:sz="4" w:space="0"/>
            </w:tcBorders>
            <w:vAlign w:val="center"/>
          </w:tcPr>
          <w:p w14:paraId="64621CF1">
            <w:pPr>
              <w:spacing w:line="400" w:lineRule="exact"/>
              <w:jc w:val="center"/>
              <w:rPr>
                <w:rFonts w:ascii="方正仿宋_GBK" w:eastAsia="方正仿宋_GBK" w:cs="方正仿宋_GBK"/>
                <w:color w:val="auto"/>
                <w:szCs w:val="21"/>
              </w:rPr>
            </w:pPr>
          </w:p>
        </w:tc>
      </w:tr>
      <w:tr w14:paraId="1E335CFB">
        <w:tblPrEx>
          <w:tblCellMar>
            <w:top w:w="0" w:type="dxa"/>
            <w:left w:w="108" w:type="dxa"/>
            <w:bottom w:w="0" w:type="dxa"/>
            <w:right w:w="108" w:type="dxa"/>
          </w:tblCellMar>
        </w:tblPrEx>
        <w:trPr>
          <w:trHeight w:val="600" w:hRule="atLeast"/>
          <w:jc w:val="center"/>
        </w:trPr>
        <w:tc>
          <w:tcPr>
            <w:tcW w:w="810" w:type="dxa"/>
            <w:vMerge w:val="restart"/>
            <w:tcBorders>
              <w:top w:val="nil"/>
              <w:left w:val="single" w:color="auto" w:sz="4" w:space="0"/>
              <w:bottom w:val="single" w:color="auto" w:sz="4" w:space="0"/>
              <w:right w:val="single" w:color="auto" w:sz="4" w:space="0"/>
            </w:tcBorders>
            <w:vAlign w:val="center"/>
          </w:tcPr>
          <w:p w14:paraId="75455B47">
            <w:pPr>
              <w:spacing w:line="400" w:lineRule="exact"/>
              <w:jc w:val="center"/>
              <w:rPr>
                <w:rFonts w:ascii="方正仿宋_GBK" w:eastAsia="方正仿宋_GBK" w:cs="方正仿宋_GBK"/>
                <w:color w:val="auto"/>
                <w:szCs w:val="21"/>
              </w:rPr>
            </w:pPr>
            <w:r>
              <w:rPr>
                <w:rFonts w:hint="eastAsia" w:ascii="方正仿宋_GBK" w:eastAsia="方正仿宋_GBK" w:cs="方正仿宋_GBK"/>
                <w:color w:val="auto"/>
                <w:szCs w:val="21"/>
              </w:rPr>
              <w:t>2</w:t>
            </w:r>
          </w:p>
        </w:tc>
        <w:tc>
          <w:tcPr>
            <w:tcW w:w="7454" w:type="dxa"/>
            <w:tcBorders>
              <w:top w:val="nil"/>
              <w:left w:val="nil"/>
              <w:bottom w:val="single" w:color="auto" w:sz="4" w:space="0"/>
              <w:right w:val="single" w:color="auto" w:sz="4" w:space="0"/>
            </w:tcBorders>
            <w:vAlign w:val="center"/>
          </w:tcPr>
          <w:p w14:paraId="5F80524C">
            <w:pPr>
              <w:spacing w:line="400" w:lineRule="exact"/>
              <w:jc w:val="left"/>
              <w:rPr>
                <w:rFonts w:ascii="方正仿宋_GBK" w:eastAsia="方正仿宋_GBK" w:cs="方正仿宋_GBK"/>
                <w:color w:val="auto"/>
                <w:szCs w:val="21"/>
              </w:rPr>
            </w:pPr>
            <w:r>
              <w:rPr>
                <w:rFonts w:hint="eastAsia" w:ascii="方正仿宋_GBK" w:eastAsia="方正仿宋_GBK" w:cs="方正仿宋_GBK"/>
                <w:color w:val="auto"/>
                <w:szCs w:val="21"/>
                <w:lang w:val="en-US" w:eastAsia="zh-CN"/>
              </w:rPr>
              <w:t>8台</w:t>
            </w:r>
            <w:r>
              <w:rPr>
                <w:rFonts w:hint="eastAsia" w:ascii="方正仿宋_GBK" w:eastAsia="方正仿宋_GBK" w:cs="方正仿宋_GBK"/>
                <w:color w:val="auto"/>
                <w:szCs w:val="21"/>
              </w:rPr>
              <w:t>安全柜性能检验</w:t>
            </w:r>
          </w:p>
        </w:tc>
        <w:tc>
          <w:tcPr>
            <w:tcW w:w="1160" w:type="dxa"/>
            <w:vMerge w:val="restart"/>
            <w:tcBorders>
              <w:top w:val="nil"/>
              <w:left w:val="nil"/>
              <w:right w:val="single" w:color="auto" w:sz="4" w:space="0"/>
            </w:tcBorders>
            <w:vAlign w:val="center"/>
          </w:tcPr>
          <w:p w14:paraId="4418CD46">
            <w:pPr>
              <w:spacing w:line="400" w:lineRule="exact"/>
              <w:jc w:val="center"/>
              <w:rPr>
                <w:rFonts w:hint="default" w:ascii="方正仿宋_GBK" w:eastAsia="方正仿宋_GBK" w:cs="方正仿宋_GBK"/>
                <w:color w:val="auto"/>
                <w:szCs w:val="21"/>
                <w:lang w:val="en-US" w:eastAsia="zh-CN"/>
              </w:rPr>
            </w:pPr>
            <w:r>
              <w:rPr>
                <w:rFonts w:hint="eastAsia" w:ascii="方正仿宋_GBK" w:eastAsia="方正仿宋_GBK" w:cs="方正仿宋_GBK"/>
                <w:color w:val="auto"/>
                <w:szCs w:val="21"/>
              </w:rPr>
              <w:t>1</w:t>
            </w:r>
            <w:r>
              <w:rPr>
                <w:rFonts w:hint="eastAsia" w:ascii="方正仿宋_GBK" w:eastAsia="方正仿宋_GBK" w:cs="方正仿宋_GBK"/>
                <w:color w:val="auto"/>
                <w:szCs w:val="21"/>
                <w:lang w:val="en-US" w:eastAsia="zh-CN"/>
              </w:rPr>
              <w:t>5000</w:t>
            </w:r>
          </w:p>
        </w:tc>
      </w:tr>
      <w:tr w14:paraId="13304E46">
        <w:tblPrEx>
          <w:tblCellMar>
            <w:top w:w="0" w:type="dxa"/>
            <w:left w:w="108" w:type="dxa"/>
            <w:bottom w:w="0" w:type="dxa"/>
            <w:right w:w="108" w:type="dxa"/>
          </w:tblCellMar>
        </w:tblPrEx>
        <w:trPr>
          <w:trHeight w:val="1020" w:hRule="atLeast"/>
          <w:jc w:val="center"/>
        </w:trPr>
        <w:tc>
          <w:tcPr>
            <w:tcW w:w="810" w:type="dxa"/>
            <w:vMerge w:val="continue"/>
            <w:tcBorders>
              <w:top w:val="nil"/>
              <w:left w:val="single" w:color="auto" w:sz="4" w:space="0"/>
              <w:bottom w:val="single" w:color="auto" w:sz="4" w:space="0"/>
              <w:right w:val="single" w:color="auto" w:sz="4" w:space="0"/>
            </w:tcBorders>
            <w:vAlign w:val="center"/>
          </w:tcPr>
          <w:p w14:paraId="0775C1AE">
            <w:pPr>
              <w:spacing w:line="400" w:lineRule="exact"/>
              <w:jc w:val="center"/>
              <w:rPr>
                <w:rFonts w:ascii="方正仿宋_GBK" w:eastAsia="方正仿宋_GBK" w:cs="方正仿宋_GBK"/>
                <w:color w:val="auto"/>
                <w:szCs w:val="21"/>
              </w:rPr>
            </w:pPr>
          </w:p>
        </w:tc>
        <w:tc>
          <w:tcPr>
            <w:tcW w:w="7454" w:type="dxa"/>
            <w:tcBorders>
              <w:top w:val="single" w:color="auto" w:sz="4" w:space="0"/>
              <w:left w:val="nil"/>
              <w:bottom w:val="single" w:color="auto" w:sz="4" w:space="0"/>
              <w:right w:val="single" w:color="auto" w:sz="4" w:space="0"/>
            </w:tcBorders>
            <w:vAlign w:val="center"/>
          </w:tcPr>
          <w:p w14:paraId="3C822A8B">
            <w:pPr>
              <w:spacing w:line="400" w:lineRule="exact"/>
              <w:rPr>
                <w:rFonts w:ascii="方正仿宋_GBK" w:eastAsia="方正仿宋_GBK" w:cs="方正仿宋_GBK"/>
                <w:color w:val="auto"/>
                <w:szCs w:val="21"/>
              </w:rPr>
            </w:pPr>
            <w:r>
              <w:rPr>
                <w:rFonts w:hint="eastAsia" w:ascii="方正仿宋_GBK" w:eastAsia="方正仿宋_GBK" w:cs="方正仿宋_GBK"/>
                <w:color w:val="auto"/>
                <w:szCs w:val="21"/>
              </w:rPr>
              <w:t>说明：范围包括安全柜下降气流平均流速、气流模式、流入气流平均流速、流入气流平均流速、洁净度、噪声、照度、送/排风高效过滤器检漏</w:t>
            </w:r>
          </w:p>
        </w:tc>
        <w:tc>
          <w:tcPr>
            <w:tcW w:w="1160" w:type="dxa"/>
            <w:vMerge w:val="continue"/>
            <w:tcBorders>
              <w:left w:val="nil"/>
              <w:bottom w:val="single" w:color="auto" w:sz="4" w:space="0"/>
              <w:right w:val="single" w:color="auto" w:sz="4" w:space="0"/>
            </w:tcBorders>
            <w:vAlign w:val="center"/>
          </w:tcPr>
          <w:p w14:paraId="27CA407F">
            <w:pPr>
              <w:spacing w:line="400" w:lineRule="exact"/>
              <w:jc w:val="center"/>
              <w:rPr>
                <w:rFonts w:ascii="方正仿宋_GBK" w:eastAsia="方正仿宋_GBK" w:cs="方正仿宋_GBK"/>
                <w:color w:val="auto"/>
                <w:szCs w:val="21"/>
              </w:rPr>
            </w:pPr>
          </w:p>
        </w:tc>
      </w:tr>
      <w:tr w14:paraId="19986BE9">
        <w:tblPrEx>
          <w:tblCellMar>
            <w:top w:w="0" w:type="dxa"/>
            <w:left w:w="108" w:type="dxa"/>
            <w:bottom w:w="0" w:type="dxa"/>
            <w:right w:w="108" w:type="dxa"/>
          </w:tblCellMar>
        </w:tblPrEx>
        <w:trPr>
          <w:trHeight w:val="600" w:hRule="atLeast"/>
          <w:jc w:val="center"/>
        </w:trPr>
        <w:tc>
          <w:tcPr>
            <w:tcW w:w="810" w:type="dxa"/>
            <w:vMerge w:val="restart"/>
            <w:tcBorders>
              <w:top w:val="nil"/>
              <w:left w:val="single" w:color="auto" w:sz="4" w:space="0"/>
              <w:bottom w:val="single" w:color="auto" w:sz="4" w:space="0"/>
              <w:right w:val="single" w:color="auto" w:sz="4" w:space="0"/>
            </w:tcBorders>
            <w:vAlign w:val="center"/>
          </w:tcPr>
          <w:p w14:paraId="72D8FACF">
            <w:pPr>
              <w:spacing w:line="400" w:lineRule="exact"/>
              <w:jc w:val="center"/>
              <w:rPr>
                <w:rFonts w:ascii="方正仿宋_GBK" w:eastAsia="方正仿宋_GBK" w:cs="方正仿宋_GBK"/>
                <w:color w:val="auto"/>
                <w:szCs w:val="21"/>
              </w:rPr>
            </w:pPr>
            <w:r>
              <w:rPr>
                <w:rFonts w:hint="eastAsia" w:ascii="方正仿宋_GBK" w:eastAsia="方正仿宋_GBK" w:cs="方正仿宋_GBK"/>
                <w:color w:val="auto"/>
                <w:szCs w:val="21"/>
              </w:rPr>
              <w:t>4</w:t>
            </w:r>
          </w:p>
        </w:tc>
        <w:tc>
          <w:tcPr>
            <w:tcW w:w="7454" w:type="dxa"/>
            <w:tcBorders>
              <w:top w:val="nil"/>
              <w:left w:val="nil"/>
              <w:bottom w:val="single" w:color="auto" w:sz="4" w:space="0"/>
              <w:right w:val="single" w:color="auto" w:sz="4" w:space="0"/>
            </w:tcBorders>
            <w:vAlign w:val="center"/>
          </w:tcPr>
          <w:p w14:paraId="704BE788">
            <w:pPr>
              <w:spacing w:line="400" w:lineRule="exact"/>
              <w:jc w:val="left"/>
              <w:rPr>
                <w:rFonts w:ascii="方正仿宋_GBK" w:eastAsia="方正仿宋_GBK" w:cs="方正仿宋_GBK"/>
                <w:color w:val="auto"/>
                <w:szCs w:val="21"/>
              </w:rPr>
            </w:pPr>
            <w:r>
              <w:rPr>
                <w:rFonts w:hint="eastAsia" w:ascii="方正仿宋_GBK" w:eastAsia="方正仿宋_GBK" w:cs="方正仿宋_GBK"/>
                <w:color w:val="auto"/>
                <w:szCs w:val="21"/>
                <w:lang w:val="en-US" w:eastAsia="zh-CN"/>
              </w:rPr>
              <w:t>2台</w:t>
            </w:r>
            <w:r>
              <w:rPr>
                <w:rFonts w:hint="eastAsia" w:ascii="方正仿宋_GBK" w:eastAsia="方正仿宋_GBK" w:cs="方正仿宋_GBK"/>
                <w:color w:val="auto"/>
                <w:szCs w:val="21"/>
              </w:rPr>
              <w:t>高压蒸汽灭菌锅</w:t>
            </w:r>
            <w:r>
              <w:rPr>
                <w:rFonts w:hint="eastAsia" w:ascii="方正仿宋_GBK" w:eastAsia="方正仿宋_GBK" w:cs="方正仿宋_GBK"/>
                <w:color w:val="auto"/>
                <w:szCs w:val="21"/>
                <w:lang w:val="en-US" w:eastAsia="zh-CN"/>
              </w:rPr>
              <w:t>灭菌效果检验</w:t>
            </w:r>
          </w:p>
        </w:tc>
        <w:tc>
          <w:tcPr>
            <w:tcW w:w="1160" w:type="dxa"/>
            <w:vMerge w:val="restart"/>
            <w:tcBorders>
              <w:top w:val="nil"/>
              <w:left w:val="nil"/>
              <w:right w:val="single" w:color="auto" w:sz="4" w:space="0"/>
            </w:tcBorders>
            <w:vAlign w:val="center"/>
          </w:tcPr>
          <w:p w14:paraId="25C4098C">
            <w:pPr>
              <w:spacing w:line="400" w:lineRule="exact"/>
              <w:jc w:val="center"/>
              <w:rPr>
                <w:rFonts w:hint="default" w:ascii="方正仿宋_GBK" w:eastAsia="方正仿宋_GBK" w:cs="方正仿宋_GBK"/>
                <w:color w:val="auto"/>
                <w:szCs w:val="21"/>
                <w:lang w:val="en-US" w:eastAsia="zh-CN"/>
              </w:rPr>
            </w:pPr>
            <w:r>
              <w:rPr>
                <w:rFonts w:hint="eastAsia" w:ascii="方正仿宋_GBK" w:eastAsia="方正仿宋_GBK" w:cs="方正仿宋_GBK"/>
                <w:color w:val="auto"/>
                <w:szCs w:val="21"/>
                <w:lang w:val="en-US" w:eastAsia="zh-CN"/>
              </w:rPr>
              <w:t>7000</w:t>
            </w:r>
          </w:p>
        </w:tc>
      </w:tr>
      <w:tr w14:paraId="33AB5742">
        <w:tblPrEx>
          <w:tblCellMar>
            <w:top w:w="0" w:type="dxa"/>
            <w:left w:w="108" w:type="dxa"/>
            <w:bottom w:w="0" w:type="dxa"/>
            <w:right w:w="108" w:type="dxa"/>
          </w:tblCellMar>
        </w:tblPrEx>
        <w:trPr>
          <w:trHeight w:val="320" w:hRule="atLeast"/>
          <w:jc w:val="center"/>
        </w:trPr>
        <w:tc>
          <w:tcPr>
            <w:tcW w:w="810" w:type="dxa"/>
            <w:vMerge w:val="continue"/>
            <w:tcBorders>
              <w:top w:val="nil"/>
              <w:left w:val="single" w:color="auto" w:sz="4" w:space="0"/>
              <w:bottom w:val="single" w:color="auto" w:sz="4" w:space="0"/>
              <w:right w:val="single" w:color="auto" w:sz="4" w:space="0"/>
            </w:tcBorders>
            <w:vAlign w:val="center"/>
          </w:tcPr>
          <w:p w14:paraId="4303362B">
            <w:pPr>
              <w:spacing w:line="400" w:lineRule="exact"/>
              <w:jc w:val="center"/>
              <w:rPr>
                <w:rFonts w:ascii="方正仿宋_GBK" w:eastAsia="方正仿宋_GBK" w:cs="方正仿宋_GBK"/>
                <w:color w:val="auto"/>
                <w:szCs w:val="21"/>
              </w:rPr>
            </w:pPr>
          </w:p>
        </w:tc>
        <w:tc>
          <w:tcPr>
            <w:tcW w:w="7454" w:type="dxa"/>
            <w:tcBorders>
              <w:top w:val="single" w:color="auto" w:sz="4" w:space="0"/>
              <w:left w:val="nil"/>
              <w:bottom w:val="single" w:color="auto" w:sz="4" w:space="0"/>
              <w:right w:val="single" w:color="auto" w:sz="4" w:space="0"/>
            </w:tcBorders>
            <w:vAlign w:val="center"/>
          </w:tcPr>
          <w:p w14:paraId="393A895F">
            <w:pPr>
              <w:spacing w:line="400" w:lineRule="exact"/>
              <w:rPr>
                <w:rFonts w:ascii="方正仿宋_GBK" w:eastAsia="方正仿宋_GBK" w:cs="方正仿宋_GBK"/>
                <w:color w:val="auto"/>
                <w:szCs w:val="21"/>
              </w:rPr>
            </w:pPr>
            <w:r>
              <w:rPr>
                <w:rFonts w:hint="eastAsia" w:ascii="方正仿宋_GBK" w:eastAsia="方正仿宋_GBK" w:cs="方正仿宋_GBK"/>
                <w:color w:val="auto"/>
                <w:szCs w:val="21"/>
              </w:rPr>
              <w:t>说明：灭菌效果检测、B-D检测。</w:t>
            </w:r>
          </w:p>
        </w:tc>
        <w:tc>
          <w:tcPr>
            <w:tcW w:w="1160" w:type="dxa"/>
            <w:vMerge w:val="continue"/>
            <w:tcBorders>
              <w:left w:val="nil"/>
              <w:bottom w:val="single" w:color="auto" w:sz="4" w:space="0"/>
              <w:right w:val="single" w:color="auto" w:sz="4" w:space="0"/>
            </w:tcBorders>
            <w:vAlign w:val="center"/>
          </w:tcPr>
          <w:p w14:paraId="69B60685">
            <w:pPr>
              <w:spacing w:line="400" w:lineRule="exact"/>
              <w:jc w:val="center"/>
              <w:rPr>
                <w:rFonts w:ascii="方正仿宋_GBK" w:eastAsia="方正仿宋_GBK" w:cs="方正仿宋_GBK"/>
                <w:color w:val="auto"/>
                <w:szCs w:val="21"/>
              </w:rPr>
            </w:pPr>
          </w:p>
        </w:tc>
      </w:tr>
      <w:tr w14:paraId="12090640">
        <w:tblPrEx>
          <w:tblCellMar>
            <w:top w:w="0" w:type="dxa"/>
            <w:left w:w="108" w:type="dxa"/>
            <w:bottom w:w="0" w:type="dxa"/>
            <w:right w:w="108" w:type="dxa"/>
          </w:tblCellMar>
        </w:tblPrEx>
        <w:trPr>
          <w:trHeight w:val="600" w:hRule="atLeast"/>
          <w:jc w:val="center"/>
        </w:trPr>
        <w:tc>
          <w:tcPr>
            <w:tcW w:w="810" w:type="dxa"/>
            <w:vMerge w:val="restart"/>
            <w:tcBorders>
              <w:top w:val="nil"/>
              <w:left w:val="single" w:color="auto" w:sz="4" w:space="0"/>
              <w:bottom w:val="single" w:color="auto" w:sz="4" w:space="0"/>
              <w:right w:val="single" w:color="auto" w:sz="4" w:space="0"/>
            </w:tcBorders>
            <w:vAlign w:val="center"/>
          </w:tcPr>
          <w:p w14:paraId="65E8A8F5">
            <w:pPr>
              <w:spacing w:line="400" w:lineRule="exact"/>
              <w:jc w:val="center"/>
              <w:rPr>
                <w:rFonts w:ascii="方正仿宋_GBK" w:eastAsia="方正仿宋_GBK" w:cs="方正仿宋_GBK"/>
                <w:color w:val="auto"/>
                <w:szCs w:val="21"/>
              </w:rPr>
            </w:pPr>
            <w:r>
              <w:rPr>
                <w:rFonts w:hint="eastAsia" w:ascii="方正仿宋_GBK" w:eastAsia="方正仿宋_GBK" w:cs="方正仿宋_GBK"/>
                <w:color w:val="auto"/>
                <w:szCs w:val="21"/>
              </w:rPr>
              <w:t>5</w:t>
            </w:r>
          </w:p>
        </w:tc>
        <w:tc>
          <w:tcPr>
            <w:tcW w:w="7454" w:type="dxa"/>
            <w:tcBorders>
              <w:top w:val="nil"/>
              <w:left w:val="nil"/>
              <w:bottom w:val="single" w:color="auto" w:sz="4" w:space="0"/>
              <w:right w:val="single" w:color="auto" w:sz="4" w:space="0"/>
            </w:tcBorders>
            <w:vAlign w:val="center"/>
          </w:tcPr>
          <w:p w14:paraId="21169848">
            <w:pPr>
              <w:spacing w:line="400" w:lineRule="exact"/>
              <w:jc w:val="left"/>
              <w:rPr>
                <w:rFonts w:ascii="方正仿宋_GBK" w:eastAsia="方正仿宋_GBK" w:cs="方正仿宋_GBK"/>
                <w:color w:val="auto"/>
                <w:szCs w:val="21"/>
              </w:rPr>
            </w:pPr>
            <w:r>
              <w:rPr>
                <w:rFonts w:hint="eastAsia" w:ascii="方正仿宋_GBK" w:eastAsia="方正仿宋_GBK" w:cs="方正仿宋_GBK"/>
                <w:color w:val="auto"/>
                <w:szCs w:val="21"/>
                <w:lang w:val="en-US" w:eastAsia="zh-CN"/>
              </w:rPr>
              <w:t>9台</w:t>
            </w:r>
            <w:r>
              <w:rPr>
                <w:rFonts w:hint="eastAsia" w:ascii="方正仿宋_GBK" w:eastAsia="方正仿宋_GBK" w:cs="方正仿宋_GBK"/>
                <w:color w:val="auto"/>
                <w:szCs w:val="21"/>
              </w:rPr>
              <w:t>传递窗综合性能检验</w:t>
            </w:r>
          </w:p>
        </w:tc>
        <w:tc>
          <w:tcPr>
            <w:tcW w:w="1160" w:type="dxa"/>
            <w:vMerge w:val="restart"/>
            <w:tcBorders>
              <w:top w:val="nil"/>
              <w:left w:val="nil"/>
              <w:right w:val="single" w:color="auto" w:sz="4" w:space="0"/>
            </w:tcBorders>
            <w:vAlign w:val="center"/>
          </w:tcPr>
          <w:p w14:paraId="031FDD4E">
            <w:pPr>
              <w:spacing w:line="400" w:lineRule="exact"/>
              <w:jc w:val="center"/>
              <w:rPr>
                <w:rFonts w:hint="default" w:ascii="方正仿宋_GBK" w:eastAsia="方正仿宋_GBK" w:cs="方正仿宋_GBK"/>
                <w:color w:val="auto"/>
                <w:szCs w:val="21"/>
                <w:lang w:val="en-US" w:eastAsia="zh-CN"/>
              </w:rPr>
            </w:pPr>
            <w:r>
              <w:rPr>
                <w:rFonts w:hint="eastAsia" w:ascii="方正仿宋_GBK" w:eastAsia="方正仿宋_GBK" w:cs="方正仿宋_GBK"/>
                <w:color w:val="auto"/>
                <w:szCs w:val="21"/>
                <w:lang w:val="en-US" w:eastAsia="zh-CN"/>
              </w:rPr>
              <w:t>1000</w:t>
            </w:r>
          </w:p>
        </w:tc>
      </w:tr>
      <w:tr w14:paraId="4176E48F">
        <w:tblPrEx>
          <w:tblCellMar>
            <w:top w:w="0" w:type="dxa"/>
            <w:left w:w="108" w:type="dxa"/>
            <w:bottom w:w="0" w:type="dxa"/>
            <w:right w:w="108" w:type="dxa"/>
          </w:tblCellMar>
        </w:tblPrEx>
        <w:trPr>
          <w:trHeight w:val="820" w:hRule="atLeast"/>
          <w:jc w:val="center"/>
        </w:trPr>
        <w:tc>
          <w:tcPr>
            <w:tcW w:w="810" w:type="dxa"/>
            <w:vMerge w:val="continue"/>
            <w:tcBorders>
              <w:top w:val="nil"/>
              <w:left w:val="single" w:color="auto" w:sz="4" w:space="0"/>
              <w:bottom w:val="nil"/>
              <w:right w:val="single" w:color="auto" w:sz="4" w:space="0"/>
            </w:tcBorders>
            <w:vAlign w:val="center"/>
          </w:tcPr>
          <w:p w14:paraId="5E0AFFB4">
            <w:pPr>
              <w:spacing w:line="400" w:lineRule="exact"/>
              <w:jc w:val="center"/>
              <w:rPr>
                <w:rFonts w:ascii="方正仿宋_GBK" w:eastAsia="方正仿宋_GBK" w:cs="方正仿宋_GBK"/>
                <w:color w:val="auto"/>
                <w:szCs w:val="21"/>
              </w:rPr>
            </w:pPr>
          </w:p>
        </w:tc>
        <w:tc>
          <w:tcPr>
            <w:tcW w:w="7454" w:type="dxa"/>
            <w:tcBorders>
              <w:top w:val="single" w:color="auto" w:sz="4" w:space="0"/>
              <w:left w:val="nil"/>
              <w:bottom w:val="single" w:color="auto" w:sz="4" w:space="0"/>
              <w:right w:val="single" w:color="auto" w:sz="4" w:space="0"/>
            </w:tcBorders>
            <w:vAlign w:val="center"/>
          </w:tcPr>
          <w:p w14:paraId="218A9C25">
            <w:pPr>
              <w:spacing w:line="400" w:lineRule="exact"/>
              <w:rPr>
                <w:rFonts w:ascii="方正仿宋_GBK" w:eastAsia="方正仿宋_GBK" w:cs="方正仿宋_GBK"/>
                <w:color w:val="auto"/>
                <w:szCs w:val="21"/>
              </w:rPr>
            </w:pPr>
            <w:r>
              <w:rPr>
                <w:rFonts w:hint="eastAsia" w:ascii="方正仿宋_GBK" w:eastAsia="方正仿宋_GBK" w:cs="方正仿宋_GBK"/>
                <w:color w:val="auto"/>
                <w:szCs w:val="21"/>
              </w:rPr>
              <w:t>说明：对传递窗综合性能进行外观及配置、门互锁功能、紫外辐射强度的检验。</w:t>
            </w:r>
          </w:p>
        </w:tc>
        <w:tc>
          <w:tcPr>
            <w:tcW w:w="1160" w:type="dxa"/>
            <w:vMerge w:val="continue"/>
            <w:tcBorders>
              <w:left w:val="nil"/>
              <w:right w:val="single" w:color="auto" w:sz="4" w:space="0"/>
            </w:tcBorders>
            <w:vAlign w:val="center"/>
          </w:tcPr>
          <w:p w14:paraId="441DE824">
            <w:pPr>
              <w:spacing w:line="400" w:lineRule="exact"/>
              <w:jc w:val="center"/>
              <w:rPr>
                <w:rFonts w:ascii="方正仿宋_GBK" w:eastAsia="方正仿宋_GBK" w:cs="方正仿宋_GBK"/>
                <w:color w:val="auto"/>
                <w:szCs w:val="21"/>
              </w:rPr>
            </w:pPr>
          </w:p>
        </w:tc>
      </w:tr>
      <w:tr w14:paraId="2DA5479E">
        <w:tblPrEx>
          <w:tblCellMar>
            <w:top w:w="0" w:type="dxa"/>
            <w:left w:w="108" w:type="dxa"/>
            <w:bottom w:w="0" w:type="dxa"/>
            <w:right w:w="108" w:type="dxa"/>
          </w:tblCellMar>
        </w:tblPrEx>
        <w:trPr>
          <w:trHeight w:val="820" w:hRule="atLeast"/>
          <w:jc w:val="center"/>
        </w:trPr>
        <w:tc>
          <w:tcPr>
            <w:tcW w:w="810" w:type="dxa"/>
            <w:tcBorders>
              <w:top w:val="nil"/>
              <w:left w:val="single" w:color="auto" w:sz="4" w:space="0"/>
              <w:bottom w:val="single" w:color="auto" w:sz="4" w:space="0"/>
              <w:right w:val="single" w:color="auto" w:sz="4" w:space="0"/>
            </w:tcBorders>
            <w:vAlign w:val="center"/>
          </w:tcPr>
          <w:p w14:paraId="54BED936">
            <w:pPr>
              <w:spacing w:line="400" w:lineRule="exact"/>
              <w:jc w:val="center"/>
              <w:rPr>
                <w:rFonts w:hint="eastAsia" w:ascii="方正仿宋_GBK" w:eastAsia="方正仿宋_GBK" w:cs="方正仿宋_GBK"/>
                <w:color w:val="auto"/>
                <w:szCs w:val="21"/>
                <w:lang w:val="en-US" w:eastAsia="zh-CN"/>
              </w:rPr>
            </w:pPr>
            <w:r>
              <w:rPr>
                <w:rFonts w:hint="eastAsia" w:ascii="方正仿宋_GBK" w:eastAsia="方正仿宋_GBK" w:cs="方正仿宋_GBK"/>
                <w:color w:val="auto"/>
                <w:szCs w:val="21"/>
                <w:lang w:val="en-US" w:eastAsia="zh-CN"/>
              </w:rPr>
              <w:t>6</w:t>
            </w:r>
          </w:p>
        </w:tc>
        <w:tc>
          <w:tcPr>
            <w:tcW w:w="7454" w:type="dxa"/>
            <w:tcBorders>
              <w:top w:val="single" w:color="auto" w:sz="4" w:space="0"/>
              <w:left w:val="nil"/>
              <w:bottom w:val="single" w:color="auto" w:sz="4" w:space="0"/>
              <w:right w:val="single" w:color="auto" w:sz="4" w:space="0"/>
            </w:tcBorders>
            <w:vAlign w:val="center"/>
          </w:tcPr>
          <w:p w14:paraId="7D79765A">
            <w:pPr>
              <w:spacing w:line="400" w:lineRule="exact"/>
              <w:jc w:val="center"/>
              <w:rPr>
                <w:rFonts w:hint="eastAsia" w:ascii="方正仿宋_GBK" w:eastAsia="方正仿宋_GBK" w:cs="方正仿宋_GBK"/>
                <w:color w:val="auto"/>
                <w:szCs w:val="21"/>
                <w:lang w:val="en-US" w:eastAsia="zh-CN"/>
              </w:rPr>
            </w:pPr>
            <w:r>
              <w:rPr>
                <w:rFonts w:hint="eastAsia" w:ascii="方正仿宋_GBK" w:eastAsia="方正仿宋_GBK" w:cs="方正仿宋_GBK"/>
                <w:color w:val="auto"/>
                <w:szCs w:val="21"/>
                <w:lang w:val="en-US" w:eastAsia="zh-CN"/>
              </w:rPr>
              <w:t>合 计</w:t>
            </w:r>
          </w:p>
        </w:tc>
        <w:tc>
          <w:tcPr>
            <w:tcW w:w="1160" w:type="dxa"/>
            <w:tcBorders>
              <w:left w:val="nil"/>
              <w:bottom w:val="single" w:color="auto" w:sz="4" w:space="0"/>
              <w:right w:val="single" w:color="auto" w:sz="4" w:space="0"/>
            </w:tcBorders>
            <w:vAlign w:val="center"/>
          </w:tcPr>
          <w:p w14:paraId="56B0A55E">
            <w:pPr>
              <w:spacing w:line="400" w:lineRule="exact"/>
              <w:jc w:val="center"/>
              <w:rPr>
                <w:rFonts w:hint="default" w:ascii="方正仿宋_GBK" w:eastAsia="方正仿宋_GBK" w:cs="方正仿宋_GBK"/>
                <w:color w:val="auto"/>
                <w:szCs w:val="21"/>
                <w:lang w:val="en-US" w:eastAsia="zh-CN"/>
              </w:rPr>
            </w:pPr>
            <w:r>
              <w:rPr>
                <w:rFonts w:hint="eastAsia" w:ascii="方正仿宋_GBK" w:eastAsia="方正仿宋_GBK" w:cs="方正仿宋_GBK"/>
                <w:color w:val="auto"/>
                <w:szCs w:val="21"/>
                <w:lang w:val="en-US" w:eastAsia="zh-CN"/>
              </w:rPr>
              <w:t>30000</w:t>
            </w:r>
          </w:p>
        </w:tc>
      </w:tr>
    </w:tbl>
    <w:p w14:paraId="196D85CA">
      <w:pPr>
        <w:spacing w:line="560" w:lineRule="exact"/>
        <w:jc w:val="left"/>
        <w:rPr>
          <w:rFonts w:ascii="方正仿宋_GBK" w:eastAsia="方正仿宋_GBK" w:cs="方正仿宋_GBK"/>
          <w:color w:val="auto"/>
          <w:sz w:val="32"/>
          <w:szCs w:val="32"/>
        </w:rPr>
      </w:pPr>
    </w:p>
    <w:bookmarkEnd w:id="0"/>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1817C9E1-CEF0-4FE3-B5E4-298FF119C205}"/>
  </w:font>
  <w:font w:name="Arial">
    <w:panose1 w:val="020B0604020202020204"/>
    <w:charset w:val="01"/>
    <w:family w:val="swiss"/>
    <w:pitch w:val="default"/>
    <w:sig w:usb0="E0002EFF" w:usb1="C000785B" w:usb2="00000009" w:usb3="00000000" w:csb0="400001FF" w:csb1="FFFF0000"/>
    <w:embedRegular r:id="rId2" w:fontKey="{DF51404C-897D-43A5-8165-8D087DEE9145}"/>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embedRegular r:id="rId3" w:fontKey="{26AD3832-631E-4978-A059-0D6B4813353B}"/>
  </w:font>
  <w:font w:name="Symbol">
    <w:panose1 w:val="05050102010706020507"/>
    <w:charset w:val="02"/>
    <w:family w:val="roman"/>
    <w:pitch w:val="default"/>
    <w:sig w:usb0="00000000" w:usb1="00000000" w:usb2="00000000" w:usb3="00000000" w:csb0="80000000" w:csb1="00000000"/>
    <w:embedRegular r:id="rId4" w:fontKey="{16DC50D9-A9E4-45A7-A8FA-64114F4FA436}"/>
  </w:font>
  <w:font w:name="Calibri">
    <w:panose1 w:val="020F0502020204030204"/>
    <w:charset w:val="00"/>
    <w:family w:val="swiss"/>
    <w:pitch w:val="default"/>
    <w:sig w:usb0="E4002EFF" w:usb1="C000247B" w:usb2="00000009" w:usb3="00000000" w:csb0="200001FF" w:csb1="00000000"/>
    <w:embedRegular r:id="rId5" w:fontKey="{4FFB71E3-4C22-4131-BA72-114AC0813314}"/>
  </w:font>
  <w:font w:name="方正仿宋_GBK">
    <w:panose1 w:val="03000509000000000000"/>
    <w:charset w:val="86"/>
    <w:family w:val="script"/>
    <w:pitch w:val="default"/>
    <w:sig w:usb0="00000001" w:usb1="080E0000" w:usb2="00000000" w:usb3="00000000" w:csb0="00040000" w:csb1="00000000"/>
    <w:embedRegular r:id="rId6" w:fontKey="{2121B866-6C28-44DD-98AD-56E1BEC1386C}"/>
  </w:font>
  <w:font w:name="方正小标宋_GBK">
    <w:panose1 w:val="03000509000000000000"/>
    <w:charset w:val="86"/>
    <w:family w:val="script"/>
    <w:pitch w:val="default"/>
    <w:sig w:usb0="00000001" w:usb1="080E0000" w:usb2="00000000" w:usb3="00000000" w:csb0="00040000" w:csb1="00000000"/>
    <w:embedRegular r:id="rId7" w:fontKey="{60A0243D-9B81-47D0-BDD6-BEECFD2A8808}"/>
  </w:font>
  <w:font w:name="方正楷体_GBK">
    <w:panose1 w:val="03000509000000000000"/>
    <w:charset w:val="86"/>
    <w:family w:val="script"/>
    <w:pitch w:val="default"/>
    <w:sig w:usb0="00000001" w:usb1="080E0000" w:usb2="00000000" w:usb3="00000000" w:csb0="00040000" w:csb1="00000000"/>
    <w:embedRegular r:id="rId8" w:fontKey="{A6778669-514C-476C-A8AB-E004AD8FE730}"/>
  </w:font>
  <w:font w:name="Wingdings 2">
    <w:panose1 w:val="05020102010507070707"/>
    <w:charset w:val="00"/>
    <w:family w:val="decorative"/>
    <w:pitch w:val="default"/>
    <w:sig w:usb0="00000000" w:usb1="00000000" w:usb2="00000000" w:usb3="00000000" w:csb0="80000000" w:csb1="00000000"/>
    <w:embedRegular r:id="rId9" w:fontKey="{35F909E6-A4EF-4C95-8E41-1FA0519285D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5417FA">
    <w:pPr>
      <w:pStyle w:val="5"/>
      <w:framePr w:wrap="around" w:vAnchor="text" w:hAnchor="margin" w:xAlign="right" w:y="1"/>
    </w:pPr>
    <w:r>
      <w:rPr>
        <w:rStyle w:val="11"/>
      </w:rPr>
      <w:fldChar w:fldCharType="begin"/>
    </w:r>
    <w:r>
      <w:rPr>
        <w:rStyle w:val="11"/>
      </w:rPr>
      <w:instrText xml:space="preserve">Page</w:instrText>
    </w:r>
    <w:r>
      <w:rPr>
        <w:rStyle w:val="11"/>
      </w:rPr>
      <w:fldChar w:fldCharType="separate"/>
    </w:r>
    <w:r>
      <w:rPr>
        <w:rStyle w:val="11"/>
      </w:rPr>
      <w:t>5</w:t>
    </w:r>
    <w:r>
      <w:rPr>
        <w:rStyle w:val="11"/>
      </w:rPr>
      <w:fldChar w:fldCharType="end"/>
    </w:r>
  </w:p>
  <w:p w14:paraId="3F647C20">
    <w:pPr>
      <w:pStyle w:val="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D972B3">
    <w:pPr>
      <w:pStyle w:val="5"/>
      <w:framePr w:wrap="around" w:vAnchor="text" w:hAnchor="margin" w:xAlign="right" w:y="1"/>
    </w:pPr>
    <w:r>
      <w:rPr>
        <w:rStyle w:val="11"/>
      </w:rPr>
      <w:fldChar w:fldCharType="begin"/>
    </w:r>
    <w:r>
      <w:rPr>
        <w:rStyle w:val="11"/>
      </w:rPr>
      <w:instrText xml:space="preserve">Page</w:instrText>
    </w:r>
    <w:r>
      <w:rPr>
        <w:rStyle w:val="11"/>
      </w:rPr>
      <w:fldChar w:fldCharType="separate"/>
    </w:r>
    <w:r>
      <w:rPr>
        <w:rStyle w:val="11"/>
      </w:rPr>
      <w:t>1</w:t>
    </w:r>
    <w:r>
      <w:rPr>
        <w:rStyle w:val="11"/>
      </w:rPr>
      <w:fldChar w:fldCharType="end"/>
    </w:r>
  </w:p>
  <w:p w14:paraId="17D0174B">
    <w:pPr>
      <w:pStyle w:val="5"/>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ulTrailSpace/>
    <w:doNotExpandShiftReturn/>
    <w:adjustLineHeightInTable/>
    <w:useFELayout/>
    <w:compatSetting w:name="compatibilityMode" w:uri="http://schemas.microsoft.com/office/word" w:val="14"/>
  </w:compat>
  <w:docVars>
    <w:docVar w:name="commondata" w:val="eyJoZGlkIjoiOWRlNmFjNTE0YmQzNDgwNGMxODI4OWJlYzRjMWE3MTcifQ=="/>
  </w:docVars>
  <w:rsids>
    <w:rsidRoot w:val="00C962B6"/>
    <w:rsid w:val="0007067B"/>
    <w:rsid w:val="002C757D"/>
    <w:rsid w:val="00352785"/>
    <w:rsid w:val="005669B9"/>
    <w:rsid w:val="005B277A"/>
    <w:rsid w:val="00633A49"/>
    <w:rsid w:val="006F3C25"/>
    <w:rsid w:val="00764951"/>
    <w:rsid w:val="00991C03"/>
    <w:rsid w:val="00C962B6"/>
    <w:rsid w:val="00E417D3"/>
    <w:rsid w:val="05F855F6"/>
    <w:rsid w:val="06EA7246"/>
    <w:rsid w:val="11672671"/>
    <w:rsid w:val="28BB315D"/>
    <w:rsid w:val="2CF23988"/>
    <w:rsid w:val="3D302633"/>
    <w:rsid w:val="4D9A7466"/>
    <w:rsid w:val="4EB77DD1"/>
    <w:rsid w:val="709C0734"/>
    <w:rsid w:val="73FE48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Arial"/>
      <w:kern w:val="2"/>
      <w:sz w:val="21"/>
      <w:szCs w:val="24"/>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0"/>
    <w:pPr>
      <w:ind w:firstLine="420" w:firstLineChars="200"/>
    </w:pPr>
  </w:style>
  <w:style w:type="paragraph" w:styleId="3">
    <w:name w:val="annotation text"/>
    <w:basedOn w:val="1"/>
    <w:qFormat/>
    <w:uiPriority w:val="0"/>
    <w:pPr>
      <w:jc w:val="left"/>
    </w:pPr>
  </w:style>
  <w:style w:type="paragraph" w:styleId="4">
    <w:name w:val="Balloon Text"/>
    <w:basedOn w:val="1"/>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index heading"/>
    <w:basedOn w:val="1"/>
    <w:qFormat/>
    <w:uiPriority w:val="0"/>
    <w:rPr>
      <w:rFonts w:ascii="Arial" w:hAnsi="Arial"/>
      <w:b/>
    </w:rPr>
  </w:style>
  <w:style w:type="paragraph" w:styleId="8">
    <w:name w:val="Normal (Web)"/>
    <w:next w:val="3"/>
    <w:qFormat/>
    <w:uiPriority w:val="0"/>
    <w:pPr>
      <w:spacing w:before="100" w:beforeAutospacing="1" w:after="100" w:afterAutospacing="1"/>
    </w:pPr>
    <w:rPr>
      <w:rFonts w:ascii="宋体" w:hAnsi="Times New Roman" w:eastAsia="宋体" w:cs="宋体"/>
      <w:sz w:val="24"/>
      <w:szCs w:val="24"/>
      <w:lang w:val="en-US" w:eastAsia="zh-CN" w:bidi="ar-SA"/>
    </w:rPr>
  </w:style>
  <w:style w:type="character" w:styleId="11">
    <w:name w:val="page number"/>
    <w:basedOn w:val="10"/>
    <w:qFormat/>
    <w:uiPriority w:val="0"/>
  </w:style>
  <w:style w:type="paragraph" w:customStyle="1" w:styleId="12">
    <w:name w:val="样式 10 磅"/>
    <w:qFormat/>
    <w:uiPriority w:val="0"/>
    <w:pPr>
      <w:widowControl w:val="0"/>
      <w:jc w:val="both"/>
    </w:pPr>
    <w:rPr>
      <w:rFonts w:ascii="Calibri" w:hAnsi="Calibri" w:eastAsia="宋体" w:cs="Arial"/>
      <w:kern w:val="2"/>
      <w:sz w:val="21"/>
      <w:szCs w:val="24"/>
      <w:lang w:val="en-US" w:eastAsia="zh-CN" w:bidi="ar-SA"/>
    </w:rPr>
  </w:style>
  <w:style w:type="paragraph" w:customStyle="1" w:styleId="13">
    <w:name w:val="样式 1 10 磅"/>
    <w:qFormat/>
    <w:uiPriority w:val="0"/>
    <w:pPr>
      <w:widowControl w:val="0"/>
      <w:jc w:val="both"/>
    </w:pPr>
    <w:rPr>
      <w:rFonts w:ascii="Calibri" w:hAnsi="Calibri" w:eastAsia="宋体" w:cs="Arial"/>
      <w:kern w:val="2"/>
      <w:sz w:val="21"/>
      <w:szCs w:val="24"/>
      <w:lang w:val="en-US" w:eastAsia="zh-CN" w:bidi="ar-SA"/>
    </w:rPr>
  </w:style>
  <w:style w:type="paragraph" w:customStyle="1" w:styleId="14">
    <w:name w:val="样式 2 10 磅"/>
    <w:qFormat/>
    <w:uiPriority w:val="0"/>
    <w:pPr>
      <w:widowControl w:val="0"/>
      <w:jc w:val="both"/>
    </w:pPr>
    <w:rPr>
      <w:rFonts w:ascii="Calibri" w:hAnsi="Calibri" w:eastAsia="宋体" w:cs="Arial"/>
      <w:kern w:val="2"/>
      <w:sz w:val="21"/>
      <w:szCs w:val="24"/>
      <w:lang w:val="en-US" w:eastAsia="zh-CN" w:bidi="ar-SA"/>
    </w:rPr>
  </w:style>
  <w:style w:type="paragraph" w:customStyle="1" w:styleId="15">
    <w:name w:val="样式 3 10 磅"/>
    <w:qFormat/>
    <w:uiPriority w:val="0"/>
    <w:pPr>
      <w:widowControl w:val="0"/>
      <w:jc w:val="both"/>
    </w:pPr>
    <w:rPr>
      <w:rFonts w:ascii="Calibri" w:hAnsi="Calibri" w:eastAsia="宋体" w:cs="Arial"/>
      <w:kern w:val="2"/>
      <w:sz w:val="21"/>
      <w:szCs w:val="24"/>
      <w:lang w:val="en-US" w:eastAsia="zh-CN" w:bidi="ar-SA"/>
    </w:rPr>
  </w:style>
  <w:style w:type="paragraph" w:customStyle="1" w:styleId="16">
    <w:name w:val="样式 4 10 磅"/>
    <w:qFormat/>
    <w:uiPriority w:val="0"/>
    <w:pPr>
      <w:widowControl w:val="0"/>
      <w:jc w:val="both"/>
    </w:pPr>
    <w:rPr>
      <w:rFonts w:ascii="Calibri" w:hAnsi="Calibri" w:eastAsia="宋体" w:cs="Arial"/>
      <w:kern w:val="2"/>
      <w:sz w:val="21"/>
      <w:szCs w:val="24"/>
      <w:lang w:val="en-US" w:eastAsia="zh-CN" w:bidi="ar-SA"/>
    </w:rPr>
  </w:style>
  <w:style w:type="paragraph" w:customStyle="1" w:styleId="17">
    <w:name w:val="样式 5 10 磅"/>
    <w:qFormat/>
    <w:uiPriority w:val="0"/>
    <w:pPr>
      <w:widowControl w:val="0"/>
      <w:jc w:val="both"/>
    </w:pPr>
    <w:rPr>
      <w:rFonts w:ascii="Calibri" w:hAnsi="Calibri" w:eastAsia="宋体" w:cs="Arial"/>
      <w:kern w:val="2"/>
      <w:sz w:val="21"/>
      <w:szCs w:val="24"/>
      <w:lang w:val="en-US" w:eastAsia="zh-CN" w:bidi="ar-SA"/>
    </w:rPr>
  </w:style>
  <w:style w:type="paragraph" w:customStyle="1" w:styleId="18">
    <w:name w:val="样式 6 10 磅"/>
    <w:qFormat/>
    <w:uiPriority w:val="0"/>
    <w:pPr>
      <w:widowControl w:val="0"/>
      <w:jc w:val="both"/>
    </w:pPr>
    <w:rPr>
      <w:rFonts w:ascii="Calibri" w:hAnsi="Calibri" w:eastAsia="宋体" w:cs="Arial"/>
      <w:kern w:val="2"/>
      <w:sz w:val="21"/>
      <w:szCs w:val="24"/>
      <w:lang w:val="en-US" w:eastAsia="zh-CN" w:bidi="ar-SA"/>
    </w:rPr>
  </w:style>
  <w:style w:type="paragraph" w:customStyle="1" w:styleId="19">
    <w:name w:val="样式 7 10 磅"/>
    <w:qFormat/>
    <w:uiPriority w:val="0"/>
    <w:pPr>
      <w:widowControl w:val="0"/>
      <w:jc w:val="both"/>
    </w:pPr>
    <w:rPr>
      <w:rFonts w:ascii="Calibri" w:hAnsi="Calibri" w:eastAsia="宋体" w:cs="Arial"/>
      <w:kern w:val="2"/>
      <w:sz w:val="21"/>
      <w:szCs w:val="24"/>
      <w:lang w:val="en-US" w:eastAsia="zh-CN" w:bidi="ar-SA"/>
    </w:rPr>
  </w:style>
  <w:style w:type="paragraph" w:customStyle="1" w:styleId="20">
    <w:name w:val="样式 8 10 磅"/>
    <w:qFormat/>
    <w:uiPriority w:val="0"/>
    <w:pPr>
      <w:widowControl w:val="0"/>
      <w:jc w:val="both"/>
    </w:pPr>
    <w:rPr>
      <w:rFonts w:ascii="Calibri" w:hAnsi="Calibri" w:eastAsia="宋体" w:cs="Arial"/>
      <w:kern w:val="2"/>
      <w:sz w:val="21"/>
      <w:szCs w:val="24"/>
      <w:lang w:val="en-US" w:eastAsia="zh-CN" w:bidi="ar-SA"/>
    </w:rPr>
  </w:style>
  <w:style w:type="paragraph" w:customStyle="1" w:styleId="21">
    <w:name w:val="样式 9 10 磅"/>
    <w:qFormat/>
    <w:uiPriority w:val="0"/>
    <w:pPr>
      <w:widowControl w:val="0"/>
      <w:jc w:val="both"/>
    </w:pPr>
    <w:rPr>
      <w:rFonts w:ascii="Calibri" w:hAnsi="Calibri" w:eastAsia="宋体" w:cs="Arial"/>
      <w:kern w:val="2"/>
      <w:sz w:val="21"/>
      <w:szCs w:val="24"/>
      <w:lang w:val="en-US" w:eastAsia="zh-CN" w:bidi="ar-SA"/>
    </w:rPr>
  </w:style>
  <w:style w:type="paragraph" w:customStyle="1" w:styleId="22">
    <w:name w:val="样式 10 10 磅"/>
    <w:qFormat/>
    <w:uiPriority w:val="0"/>
    <w:pPr>
      <w:widowControl w:val="0"/>
      <w:jc w:val="both"/>
    </w:pPr>
    <w:rPr>
      <w:rFonts w:ascii="Calibri" w:hAnsi="Calibri" w:eastAsia="宋体" w:cs="Arial"/>
      <w:kern w:val="2"/>
      <w:sz w:val="21"/>
      <w:szCs w:val="24"/>
      <w:lang w:val="en-US" w:eastAsia="zh-CN" w:bidi="ar-SA"/>
    </w:rPr>
  </w:style>
  <w:style w:type="paragraph" w:customStyle="1" w:styleId="23">
    <w:name w:val="样式 11 10 磅"/>
    <w:qFormat/>
    <w:uiPriority w:val="0"/>
    <w:pPr>
      <w:widowControl w:val="0"/>
      <w:jc w:val="both"/>
    </w:pPr>
    <w:rPr>
      <w:rFonts w:ascii="Calibri" w:hAnsi="Calibri" w:eastAsia="宋体" w:cs="Arial"/>
      <w:kern w:val="2"/>
      <w:sz w:val="21"/>
      <w:szCs w:val="24"/>
      <w:lang w:val="en-US" w:eastAsia="zh-CN" w:bidi="ar-SA"/>
    </w:rPr>
  </w:style>
  <w:style w:type="paragraph" w:customStyle="1" w:styleId="24">
    <w:name w:val="样式 12 10 磅"/>
    <w:qFormat/>
    <w:uiPriority w:val="0"/>
    <w:pPr>
      <w:widowControl w:val="0"/>
      <w:jc w:val="both"/>
    </w:pPr>
    <w:rPr>
      <w:rFonts w:ascii="Calibri" w:hAnsi="Calibri" w:eastAsia="宋体" w:cs="Arial"/>
      <w:kern w:val="2"/>
      <w:sz w:val="21"/>
      <w:szCs w:val="24"/>
      <w:lang w:val="en-US" w:eastAsia="zh-CN" w:bidi="ar-SA"/>
    </w:rPr>
  </w:style>
  <w:style w:type="paragraph" w:customStyle="1" w:styleId="25">
    <w:name w:val="样式 13 10 磅"/>
    <w:qFormat/>
    <w:uiPriority w:val="0"/>
    <w:pPr>
      <w:widowControl w:val="0"/>
      <w:jc w:val="both"/>
    </w:pPr>
    <w:rPr>
      <w:rFonts w:ascii="Calibri" w:hAnsi="Calibri" w:eastAsia="宋体" w:cs="Arial"/>
      <w:kern w:val="2"/>
      <w:sz w:val="21"/>
      <w:szCs w:val="24"/>
      <w:lang w:val="en-US" w:eastAsia="zh-CN" w:bidi="ar-SA"/>
    </w:rPr>
  </w:style>
  <w:style w:type="paragraph" w:customStyle="1" w:styleId="26">
    <w:name w:val="样式 14 10 磅"/>
    <w:qFormat/>
    <w:uiPriority w:val="0"/>
    <w:pPr>
      <w:widowControl w:val="0"/>
      <w:jc w:val="both"/>
    </w:pPr>
    <w:rPr>
      <w:rFonts w:ascii="Calibri" w:hAnsi="Calibri" w:eastAsia="宋体" w:cs="Arial"/>
      <w:kern w:val="2"/>
      <w:sz w:val="21"/>
      <w:szCs w:val="24"/>
      <w:lang w:val="en-US" w:eastAsia="zh-CN" w:bidi="ar-SA"/>
    </w:rPr>
  </w:style>
  <w:style w:type="paragraph" w:customStyle="1" w:styleId="27">
    <w:name w:val="样式 15 10 磅"/>
    <w:qFormat/>
    <w:uiPriority w:val="0"/>
    <w:pPr>
      <w:widowControl w:val="0"/>
      <w:jc w:val="both"/>
    </w:pPr>
    <w:rPr>
      <w:rFonts w:ascii="Calibri" w:hAnsi="Calibri" w:eastAsia="宋体" w:cs="Arial"/>
      <w:kern w:val="2"/>
      <w:sz w:val="21"/>
      <w:szCs w:val="24"/>
      <w:lang w:val="en-US" w:eastAsia="zh-CN" w:bidi="ar-SA"/>
    </w:rPr>
  </w:style>
  <w:style w:type="paragraph" w:customStyle="1" w:styleId="28">
    <w:name w:val="样式 16 10 磅"/>
    <w:qFormat/>
    <w:uiPriority w:val="0"/>
    <w:pPr>
      <w:widowControl w:val="0"/>
      <w:jc w:val="both"/>
    </w:pPr>
    <w:rPr>
      <w:rFonts w:ascii="Calibri" w:hAnsi="Calibri" w:eastAsia="宋体" w:cs="Arial"/>
      <w:kern w:val="2"/>
      <w:sz w:val="21"/>
      <w:szCs w:val="24"/>
      <w:lang w:val="en-US" w:eastAsia="zh-CN" w:bidi="ar-SA"/>
    </w:rPr>
  </w:style>
  <w:style w:type="paragraph" w:customStyle="1" w:styleId="29">
    <w:name w:val="样式 17 10 磅"/>
    <w:qFormat/>
    <w:uiPriority w:val="0"/>
    <w:pPr>
      <w:widowControl w:val="0"/>
      <w:jc w:val="both"/>
    </w:pPr>
    <w:rPr>
      <w:rFonts w:ascii="Calibri" w:hAnsi="Calibri" w:eastAsia="宋体" w:cs="Arial"/>
      <w:kern w:val="2"/>
      <w:sz w:val="21"/>
      <w:szCs w:val="24"/>
      <w:lang w:val="en-US" w:eastAsia="zh-CN" w:bidi="ar-SA"/>
    </w:rPr>
  </w:style>
  <w:style w:type="paragraph" w:customStyle="1" w:styleId="30">
    <w:name w:val="样式 三号"/>
    <w:qFormat/>
    <w:uiPriority w:val="0"/>
    <w:pPr>
      <w:widowControl w:val="0"/>
      <w:spacing w:line="560" w:lineRule="exact"/>
      <w:jc w:val="both"/>
    </w:pPr>
    <w:rPr>
      <w:rFonts w:ascii="Times New Roman" w:hAnsi="Times New Roman" w:eastAsia="方正仿宋_GBK" w:cs="Times New Roman"/>
      <w:kern w:val="2"/>
      <w:sz w:val="32"/>
      <w:lang w:val="en-US" w:eastAsia="zh-CN" w:bidi="ar-SA"/>
    </w:rPr>
  </w:style>
  <w:style w:type="paragraph" w:customStyle="1" w:styleId="31">
    <w:name w:val="样式 1 三号"/>
    <w:qFormat/>
    <w:uiPriority w:val="0"/>
    <w:pPr>
      <w:widowControl w:val="0"/>
      <w:spacing w:line="560" w:lineRule="exact"/>
      <w:jc w:val="both"/>
    </w:pPr>
    <w:rPr>
      <w:rFonts w:ascii="Times New Roman" w:hAnsi="Times New Roman" w:eastAsia="方正仿宋_GBK" w:cs="Times New Roman"/>
      <w:kern w:val="2"/>
      <w:sz w:val="32"/>
      <w:lang w:val="en-US" w:eastAsia="zh-CN" w:bidi="ar-SA"/>
    </w:rPr>
  </w:style>
  <w:style w:type="paragraph" w:customStyle="1" w:styleId="32">
    <w:name w:val="样式 18 10 磅"/>
    <w:qFormat/>
    <w:uiPriority w:val="0"/>
    <w:pPr>
      <w:widowControl w:val="0"/>
      <w:jc w:val="both"/>
    </w:pPr>
    <w:rPr>
      <w:rFonts w:ascii="Calibri" w:hAnsi="Calibri" w:eastAsia="宋体" w:cs="Arial"/>
      <w:kern w:val="2"/>
      <w:sz w:val="21"/>
      <w:szCs w:val="24"/>
      <w:lang w:val="en-US" w:eastAsia="zh-CN" w:bidi="ar-SA"/>
    </w:rPr>
  </w:style>
  <w:style w:type="paragraph" w:customStyle="1" w:styleId="33">
    <w:name w:val="样式 19 10 磅"/>
    <w:qFormat/>
    <w:uiPriority w:val="0"/>
    <w:pPr>
      <w:widowControl w:val="0"/>
      <w:jc w:val="both"/>
    </w:pPr>
    <w:rPr>
      <w:rFonts w:ascii="Calibri" w:hAnsi="Calibri" w:eastAsia="宋体" w:cs="Arial"/>
      <w:kern w:val="2"/>
      <w:sz w:val="21"/>
      <w:szCs w:val="24"/>
      <w:lang w:val="en-US" w:eastAsia="zh-CN" w:bidi="ar-SA"/>
    </w:rPr>
  </w:style>
  <w:style w:type="paragraph" w:customStyle="1" w:styleId="34">
    <w:name w:val="样式 20 10 磅"/>
    <w:qFormat/>
    <w:uiPriority w:val="0"/>
    <w:pPr>
      <w:widowControl w:val="0"/>
      <w:jc w:val="both"/>
    </w:pPr>
    <w:rPr>
      <w:rFonts w:ascii="Calibri" w:hAnsi="Calibri" w:eastAsia="宋体" w:cs="Arial"/>
      <w:kern w:val="2"/>
      <w:sz w:val="21"/>
      <w:szCs w:val="24"/>
      <w:lang w:val="en-US" w:eastAsia="zh-CN" w:bidi="ar-SA"/>
    </w:rPr>
  </w:style>
  <w:style w:type="paragraph" w:customStyle="1" w:styleId="35">
    <w:name w:val="样式 21 10 磅"/>
    <w:qFormat/>
    <w:uiPriority w:val="0"/>
    <w:pPr>
      <w:widowControl w:val="0"/>
      <w:jc w:val="both"/>
    </w:pPr>
    <w:rPr>
      <w:rFonts w:ascii="Calibri" w:hAnsi="Calibri" w:eastAsia="宋体" w:cs="Arial"/>
      <w:kern w:val="2"/>
      <w:sz w:val="21"/>
      <w:szCs w:val="24"/>
      <w:lang w:val="en-US" w:eastAsia="zh-CN" w:bidi="ar-SA"/>
    </w:rPr>
  </w:style>
  <w:style w:type="paragraph" w:customStyle="1" w:styleId="36">
    <w:name w:val="样式 22 10 磅"/>
    <w:qFormat/>
    <w:uiPriority w:val="0"/>
    <w:pPr>
      <w:widowControl w:val="0"/>
      <w:jc w:val="both"/>
    </w:pPr>
    <w:rPr>
      <w:rFonts w:ascii="Calibri" w:hAnsi="Calibri" w:eastAsia="宋体" w:cs="Arial"/>
      <w:kern w:val="2"/>
      <w:sz w:val="21"/>
      <w:szCs w:val="24"/>
      <w:lang w:val="en-US" w:eastAsia="zh-CN" w:bidi="ar-SA"/>
    </w:rPr>
  </w:style>
  <w:style w:type="paragraph" w:customStyle="1" w:styleId="37">
    <w:name w:val="样式 小四"/>
    <w:qFormat/>
    <w:uiPriority w:val="0"/>
    <w:pPr>
      <w:widowControl w:val="0"/>
    </w:pPr>
    <w:rPr>
      <w:rFonts w:ascii="宋体" w:hAnsi="Times New Roman" w:eastAsia="宋体" w:cs="Times New Roman"/>
      <w:kern w:val="2"/>
      <w:sz w:val="24"/>
      <w:szCs w:val="21"/>
      <w:lang w:val="en-US" w:eastAsia="zh-CN" w:bidi="ar-SA"/>
    </w:rPr>
  </w:style>
  <w:style w:type="paragraph" w:customStyle="1" w:styleId="38">
    <w:name w:val="样式 23 10 磅"/>
    <w:qFormat/>
    <w:uiPriority w:val="0"/>
    <w:pPr>
      <w:widowControl w:val="0"/>
      <w:jc w:val="both"/>
    </w:pPr>
    <w:rPr>
      <w:rFonts w:ascii="Calibri" w:hAnsi="Calibri" w:eastAsia="宋体" w:cs="Arial"/>
      <w:kern w:val="2"/>
      <w:sz w:val="21"/>
      <w:szCs w:val="24"/>
      <w:lang w:val="en-US" w:eastAsia="zh-CN" w:bidi="ar-SA"/>
    </w:rPr>
  </w:style>
  <w:style w:type="paragraph" w:customStyle="1" w:styleId="39">
    <w:name w:val="样式 24 10 磅"/>
    <w:qFormat/>
    <w:uiPriority w:val="0"/>
    <w:pPr>
      <w:widowControl w:val="0"/>
      <w:jc w:val="both"/>
    </w:pPr>
    <w:rPr>
      <w:rFonts w:ascii="Calibri" w:hAnsi="Calibri" w:eastAsia="宋体" w:cs="Arial"/>
      <w:kern w:val="2"/>
      <w:sz w:val="21"/>
      <w:szCs w:val="24"/>
      <w:lang w:val="en-US" w:eastAsia="zh-CN" w:bidi="ar-SA"/>
    </w:rPr>
  </w:style>
  <w:style w:type="paragraph" w:customStyle="1" w:styleId="40">
    <w:name w:val="样式 2 三号"/>
    <w:qFormat/>
    <w:uiPriority w:val="0"/>
    <w:pPr>
      <w:widowControl w:val="0"/>
      <w:spacing w:line="560" w:lineRule="exact"/>
      <w:jc w:val="both"/>
    </w:pPr>
    <w:rPr>
      <w:rFonts w:ascii="Times New Roman" w:hAnsi="Times New Roman" w:eastAsia="方正仿宋_GBK" w:cs="Times New Roman"/>
      <w:kern w:val="2"/>
      <w:sz w:val="32"/>
      <w:lang w:val="en-US" w:eastAsia="zh-CN" w:bidi="ar-SA"/>
    </w:rPr>
  </w:style>
  <w:style w:type="paragraph" w:customStyle="1" w:styleId="41">
    <w:name w:val="样式 3 三号"/>
    <w:qFormat/>
    <w:uiPriority w:val="0"/>
    <w:pPr>
      <w:widowControl w:val="0"/>
      <w:spacing w:line="560" w:lineRule="exact"/>
      <w:jc w:val="both"/>
    </w:pPr>
    <w:rPr>
      <w:rFonts w:ascii="Times New Roman" w:hAnsi="Times New Roman" w:eastAsia="方正仿宋_GBK" w:cs="Times New Roman"/>
      <w:kern w:val="2"/>
      <w:sz w:val="32"/>
      <w:lang w:val="en-US" w:eastAsia="zh-CN" w:bidi="ar-SA"/>
    </w:rPr>
  </w:style>
  <w:style w:type="paragraph" w:customStyle="1" w:styleId="42">
    <w:name w:val="样式 25 10 磅"/>
    <w:qFormat/>
    <w:uiPriority w:val="0"/>
    <w:pPr>
      <w:widowControl w:val="0"/>
      <w:jc w:val="both"/>
    </w:pPr>
    <w:rPr>
      <w:rFonts w:ascii="Calibri" w:hAnsi="Calibri" w:eastAsia="宋体" w:cs="Arial"/>
      <w:kern w:val="2"/>
      <w:sz w:val="21"/>
      <w:szCs w:val="24"/>
      <w:lang w:val="en-US" w:eastAsia="zh-CN" w:bidi="ar-SA"/>
    </w:rPr>
  </w:style>
  <w:style w:type="paragraph" w:customStyle="1" w:styleId="43">
    <w:name w:val="样式 26 10 磅"/>
    <w:qFormat/>
    <w:uiPriority w:val="0"/>
    <w:pPr>
      <w:widowControl w:val="0"/>
      <w:jc w:val="both"/>
    </w:pPr>
    <w:rPr>
      <w:rFonts w:ascii="Calibri" w:hAnsi="Calibri" w:eastAsia="宋体" w:cs="Arial"/>
      <w:kern w:val="2"/>
      <w:sz w:val="21"/>
      <w:szCs w:val="24"/>
      <w:lang w:val="en-US" w:eastAsia="zh-CN" w:bidi="ar-SA"/>
    </w:rPr>
  </w:style>
  <w:style w:type="paragraph" w:customStyle="1" w:styleId="44">
    <w:name w:val="样式 27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45">
    <w:name w:val="样式 28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46">
    <w:name w:val="样式 29 10 磅"/>
    <w:qFormat/>
    <w:uiPriority w:val="0"/>
    <w:pPr>
      <w:widowControl w:val="0"/>
      <w:jc w:val="both"/>
    </w:pPr>
    <w:rPr>
      <w:rFonts w:ascii="Calibri" w:hAnsi="Calibri" w:eastAsia="宋体" w:cs="Arial"/>
      <w:kern w:val="2"/>
      <w:sz w:val="21"/>
      <w:szCs w:val="24"/>
      <w:lang w:val="en-US" w:eastAsia="zh-CN" w:bidi="ar-SA"/>
    </w:rPr>
  </w:style>
  <w:style w:type="paragraph" w:customStyle="1" w:styleId="47">
    <w:name w:val="样式 30 10 磅"/>
    <w:qFormat/>
    <w:uiPriority w:val="0"/>
    <w:pPr>
      <w:widowControl w:val="0"/>
      <w:jc w:val="both"/>
    </w:pPr>
    <w:rPr>
      <w:rFonts w:ascii="Calibri" w:hAnsi="Calibri" w:eastAsia="宋体" w:cs="Arial"/>
      <w:kern w:val="2"/>
      <w:sz w:val="21"/>
      <w:szCs w:val="24"/>
      <w:lang w:val="en-US" w:eastAsia="zh-CN" w:bidi="ar-SA"/>
    </w:rPr>
  </w:style>
  <w:style w:type="paragraph" w:customStyle="1" w:styleId="48">
    <w:name w:val="样式 31 10 磅"/>
    <w:qFormat/>
    <w:uiPriority w:val="0"/>
    <w:pPr>
      <w:widowControl w:val="0"/>
      <w:jc w:val="both"/>
    </w:pPr>
    <w:rPr>
      <w:rFonts w:ascii="Calibri" w:hAnsi="Calibri" w:eastAsia="宋体" w:cs="Arial"/>
      <w:kern w:val="2"/>
      <w:sz w:val="21"/>
      <w:szCs w:val="24"/>
      <w:lang w:val="en-US" w:eastAsia="zh-CN" w:bidi="ar-SA"/>
    </w:rPr>
  </w:style>
  <w:style w:type="paragraph" w:customStyle="1" w:styleId="49">
    <w:name w:val="样式 32 10 磅"/>
    <w:qFormat/>
    <w:uiPriority w:val="0"/>
    <w:pPr>
      <w:widowControl w:val="0"/>
      <w:jc w:val="both"/>
    </w:pPr>
    <w:rPr>
      <w:rFonts w:ascii="Calibri" w:hAnsi="Calibri" w:eastAsia="宋体" w:cs="Arial"/>
      <w:kern w:val="2"/>
      <w:sz w:val="21"/>
      <w:szCs w:val="24"/>
      <w:lang w:val="en-US" w:eastAsia="zh-CN" w:bidi="ar-SA"/>
    </w:rPr>
  </w:style>
  <w:style w:type="paragraph" w:customStyle="1" w:styleId="50">
    <w:name w:val="样式 33 10 磅"/>
    <w:qFormat/>
    <w:uiPriority w:val="0"/>
    <w:pPr>
      <w:widowControl w:val="0"/>
      <w:jc w:val="both"/>
    </w:pPr>
    <w:rPr>
      <w:rFonts w:ascii="Calibri" w:hAnsi="Calibri" w:eastAsia="宋体" w:cs="Arial"/>
      <w:kern w:val="2"/>
      <w:sz w:val="21"/>
      <w:szCs w:val="24"/>
      <w:lang w:val="en-US" w:eastAsia="zh-CN" w:bidi="ar-SA"/>
    </w:rPr>
  </w:style>
  <w:style w:type="paragraph" w:customStyle="1" w:styleId="51">
    <w:name w:val="修订1"/>
    <w:hidden/>
    <w:semiHidden/>
    <w:qFormat/>
    <w:uiPriority w:val="99"/>
    <w:rPr>
      <w:rFonts w:ascii="Calibri" w:hAnsi="Calibri" w:eastAsia="宋体" w:cs="Arial"/>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625</Words>
  <Characters>686</Characters>
  <Lines>7</Lines>
  <Paragraphs>2</Paragraphs>
  <TotalTime>5</TotalTime>
  <ScaleCrop>false</ScaleCrop>
  <LinksUpToDate>false</LinksUpToDate>
  <CharactersWithSpaces>687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2025-08-14T07:41:00Z</dcterms:created>
  <dc:creator>阿牧古龙</dc:creator>
  <cp:lastModifiedBy>木楠树下</cp:lastModifiedBy>
  <cp:lastPrinted>2025-07-02T10:14:00Z</cp:lastPrinted>
  <dcterms:modified xsi:type="dcterms:W3CDTF">2025-09-25T09:26:56Z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9E1066E7A3F6449F95092C37D19DEDBB_13</vt:lpwstr>
  </property>
  <property fmtid="{D5CDD505-2E9C-101B-9397-08002B2CF9AE}" pid="4" name="KSOTemplateDocerSaveRecord">
    <vt:lpwstr>eyJoZGlkIjoiMGY4ODU2ZDVmMjA5NmYyNGVmN2RiMWMwZWU2ODE0ZDAiLCJ1c2VySWQiOiI2NTkyODgxNjEifQ==</vt:lpwstr>
  </property>
</Properties>
</file>