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0CD9B">
      <w:pPr>
        <w:spacing w:line="560" w:lineRule="exact"/>
        <w:jc w:val="center"/>
        <w:rPr>
          <w:rFonts w:asci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color w:val="auto"/>
          <w:sz w:val="44"/>
          <w:szCs w:val="44"/>
        </w:rPr>
        <w:t>比选采购需求书</w:t>
      </w:r>
    </w:p>
    <w:tbl>
      <w:tblPr>
        <w:tblStyle w:val="9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 w14:paraId="4B6C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 w14:paraId="640D1808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楷体_GBK" w:eastAsia="方正楷体_GBK" w:cs="方正楷体_GBK"/>
                <w:color w:val="auto"/>
                <w:sz w:val="32"/>
                <w:szCs w:val="32"/>
              </w:rPr>
              <w:t>基础信息栏</w:t>
            </w:r>
          </w:p>
        </w:tc>
      </w:tr>
      <w:tr w14:paraId="4B4DF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6656EDEA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 w14:paraId="2223FA88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Calibri" w:eastAsia="方正仿宋_GBK" w:cs="方正仿宋_GBK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呼和浩特国际旅行卫生保健中心生物安全二级实验室运行维保服务</w:t>
            </w:r>
          </w:p>
        </w:tc>
      </w:tr>
      <w:tr w14:paraId="6A59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275A959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 w14:paraId="2F28061E">
            <w:pPr>
              <w:spacing w:line="560" w:lineRule="exact"/>
              <w:jc w:val="center"/>
              <w:rPr>
                <w:rFonts w:hint="default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口岸生物安全研究所</w:t>
            </w:r>
          </w:p>
        </w:tc>
      </w:tr>
      <w:tr w14:paraId="30099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0DCF5B67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 w14:paraId="0D29F19B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8万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元</w:t>
            </w:r>
          </w:p>
        </w:tc>
      </w:tr>
      <w:tr w14:paraId="16027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1026FE17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 w14:paraId="7E5571CA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最低价法</w:t>
            </w:r>
          </w:p>
          <w:p w14:paraId="2BED239B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综合评分法（权重：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价格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0%、评审因素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0%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）</w:t>
            </w:r>
          </w:p>
        </w:tc>
      </w:tr>
      <w:tr w14:paraId="5B513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 w14:paraId="296308D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楷体_GBK" w:eastAsia="方正楷体_GBK" w:cs="方正楷体_GBK"/>
                <w:color w:val="auto"/>
                <w:sz w:val="32"/>
                <w:szCs w:val="32"/>
              </w:rPr>
              <w:t>详细需求栏</w:t>
            </w:r>
          </w:p>
        </w:tc>
      </w:tr>
      <w:tr w14:paraId="7BDCA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8" w:type="dxa"/>
            <w:vAlign w:val="center"/>
          </w:tcPr>
          <w:p w14:paraId="3D76FAAA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 w14:paraId="1B0D32FB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不满足资格条件的响应文件将按无效响应文件处理。</w:t>
            </w:r>
          </w:p>
          <w:p w14:paraId="4E866F83">
            <w:pPr>
              <w:spacing w:line="400" w:lineRule="exac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 w14:paraId="5AB90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98" w:type="dxa"/>
            <w:vAlign w:val="center"/>
          </w:tcPr>
          <w:p w14:paraId="2A41F547"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 w14:paraId="420FFC29">
            <w:pPr>
              <w:pStyle w:val="3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方正仿宋_GBK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</w:rPr>
              <w:t>法人或者其他组织提供营业执照等证明文件，报名人</w:t>
            </w:r>
            <w:r>
              <w:rPr>
                <w:rFonts w:hint="eastAsia" w:ascii="Times New Roman" w:eastAsia="方正仿宋_GBK" w:cs="Times New Roman"/>
                <w:color w:val="auto"/>
                <w:kern w:val="2"/>
                <w:sz w:val="28"/>
                <w:szCs w:val="28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</w:rPr>
              <w:t>身份证复印件；报名人出具经法定代表人签字、公司盖章的“授权委托书”</w:t>
            </w:r>
            <w:r>
              <w:rPr>
                <w:rFonts w:hint="eastAsia" w:ascii="Times New Roman" w:eastAsia="方正仿宋_GBK" w:cs="Times New Roman"/>
                <w:color w:val="auto"/>
                <w:kern w:val="2"/>
                <w:sz w:val="28"/>
                <w:szCs w:val="28"/>
                <w:lang w:eastAsia="zh-CN"/>
              </w:rPr>
              <w:t>。</w:t>
            </w:r>
          </w:p>
          <w:p w14:paraId="5DC86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2、服务商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具有建筑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装修装饰工程专业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承包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或建筑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机电安装工程专业承包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级或以上资质。</w:t>
            </w:r>
          </w:p>
          <w:p w14:paraId="792C2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3、服务商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具备履行合同所必需的设备和专业技术能力的证明材料；</w:t>
            </w:r>
          </w:p>
          <w:p w14:paraId="60C1B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4、服务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具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有生物安全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级实验室建设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及运维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经验并提供相应案例证明材料。</w:t>
            </w:r>
          </w:p>
          <w:p w14:paraId="134F1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</w:rPr>
              <w:t>对在“信用中国”网站(www.creditchina.gov.cn)、中国政府采购网(www.ccgp.gov.cn)等渠道列入失信被执行人、重大税收违法案件当事人名单、政府采购严重违法失信行为记录名单及其他不符合《中华人民共和国政府采购法》第二十二条规定条件的供应商，不得参与此次采购活动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 w14:paraId="735E4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2198" w:type="dxa"/>
            <w:vAlign w:val="center"/>
          </w:tcPr>
          <w:p w14:paraId="0F04C8EC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</w:p>
          <w:p w14:paraId="0E68413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 w14:paraId="4139BAEE">
            <w:pPr>
              <w:pStyle w:val="28"/>
              <w:numPr>
                <w:ilvl w:val="-1"/>
                <w:numId w:val="0"/>
              </w:num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1.运维服务内容详见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附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件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供应商必须满足全部服务内容。</w:t>
            </w:r>
          </w:p>
          <w:p w14:paraId="040C8C6B">
            <w:pPr>
              <w:pStyle w:val="28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服务商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具有建筑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装修装饰工程专业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承包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或建筑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机电安装工程专业承包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级或以上资质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eastAsia="zh-CN"/>
              </w:rPr>
              <w:t>。</w:t>
            </w:r>
          </w:p>
          <w:p w14:paraId="74F9B2F2">
            <w:pPr>
              <w:pStyle w:val="28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具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有生物安全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级实验室建设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及运维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</w:rPr>
              <w:t>经验并提供相应案例证明材料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。</w:t>
            </w:r>
          </w:p>
          <w:p w14:paraId="700144D4">
            <w:pPr>
              <w:pStyle w:val="28"/>
              <w:rPr>
                <w:rFonts w:ascii="Verdana" w:hAnsi="Verdana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  <w:r>
              <w:rPr>
                <w:rFonts w:hint="eastAsia" w:ascii="方正仿宋_GBK" w:eastAsia="方正仿宋_GBK" w:cs="方正仿宋_GBK"/>
                <w:color w:val="auto"/>
                <w:kern w:val="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</w:rPr>
              <w:t>组建维保团队，维保团队需包含：项目经理、实验室专业维护工程师、暖通工程师、自控工程师、电工等专业技术人员。人员需熟悉掌握系统日常检修保养及故障维修。</w:t>
            </w:r>
          </w:p>
          <w:p w14:paraId="70FEC1E9">
            <w:pPr>
              <w:pStyle w:val="28"/>
              <w:spacing w:line="360" w:lineRule="exact"/>
              <w:rPr>
                <w:rFonts w:hint="default" w:ascii="Times New Roman" w:hAnsi="Times New Roman" w:eastAsia="方正仿宋_GBK" w:cs="Times New Roman"/>
                <w:b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★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5.运维时限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/>
              </w:rPr>
              <w:t>自合同签订之日起1年。</w:t>
            </w:r>
          </w:p>
        </w:tc>
      </w:tr>
      <w:tr w14:paraId="02021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198" w:type="dxa"/>
            <w:vAlign w:val="center"/>
          </w:tcPr>
          <w:p w14:paraId="65B6D3F4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评审因素</w:t>
            </w:r>
          </w:p>
        </w:tc>
        <w:tc>
          <w:tcPr>
            <w:tcW w:w="6862" w:type="dxa"/>
            <w:vAlign w:val="center"/>
          </w:tcPr>
          <w:p w14:paraId="18375AD1">
            <w:pPr>
              <w:spacing w:line="560" w:lineRule="exact"/>
              <w:jc w:val="left"/>
              <w:rPr>
                <w:rFonts w:hint="default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  <w:t>评审方法按照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附件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综合评分法评审原则”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开展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eastAsia="zh-CN"/>
              </w:rPr>
              <w:t>。</w:t>
            </w:r>
          </w:p>
        </w:tc>
      </w:tr>
      <w:tr w14:paraId="0F04A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198" w:type="dxa"/>
            <w:vAlign w:val="center"/>
          </w:tcPr>
          <w:p w14:paraId="4A51C5FF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 w14:paraId="36E78F4E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1、公告期限3个工作日。</w:t>
            </w:r>
          </w:p>
          <w:p w14:paraId="22FD95FB">
            <w:pPr>
              <w:pStyle w:val="28"/>
              <w:spacing w:line="36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2、响应文件份数：响应文件正本1份、副本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份，胶装装订成册，密封提交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。</w:t>
            </w:r>
          </w:p>
        </w:tc>
      </w:tr>
    </w:tbl>
    <w:p w14:paraId="4E92D2C1">
      <w:pPr>
        <w:rPr>
          <w:color w:val="auto"/>
        </w:rPr>
      </w:pPr>
    </w:p>
    <w:p w14:paraId="1529637F">
      <w:pPr>
        <w:rPr>
          <w:color w:val="auto"/>
        </w:rPr>
      </w:pPr>
    </w:p>
    <w:p w14:paraId="1CE7F8E9">
      <w:pPr>
        <w:rPr>
          <w:color w:val="auto"/>
        </w:rPr>
      </w:pPr>
    </w:p>
    <w:p w14:paraId="49CBD75D">
      <w:pPr>
        <w:rPr>
          <w:color w:val="auto"/>
        </w:rPr>
      </w:pPr>
    </w:p>
    <w:p w14:paraId="73E848ED">
      <w:pPr>
        <w:rPr>
          <w:color w:val="auto"/>
        </w:rPr>
      </w:pPr>
    </w:p>
    <w:p w14:paraId="1B088B1B">
      <w:pPr>
        <w:rPr>
          <w:color w:val="auto"/>
        </w:rPr>
      </w:pPr>
    </w:p>
    <w:p w14:paraId="4B2FE1AB">
      <w:pPr>
        <w:rPr>
          <w:color w:val="auto"/>
        </w:rPr>
      </w:pPr>
    </w:p>
    <w:p w14:paraId="0B2D7986">
      <w:pPr>
        <w:rPr>
          <w:color w:val="auto"/>
        </w:rPr>
      </w:pPr>
    </w:p>
    <w:p w14:paraId="6C86E5C0">
      <w:pPr>
        <w:rPr>
          <w:color w:val="auto"/>
        </w:rPr>
      </w:pPr>
    </w:p>
    <w:p w14:paraId="4B3D48A2">
      <w:pPr>
        <w:rPr>
          <w:color w:val="auto"/>
        </w:rPr>
      </w:pPr>
    </w:p>
    <w:p w14:paraId="61076A8A">
      <w:pPr>
        <w:rPr>
          <w:color w:val="auto"/>
        </w:rPr>
      </w:pPr>
    </w:p>
    <w:p w14:paraId="51FC9516">
      <w:pPr>
        <w:rPr>
          <w:color w:val="auto"/>
        </w:rPr>
      </w:pPr>
    </w:p>
    <w:p w14:paraId="3629A811">
      <w:pPr>
        <w:rPr>
          <w:color w:val="auto"/>
        </w:rPr>
      </w:pPr>
    </w:p>
    <w:p w14:paraId="019B03B3">
      <w:pPr>
        <w:rPr>
          <w:color w:val="auto"/>
        </w:rPr>
      </w:pPr>
    </w:p>
    <w:p w14:paraId="044AC294">
      <w:pPr>
        <w:rPr>
          <w:color w:val="auto"/>
        </w:rPr>
      </w:pPr>
    </w:p>
    <w:p w14:paraId="0C63DCAD">
      <w:pPr>
        <w:pStyle w:val="2"/>
        <w:rPr>
          <w:color w:val="auto"/>
        </w:rPr>
      </w:pPr>
    </w:p>
    <w:p w14:paraId="76D6DDF3">
      <w:pPr>
        <w:pStyle w:val="2"/>
        <w:rPr>
          <w:color w:val="auto"/>
        </w:rPr>
      </w:pPr>
    </w:p>
    <w:p w14:paraId="15977F49">
      <w:pPr>
        <w:pStyle w:val="2"/>
        <w:rPr>
          <w:color w:val="auto"/>
        </w:rPr>
      </w:pPr>
    </w:p>
    <w:p w14:paraId="067F4F23">
      <w:pPr>
        <w:pStyle w:val="2"/>
        <w:rPr>
          <w:color w:val="auto"/>
        </w:rPr>
      </w:pPr>
    </w:p>
    <w:p w14:paraId="3BBC3153">
      <w:pPr>
        <w:pStyle w:val="2"/>
        <w:rPr>
          <w:color w:val="auto"/>
        </w:rPr>
      </w:pPr>
    </w:p>
    <w:p w14:paraId="141C6A65">
      <w:pPr>
        <w:pStyle w:val="2"/>
        <w:rPr>
          <w:color w:val="auto"/>
        </w:rPr>
      </w:pPr>
    </w:p>
    <w:p w14:paraId="36242960">
      <w:pPr>
        <w:rPr>
          <w:color w:val="auto"/>
        </w:rPr>
      </w:pPr>
    </w:p>
    <w:p w14:paraId="0E6390AF">
      <w:pPr>
        <w:spacing w:line="560" w:lineRule="exact"/>
        <w:jc w:val="left"/>
        <w:rPr>
          <w:rFonts w:hint="eastAsia" w:asci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附件：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维保服务需求及内容</w:t>
      </w:r>
    </w:p>
    <w:tbl>
      <w:tblPr>
        <w:tblStyle w:val="9"/>
        <w:tblW w:w="868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925"/>
        <w:gridCol w:w="5955"/>
      </w:tblGrid>
      <w:tr w14:paraId="1C031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1B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83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  <w:t>设备或服务名称</w:t>
            </w:r>
          </w:p>
        </w:tc>
        <w:tc>
          <w:tcPr>
            <w:tcW w:w="5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18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 w:val="21"/>
                <w:szCs w:val="21"/>
                <w:lang w:val="en-US" w:eastAsia="zh-CN"/>
              </w:rPr>
              <w:t>维保内容及技术要求</w:t>
            </w:r>
          </w:p>
        </w:tc>
      </w:tr>
      <w:tr w14:paraId="0C45F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F8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90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实验室全部新风入口初效过滤器维护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DA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（1）拆除、清洗、安装、调试（每1个月一次）。</w:t>
            </w:r>
          </w:p>
          <w:p w14:paraId="05607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（2）对室外送风管道检查并维护，确保保温层无脱落，进户管道周边无漏点，减震等完好（至少每3个月一次）。</w:t>
            </w:r>
          </w:p>
          <w:p w14:paraId="3A24D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（3）新风管道维护：清理、擦洗、检查管道连接状态，确保新风组件正常有效（每1个月一次）。</w:t>
            </w:r>
          </w:p>
          <w:p w14:paraId="153BD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（4）更换初效过滤器（至少每3个月一次，具体视严重缺陷情况更换）。</w:t>
            </w:r>
          </w:p>
          <w:p w14:paraId="4B995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（5）包含专属耗材定制与更换。</w:t>
            </w:r>
          </w:p>
        </w:tc>
      </w:tr>
      <w:tr w14:paraId="5F666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56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D6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实验室全部中效过滤器维护</w:t>
            </w:r>
          </w:p>
        </w:tc>
        <w:tc>
          <w:tcPr>
            <w:tcW w:w="5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CC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（1）更换中效过滤器（至少每半年一次，具体视严重缺陷情况更换）。</w:t>
            </w:r>
          </w:p>
          <w:p w14:paraId="3659E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（2）检查并调整紧固过滤器压条，确保接触状态正常（每1个月一次）。</w:t>
            </w:r>
          </w:p>
          <w:p w14:paraId="1C7A9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（3）检查并确保连接管道状态正常（每1个月一次）。</w:t>
            </w:r>
          </w:p>
          <w:p w14:paraId="7528C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（4）包含专属耗材定制与更换。</w:t>
            </w:r>
          </w:p>
        </w:tc>
      </w:tr>
      <w:tr w14:paraId="47717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DA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07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实验室全部加热器工作段维护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C9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（1）检查所有电气连接点，同时观察加热舱内颜色变化，调整和紧固接触点（每年9月至来年4月，每个月一次）。</w:t>
            </w:r>
          </w:p>
          <w:p w14:paraId="23613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（2）温度传感器测试，统调，确保显示值与实测值保持一致。（每月一次）。</w:t>
            </w:r>
          </w:p>
          <w:p w14:paraId="7217A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（3）检查加热器，确保无失效器件（每月一次）。</w:t>
            </w:r>
          </w:p>
          <w:p w14:paraId="2AB88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（4）检查调试温度控制器工作状态，确保运行正常（每月一次）。</w:t>
            </w:r>
          </w:p>
          <w:p w14:paraId="4A4A2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（5）检查电气接地效果，确保运行正常（每月一次）。</w:t>
            </w:r>
          </w:p>
        </w:tc>
      </w:tr>
      <w:tr w14:paraId="49E4A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A1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31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实验室全部送风机维护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07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（1）风机保养维护：空载运行，旋转系统维护，震动检查，送风机工况情况检测，确保运行正常（每月一次）。</w:t>
            </w:r>
          </w:p>
          <w:p w14:paraId="3D9F9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（2）风机电气系统检测（接触点、空载电流、接地测试），确保运行正常（每月一次）。</w:t>
            </w:r>
          </w:p>
          <w:p w14:paraId="21B1D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（3）风机出风口与空调机箱联结密闭性检查，确保密闭完好（每月一次）。</w:t>
            </w:r>
          </w:p>
          <w:p w14:paraId="6EFBE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（4）风机电气控制系统检测和调试，确保运行正常（每月一次）。</w:t>
            </w:r>
          </w:p>
          <w:p w14:paraId="7F57C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（5）风机运行与自控系统统调测试，进行数据显示与实际的吻合性检查，确保两者一致（每月一次）。</w:t>
            </w:r>
          </w:p>
        </w:tc>
      </w:tr>
      <w:tr w14:paraId="03D52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0E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4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实验室全部空调室外机组维护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01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（1）清理：清除机组周围和机组本身的积灰，包括蒸发器，压缩机组，控制器，各种阀门等（每月一次）。</w:t>
            </w:r>
          </w:p>
          <w:p w14:paraId="72694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（2）清洗管道，包括管道过滤器拆除清理或者更换（每月一次）。</w:t>
            </w:r>
          </w:p>
          <w:p w14:paraId="19CBF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（3）调试电气控制系统，确保配电柜，自控系统，接地系统牢固，各种显示正常，各种电气保护有效（每月一次）。</w:t>
            </w:r>
          </w:p>
          <w:p w14:paraId="31115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（4）检查机组压力表、电气指示表、温度传感器、电气阀门等，确保工作正常（每月一次）。</w:t>
            </w:r>
          </w:p>
          <w:p w14:paraId="2367D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（5）检查管道、阀门是否漏水、生锈，保温是否脱落等，确保工作正常（每月一次）。</w:t>
            </w:r>
          </w:p>
          <w:p w14:paraId="2D841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（6）检查空调水管路的运行压力及管路补水情况，确保工作正常（每月一次）。</w:t>
            </w:r>
          </w:p>
        </w:tc>
      </w:tr>
      <w:tr w14:paraId="11023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CB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A2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实验室全部空调送风维护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29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（1）检查空调机箱内设备固定件、减震装置，确保有效工作（每月一次）。</w:t>
            </w:r>
          </w:p>
          <w:p w14:paraId="7DDC8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（2）检修空调箱内送风单向阀门，观察动作状态，检修和紧固关键部件（每月一次）。</w:t>
            </w:r>
          </w:p>
          <w:p w14:paraId="22203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（3）检查空调制冷（热）效果，确保温度控制达到使用要求（每月一次） 。</w:t>
            </w:r>
          </w:p>
        </w:tc>
      </w:tr>
      <w:tr w14:paraId="01BBC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BC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B5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实验室全部排风管道维护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88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（1）检查排风口的三防导流网，并进行清理，有初效的（每月清洗一次）、有中效的（至少每半年更换一次）确保其能有效防护（每月一次）。</w:t>
            </w:r>
          </w:p>
        </w:tc>
      </w:tr>
      <w:tr w14:paraId="549A2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8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D6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实验室全部排风机组维护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90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（1）检修2台排风机，进行空载运行状态测试，电气接线和接点检查，风机震动检查，确保其运行正常（每月一次）。</w:t>
            </w:r>
          </w:p>
          <w:p w14:paraId="10385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（2）排风机组检查，确保结构牢固，导向板牢固，单向止回阀门有效（每月一次）。</w:t>
            </w:r>
          </w:p>
          <w:p w14:paraId="286A3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（3）确保检修口密闭完好，进行两台排风机的自动切换试验，保存记录备查（每月一次）。</w:t>
            </w:r>
          </w:p>
          <w:p w14:paraId="35CA3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（4）确保排风系统稳固落地，与管道连接无变形等（每月一次）。</w:t>
            </w:r>
          </w:p>
        </w:tc>
      </w:tr>
      <w:tr w14:paraId="7ECD6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84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A92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实验室全部送排风高效过滤器维护</w:t>
            </w:r>
          </w:p>
        </w:tc>
        <w:tc>
          <w:tcPr>
            <w:tcW w:w="5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7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（1）检查监测高效过滤器阻力系统状态，确保高效过滤器阻力在控制值范围，必要时更换高效过滤器（每6月一次）。</w:t>
            </w:r>
          </w:p>
          <w:p w14:paraId="4DAE1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（2）送风过滤器风量风速检测，依据检测结果进行风量调整，确保满足GB50346要求（每月一次）。</w:t>
            </w:r>
          </w:p>
          <w:p w14:paraId="1C49F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（3）按照更换高效过滤器的操作规程对高效过滤器进行更换，配合甲方做好更换后过滤器的消毒、运出移交专业废物处理公司销毁（至少每年二次，或视实验室使用及高效过滤器检测情况）。</w:t>
            </w:r>
          </w:p>
          <w:p w14:paraId="5D3DE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（4）更换工作完成后进行风量，泄漏测试，确保满足GB50346要求（至少每年二次）。</w:t>
            </w:r>
          </w:p>
          <w:p w14:paraId="7F35A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高效过滤器根据更换时间计算至少每年更换二次。</w:t>
            </w:r>
          </w:p>
          <w:p w14:paraId="108E1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初、中效过滤器采用备品备件清单，提供至维保现场保存，以便更换时使用。</w:t>
            </w:r>
          </w:p>
          <w:p w14:paraId="00F89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（5）包含专属耗材定制与更换。</w:t>
            </w:r>
          </w:p>
        </w:tc>
      </w:tr>
      <w:tr w14:paraId="16C19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44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B8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全实验室门禁维护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31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（1）检查门禁刷卡或指纹，确保有效工作（每3月一次）。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（2）检查并确保门磁锁无松动、脱落现象，紧急开关有效等（每月一次）。</w:t>
            </w:r>
          </w:p>
        </w:tc>
      </w:tr>
      <w:tr w14:paraId="6178F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39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E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全实验室监控维护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CE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（1）检查硬盘录像机工作状态，遥控器使用现状，是否保护完好，程序使用状态，检查监视器工作状态，显示是否正常，电源线和信号线是否连接牢固，确保其工作正常（每月一次）。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（2）确保各个部位的摄像头图像清晰，擦拭镜头，确保信号线连接牢固（每月一次）。</w:t>
            </w:r>
          </w:p>
        </w:tc>
      </w:tr>
      <w:tr w14:paraId="61801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17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F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全实验室围护结构维护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DB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（1）检查并确保橡胶地面卷边上墙部位与墙壁接触位置无裂缝（至少每2个月一次）。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（2）检查并确保围护结构彩钢板接缝处完好无损，无密封胶脱落情况（至少每2个月一次）。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（3）检查并确保围护结构所有圆弧墙角处压条无脱落、无裂缝（至少每2个月一次）。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（4）检查并确保围护结构上所有穿墙设施（如：灯，门，窗，电线等）边缘无细小裂缝（至少每2个月一次）。</w:t>
            </w:r>
          </w:p>
        </w:tc>
      </w:tr>
      <w:tr w14:paraId="53057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4D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AB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全实验室密封门、窗户、传递窗、安全逃生门维护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65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（1）检查并确保密封门可自动关闭，闭门器工作正常（至少每半年一次）。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（2）检查并确保密封门自动关闭后正常关到位，门锁有效（至少每半年一次）。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（3）确保密封门的橡胶密封条无脱落和分离情况，门下边密封条完好无变形（至少每半年一次）。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（4）检查并确保密封门安装牢固，无松动现象，必要时调整门的合页（至少每半年一次）。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（5）检查并确保传递窗双门联锁正常，压紧橡胶密封条无变形，用发烟法检查，确保密封性符合要求（至少每半年一次）。</w:t>
            </w:r>
          </w:p>
        </w:tc>
      </w:tr>
      <w:tr w14:paraId="5618F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E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09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全实验室照明维护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C0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（1）检查并确保照明配电柜，接点牢固，无电气元件发热现象，各种标签指示正常（每月一次）。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（2）检查并确保照明系统可正常点亮和熄灭，照度满足GB50346要求（每月一次）。</w:t>
            </w:r>
          </w:p>
        </w:tc>
      </w:tr>
      <w:tr w14:paraId="71CE9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2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73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全实验室压力控制维护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56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对实验室压力进行检测和调试，确保满足GB50346要求（每月一次）。</w:t>
            </w:r>
          </w:p>
        </w:tc>
      </w:tr>
      <w:tr w14:paraId="3C89B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E8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61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全实验室互锁双门维护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77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检查并确保实验室内双门的互锁装置工作正常（每月一次）。</w:t>
            </w:r>
          </w:p>
        </w:tc>
      </w:tr>
      <w:tr w14:paraId="5802E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B2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F5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全实验室配电维护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3D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（1）检查、测量机房内动力配电箱，检测并确保各个接点无松动和发热现象，检查并确保接地稳固（每月一次）。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（2）检查并确保送风工况转换状态正常（每月一次）。</w:t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（3）检查并确保电线、电缆的接点牢固，无发热现象，各种保护动作可靠（每月一次）。</w:t>
            </w:r>
          </w:p>
        </w:tc>
      </w:tr>
      <w:tr w14:paraId="1FEEF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D6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2D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全实验室紧急报警功能维护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F9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检查并确保出现应急情况能正常启动报警（每月一次）。</w:t>
            </w:r>
          </w:p>
        </w:tc>
      </w:tr>
      <w:tr w14:paraId="673B2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0B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AA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全实验室自控信息系统维护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8C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信息系统调试及优化</w:t>
            </w:r>
          </w:p>
        </w:tc>
      </w:tr>
      <w:tr w14:paraId="337AE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DB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38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实验室工况检测保障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3A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安排专人配合第三方检测机构完成实验室工况相关检测，包括但不限于以下项目：气密性检测、换气次数检测、洁净度检测、照度检测、噪音检测、温度检测、湿度检测、实验室静压差检测、紧急报警验证、送排风机安全性连锁验证、排风高效过滤器检测等。在检测前3天必须到位完成调试。</w:t>
            </w:r>
          </w:p>
        </w:tc>
      </w:tr>
      <w:tr w14:paraId="0AEF1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AD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45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出具维保资料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33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每次维保结束后出具维保记录，由甲方对维保情况进行确认验收。每年年终提交一份整理、装订好的全年维保过程资料以便存档（每月提交一次，每年年终提交一份全册）。</w:t>
            </w:r>
          </w:p>
        </w:tc>
      </w:tr>
      <w:tr w14:paraId="10691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65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2F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实验室湿度维护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C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1.加湿器维护（每半年一次）</w:t>
            </w:r>
          </w:p>
          <w:p w14:paraId="11D7F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2.送风箱体夏/冬季冷凝水泄露处理（每月一次）</w:t>
            </w:r>
          </w:p>
        </w:tc>
      </w:tr>
      <w:tr w14:paraId="48305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8D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76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维护服务驻场要求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77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在服务期限内，设置1名维修工程师常驻呼和浩特浩特国际卫生保健中心P2实验室。</w:t>
            </w:r>
          </w:p>
        </w:tc>
      </w:tr>
    </w:tbl>
    <w:p w14:paraId="25E34AB5">
      <w:pPr>
        <w:rPr>
          <w:b/>
          <w:color w:val="auto"/>
          <w:szCs w:val="21"/>
        </w:rPr>
      </w:pPr>
      <w:r>
        <w:rPr>
          <w:rFonts w:hint="eastAsia"/>
          <w:b/>
          <w:color w:val="auto"/>
          <w:szCs w:val="21"/>
        </w:rPr>
        <w:t>备注：包含维保区域所需的一年度的初、中、高效过滤器更换耗材费用、年度第三方验证配合费用及常驻人员服务费用。</w:t>
      </w:r>
    </w:p>
    <w:p w14:paraId="4AE66D5F">
      <w:pPr>
        <w:rPr>
          <w:b/>
          <w:color w:val="auto"/>
          <w:szCs w:val="21"/>
        </w:rPr>
      </w:pPr>
    </w:p>
    <w:p w14:paraId="2D9C1AAE">
      <w:pPr>
        <w:pStyle w:val="37"/>
        <w:autoSpaceDN w:val="0"/>
        <w:spacing w:line="600" w:lineRule="exact"/>
        <w:rPr>
          <w:rFonts w:hint="default" w:ascii="宋体" w:hAnsi="宋体" w:cs="宋体"/>
          <w:color w:val="auto"/>
          <w:sz w:val="24"/>
          <w:szCs w:val="24"/>
          <w:lang w:val="en-US" w:eastAsia="zh-CN"/>
        </w:rPr>
      </w:pPr>
    </w:p>
    <w:p w14:paraId="223BDD3A">
      <w:pPr>
        <w:spacing w:line="560" w:lineRule="exact"/>
        <w:jc w:val="right"/>
        <w:rPr>
          <w:rFonts w:ascii="方正仿宋_GBK" w:eastAsia="方正仿宋_GBK" w:cs="方正仿宋_GBK"/>
          <w:color w:val="auto"/>
          <w:sz w:val="32"/>
          <w:szCs w:val="32"/>
        </w:rPr>
      </w:pPr>
    </w:p>
    <w:bookmarkEnd w:id="0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4A223">
    <w:pPr>
      <w:pStyle w:val="5"/>
      <w:framePr w:wrap="around" w:vAnchor="text" w:hAnchor="margin" w:xAlign="right" w:y="1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5</w:t>
    </w:r>
    <w:r>
      <w:rPr>
        <w:rStyle w:val="11"/>
      </w:rPr>
      <w:fldChar w:fldCharType="end"/>
    </w:r>
  </w:p>
  <w:p w14:paraId="1E102CA0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AB79D">
    <w:pPr>
      <w:pStyle w:val="5"/>
      <w:framePr w:wrap="around" w:vAnchor="text" w:hAnchor="margin" w:xAlign="right" w:y="1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A2CBBBE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04387860"/>
    <w:rsid w:val="08404D18"/>
    <w:rsid w:val="0B1B7594"/>
    <w:rsid w:val="0CA5180B"/>
    <w:rsid w:val="114933C0"/>
    <w:rsid w:val="14FB646C"/>
    <w:rsid w:val="16535A2F"/>
    <w:rsid w:val="180A4C18"/>
    <w:rsid w:val="1F6E0A48"/>
    <w:rsid w:val="24FA131E"/>
    <w:rsid w:val="27606603"/>
    <w:rsid w:val="2AC01D6B"/>
    <w:rsid w:val="3321133C"/>
    <w:rsid w:val="39572924"/>
    <w:rsid w:val="3D1D68F2"/>
    <w:rsid w:val="40EF5760"/>
    <w:rsid w:val="596329C3"/>
    <w:rsid w:val="598D0641"/>
    <w:rsid w:val="64CF0348"/>
    <w:rsid w:val="652A099B"/>
    <w:rsid w:val="67BD3B00"/>
    <w:rsid w:val="6C16685D"/>
    <w:rsid w:val="726245AA"/>
    <w:rsid w:val="73A50FE6"/>
    <w:rsid w:val="747D391D"/>
    <w:rsid w:val="7C0348C1"/>
    <w:rsid w:val="7D1D5C9D"/>
    <w:rsid w:val="7EA877E8"/>
    <w:rsid w:val="7F345E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index heading"/>
    <w:basedOn w:val="1"/>
    <w:qFormat/>
    <w:uiPriority w:val="0"/>
    <w:rPr>
      <w:rFonts w:ascii="Arial" w:hAnsi="Arial"/>
      <w:b/>
    </w:rPr>
  </w:style>
  <w:style w:type="paragraph" w:styleId="8">
    <w:name w:val="Normal (Web)"/>
    <w:next w:val="3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hAnsi="Times New Roman" w:eastAsia="宋体" w:cs="宋体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 w:bidi="ar-SA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8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1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2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8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1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2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27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5">
    <w:name w:val="样式 28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6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7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8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9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0">
    <w:name w:val="样式 3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7</Pages>
  <Words>752</Words>
  <Characters>800</Characters>
  <Lines>292</Lines>
  <Paragraphs>212</Paragraphs>
  <TotalTime>0</TotalTime>
  <ScaleCrop>false</ScaleCrop>
  <LinksUpToDate>false</LinksUpToDate>
  <CharactersWithSpaces>800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2025-08-14T07:41:00Z</dcterms:created>
  <dc:creator>阿牧古龙</dc:creator>
  <cp:lastModifiedBy>木楠树下</cp:lastModifiedBy>
  <cp:lastPrinted>2025-07-02T10:14:00Z</cp:lastPrinted>
  <dcterms:modified xsi:type="dcterms:W3CDTF">2025-09-25T09:28:14Z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DB05C7F08F5149ACAEDF8E8CB13DFC8B_13</vt:lpwstr>
  </property>
  <property fmtid="{D5CDD505-2E9C-101B-9397-08002B2CF9AE}" pid="4" name="KSOTemplateDocerSaveRecord">
    <vt:lpwstr>eyJoZGlkIjoiMGY4ODU2ZDVmMjA5NmYyNGVmN2RiMWMwZWU2ODE0ZDAiLCJ1c2VySWQiOiI2NTkyODgxNjEifQ==</vt:lpwstr>
  </property>
</Properties>
</file>