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283DE">
      <w:pPr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附件1</w:t>
      </w:r>
    </w:p>
    <w:p w14:paraId="09A11DF9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比选采购需求书</w:t>
      </w:r>
    </w:p>
    <w:tbl>
      <w:tblPr>
        <w:tblStyle w:val="8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 w14:paraId="7DF96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 w14:paraId="5527666A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楷体_GBK" w:eastAsia="方正楷体_GBK" w:cs="方正楷体_GBK"/>
                <w:color w:val="auto"/>
                <w:sz w:val="32"/>
                <w:szCs w:val="32"/>
                <w:highlight w:val="none"/>
              </w:rPr>
              <w:t>基础信息栏</w:t>
            </w:r>
          </w:p>
        </w:tc>
      </w:tr>
      <w:tr w14:paraId="05172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130DD7C8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862" w:type="dxa"/>
            <w:vAlign w:val="center"/>
          </w:tcPr>
          <w:p w14:paraId="66241ED1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呼和浩特国际旅行卫生保健中心(呼和浩特海关口岸门诊部)安全通道维修改造工程</w:t>
            </w:r>
          </w:p>
        </w:tc>
      </w:tr>
      <w:tr w14:paraId="0CA10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2A02C95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需求部门</w:t>
            </w:r>
          </w:p>
        </w:tc>
        <w:tc>
          <w:tcPr>
            <w:tcW w:w="6862" w:type="dxa"/>
            <w:vAlign w:val="center"/>
          </w:tcPr>
          <w:p w14:paraId="3BA6D7CC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综合办公室（经办部门）</w:t>
            </w:r>
          </w:p>
        </w:tc>
      </w:tr>
      <w:tr w14:paraId="0589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8" w:type="dxa"/>
            <w:vAlign w:val="center"/>
          </w:tcPr>
          <w:p w14:paraId="185BCE8C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采购预算</w:t>
            </w:r>
          </w:p>
        </w:tc>
        <w:tc>
          <w:tcPr>
            <w:tcW w:w="6862" w:type="dxa"/>
            <w:vAlign w:val="center"/>
          </w:tcPr>
          <w:p w14:paraId="4BB6A229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111000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元</w:t>
            </w:r>
          </w:p>
        </w:tc>
      </w:tr>
      <w:tr w14:paraId="122AB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33DBAEF5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审批文件</w:t>
            </w:r>
          </w:p>
        </w:tc>
        <w:tc>
          <w:tcPr>
            <w:tcW w:w="6862" w:type="dxa"/>
            <w:vAlign w:val="center"/>
          </w:tcPr>
          <w:p w14:paraId="25712244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</w:p>
        </w:tc>
      </w:tr>
      <w:tr w14:paraId="3B2F9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74443A68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经费来源</w:t>
            </w:r>
          </w:p>
        </w:tc>
        <w:tc>
          <w:tcPr>
            <w:tcW w:w="6862" w:type="dxa"/>
            <w:vAlign w:val="center"/>
          </w:tcPr>
          <w:p w14:paraId="24AB94CE">
            <w:pPr>
              <w:spacing w:line="560" w:lineRule="exact"/>
              <w:jc w:val="center"/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海关法检业务工作专项经费</w:t>
            </w:r>
          </w:p>
        </w:tc>
      </w:tr>
      <w:tr w14:paraId="6A39A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vAlign w:val="center"/>
          </w:tcPr>
          <w:p w14:paraId="4BD8CAA9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评审方法</w:t>
            </w:r>
          </w:p>
        </w:tc>
        <w:tc>
          <w:tcPr>
            <w:tcW w:w="6862" w:type="dxa"/>
            <w:vAlign w:val="center"/>
          </w:tcPr>
          <w:p w14:paraId="372923CB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sym w:font="Wingdings 2" w:char="0052"/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最低价法</w:t>
            </w:r>
          </w:p>
          <w:p w14:paraId="0F7D0470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综合评分法</w:t>
            </w:r>
            <w:bookmarkStart w:id="0" w:name="_GoBack"/>
            <w:bookmarkEnd w:id="0"/>
          </w:p>
        </w:tc>
      </w:tr>
      <w:tr w14:paraId="23731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vAlign w:val="center"/>
          </w:tcPr>
          <w:p w14:paraId="2C115BBE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楷体_GBK" w:eastAsia="方正楷体_GBK" w:cs="方正楷体_GBK"/>
                <w:color w:val="auto"/>
                <w:sz w:val="32"/>
                <w:szCs w:val="32"/>
                <w:highlight w:val="none"/>
              </w:rPr>
              <w:t>详细需求栏</w:t>
            </w:r>
          </w:p>
        </w:tc>
      </w:tr>
      <w:tr w14:paraId="3E3DE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8" w:type="dxa"/>
            <w:vAlign w:val="center"/>
          </w:tcPr>
          <w:p w14:paraId="5389991B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说明</w:t>
            </w:r>
          </w:p>
        </w:tc>
        <w:tc>
          <w:tcPr>
            <w:tcW w:w="6862" w:type="dxa"/>
            <w:vAlign w:val="center"/>
          </w:tcPr>
          <w:p w14:paraId="7D9A08F6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1.不满足资格条件的响应文件将按无效响应文件处理。</w:t>
            </w:r>
          </w:p>
          <w:p w14:paraId="6C7978A3">
            <w:pPr>
              <w:spacing w:line="400" w:lineRule="exac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详细需求栏中所有加“★”项的需求均为实质性要求，不满足实质性要求的响应文件将按无效响应文件处理。</w:t>
            </w:r>
          </w:p>
        </w:tc>
      </w:tr>
      <w:tr w14:paraId="413A6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8" w:hRule="atLeast"/>
        </w:trPr>
        <w:tc>
          <w:tcPr>
            <w:tcW w:w="2198" w:type="dxa"/>
            <w:vAlign w:val="center"/>
          </w:tcPr>
          <w:p w14:paraId="215EA3D4"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资格条件</w:t>
            </w:r>
          </w:p>
        </w:tc>
        <w:tc>
          <w:tcPr>
            <w:tcW w:w="6862" w:type="dxa"/>
            <w:vAlign w:val="center"/>
          </w:tcPr>
          <w:p w14:paraId="61BE803A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1.满足《中华人民共和国政府采购法》第二十二条规定；</w:t>
            </w:r>
          </w:p>
          <w:p w14:paraId="69EC236B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2.本项目的特定资格要求：</w:t>
            </w:r>
          </w:p>
          <w:p w14:paraId="14472781">
            <w:pPr>
              <w:spacing w:line="400" w:lineRule="exact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具有建筑装修装饰施工资质。</w:t>
            </w:r>
          </w:p>
          <w:p w14:paraId="720310A1">
            <w:pPr>
              <w:spacing w:line="400" w:lineRule="exac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3.本项目其他要求：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（1）单位负责人为同一人或者存在直接控股、管理关系的不同供应商，不得参加同一合同项下的政府采购活动。除单一来源采购项目外，为采购项目提供整体设计、规范编制或者项目管理、监理、检测等服务的供应商，不得再参加该采购项目的其他采购活动；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（2）对在“信用中国”网站(www.creditchina.gov.cn)、中国政府采购网(www.ccgp.gov.cn)等渠道列入失信被执行人、重大税收违法失信主体、政府采购严重违法失信行为记录名单及其他不符合《中华人民共和国政府采购法》第二十二条规定条件的供应商，不得参与政府采购活动.</w:t>
            </w:r>
          </w:p>
        </w:tc>
      </w:tr>
      <w:tr w14:paraId="56A6D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2198" w:type="dxa"/>
            <w:vAlign w:val="center"/>
          </w:tcPr>
          <w:p w14:paraId="6B5DE07E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★</w:t>
            </w:r>
          </w:p>
          <w:p w14:paraId="7550C69C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实质性需求</w:t>
            </w:r>
          </w:p>
        </w:tc>
        <w:tc>
          <w:tcPr>
            <w:tcW w:w="6862" w:type="dxa"/>
          </w:tcPr>
          <w:p w14:paraId="7CE2E3CE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一、项目情况</w:t>
            </w:r>
          </w:p>
          <w:p w14:paraId="699C0920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1.采购内容：具体详见工程量清单。总体要求：选用的建筑材料必须为国标产品、符合国家验收标准。</w:t>
            </w:r>
          </w:p>
          <w:p w14:paraId="2C176FF1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2.招标控制制价及报价说明：</w:t>
            </w:r>
          </w:p>
          <w:p w14:paraId="4BE88EBF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2.1本项目招标控制价为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111000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.00元(大写: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壹拾壹万壹仟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元整)，超出控制价视为投标无效。</w:t>
            </w:r>
          </w:p>
          <w:p w14:paraId="457D4F8B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2.2已标价的工程量清单作为报价的一部分需装订入响应文件，如果响应文件中没有已标价工程量清单视为投标无效。</w:t>
            </w:r>
          </w:p>
          <w:p w14:paraId="266DD88A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二、商务要求：</w:t>
            </w:r>
          </w:p>
          <w:p w14:paraId="41754332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1.工期：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合同签订后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0天内完工；施工地点：呼和浩特国际旅行卫生保健中心（呼和浩特海关口岸门诊部）</w:t>
            </w:r>
          </w:p>
          <w:p w14:paraId="4576151E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支付方式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合同签订后，支付合同总额的30%的款。</w:t>
            </w:r>
          </w:p>
          <w:p w14:paraId="61218F50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工程竣工验收合格后，支付合同总额的60%的款。</w:t>
            </w:r>
          </w:p>
          <w:p w14:paraId="01D30447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工程竣工验收合格经第三方审计，支付剩余结算全部工程款。</w:t>
            </w:r>
          </w:p>
          <w:p w14:paraId="7E06C2B4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3.质量保证金：工程竣工验收合格后中标单位向采购人支付工程价款结算总额的3%作为质量保证金，质量保修期满后30日内无息退还。</w:t>
            </w:r>
          </w:p>
          <w:p w14:paraId="4402AAF4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4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.质量要求：符合国家及行业相关规范和标准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，并达到合格工程标准，同时满足建设单位需求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68A816D6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5</w:t>
            </w:r>
            <w:r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.安全要求：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必须确保安全文明施工，执行国家现行相关规定。</w:t>
            </w:r>
          </w:p>
          <w:p w14:paraId="22AE16D2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.质量保修期：按照《建设工程质量管理条例》要求执行，自竣工验收合格之日起计算。</w:t>
            </w:r>
          </w:p>
          <w:p w14:paraId="1E786C78">
            <w:pPr>
              <w:spacing w:line="400" w:lineRule="exact"/>
              <w:rPr>
                <w:rFonts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7.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highlight w:val="none"/>
              </w:rPr>
              <w:t>缺陷责任期：1年，工程通过竣工验收之日起计算。</w:t>
            </w:r>
          </w:p>
        </w:tc>
      </w:tr>
      <w:tr w14:paraId="1A3B9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198" w:type="dxa"/>
            <w:vAlign w:val="center"/>
          </w:tcPr>
          <w:p w14:paraId="68F8788A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评审因素</w:t>
            </w:r>
          </w:p>
        </w:tc>
        <w:tc>
          <w:tcPr>
            <w:tcW w:w="6862" w:type="dxa"/>
          </w:tcPr>
          <w:p w14:paraId="5289BD21">
            <w:pPr>
              <w:spacing w:line="56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评审方法按照最低价法。</w:t>
            </w:r>
          </w:p>
        </w:tc>
      </w:tr>
      <w:tr w14:paraId="5F83E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8" w:type="dxa"/>
            <w:vAlign w:val="center"/>
          </w:tcPr>
          <w:p w14:paraId="60926AD0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其他因素</w:t>
            </w:r>
          </w:p>
        </w:tc>
        <w:tc>
          <w:tcPr>
            <w:tcW w:w="6862" w:type="dxa"/>
          </w:tcPr>
          <w:p w14:paraId="5BC41517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1、公告期限3个工作日。</w:t>
            </w:r>
          </w:p>
          <w:p w14:paraId="130C38B6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2、响应文件份数：响应文件正本1份、副本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  <w:highlight w:val="none"/>
              </w:rPr>
              <w:t>份，胶装装订成册，密封提交。</w:t>
            </w:r>
          </w:p>
        </w:tc>
      </w:tr>
    </w:tbl>
    <w:p w14:paraId="6BDFF64D">
      <w:pPr>
        <w:rPr>
          <w:rFonts w:ascii="方正仿宋_GBK" w:eastAsia="方正仿宋_GBK" w:cs="方正仿宋_GBK"/>
          <w:sz w:val="32"/>
          <w:szCs w:val="32"/>
        </w:rPr>
      </w:pPr>
    </w:p>
    <w:p w14:paraId="6BA95476"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7593D96F-09DF-4087-B14D-5E555422A5F8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7B85BFCE-F675-4220-8AC9-38F213926C7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91A5EEE-3548-4E70-9FEC-49D090A21321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4" w:fontKey="{A1445001-1F53-4990-860A-13447A2DE33E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CD7EB50D-7717-469E-83ED-473423A6DC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BFC1C">
    <w:pPr>
      <w:pStyle w:val="4"/>
      <w:framePr w:wrap="around" w:vAnchor="text" w:hAnchor="margin" w:xAlign="right" w:y="1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3C84DCA7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E9674">
    <w:pPr>
      <w:pStyle w:val="4"/>
      <w:framePr w:wrap="around" w:vAnchor="text" w:hAnchor="margin" w:xAlign="right" w:y="1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52348E4A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5446B4"/>
    <w:rsid w:val="00083FC3"/>
    <w:rsid w:val="000B6658"/>
    <w:rsid w:val="001945B7"/>
    <w:rsid w:val="001B4196"/>
    <w:rsid w:val="00253B42"/>
    <w:rsid w:val="00381BC2"/>
    <w:rsid w:val="0049127A"/>
    <w:rsid w:val="005446B4"/>
    <w:rsid w:val="005479A2"/>
    <w:rsid w:val="00573435"/>
    <w:rsid w:val="0059538D"/>
    <w:rsid w:val="00645EC1"/>
    <w:rsid w:val="00891DA1"/>
    <w:rsid w:val="008F1FCE"/>
    <w:rsid w:val="009701CF"/>
    <w:rsid w:val="00B13D9C"/>
    <w:rsid w:val="00E16BE8"/>
    <w:rsid w:val="08471E20"/>
    <w:rsid w:val="0CC2416B"/>
    <w:rsid w:val="0FA027C1"/>
    <w:rsid w:val="11477335"/>
    <w:rsid w:val="12492C39"/>
    <w:rsid w:val="12D17035"/>
    <w:rsid w:val="13320265"/>
    <w:rsid w:val="1460551F"/>
    <w:rsid w:val="16864503"/>
    <w:rsid w:val="186B1B5B"/>
    <w:rsid w:val="19AE61A3"/>
    <w:rsid w:val="205F0E70"/>
    <w:rsid w:val="21301B4E"/>
    <w:rsid w:val="25873D4C"/>
    <w:rsid w:val="273F110D"/>
    <w:rsid w:val="2B141BDE"/>
    <w:rsid w:val="2E595CA3"/>
    <w:rsid w:val="2E8828A0"/>
    <w:rsid w:val="2EC9779A"/>
    <w:rsid w:val="37427AD3"/>
    <w:rsid w:val="37445447"/>
    <w:rsid w:val="375717D0"/>
    <w:rsid w:val="3B312338"/>
    <w:rsid w:val="3D1B6DFC"/>
    <w:rsid w:val="3D1D2B74"/>
    <w:rsid w:val="3FB2668C"/>
    <w:rsid w:val="43CC2FC9"/>
    <w:rsid w:val="48777D12"/>
    <w:rsid w:val="48FD1AAC"/>
    <w:rsid w:val="4B105AC6"/>
    <w:rsid w:val="4B7C7600"/>
    <w:rsid w:val="4EA937BE"/>
    <w:rsid w:val="4FF5172F"/>
    <w:rsid w:val="501B2499"/>
    <w:rsid w:val="52701540"/>
    <w:rsid w:val="54EF0E42"/>
    <w:rsid w:val="59F44805"/>
    <w:rsid w:val="5D02548B"/>
    <w:rsid w:val="63AE011A"/>
    <w:rsid w:val="647C3D75"/>
    <w:rsid w:val="65C71C7C"/>
    <w:rsid w:val="68D45F2D"/>
    <w:rsid w:val="69B83AA1"/>
    <w:rsid w:val="6B757D73"/>
    <w:rsid w:val="6BC95AF1"/>
    <w:rsid w:val="6C027255"/>
    <w:rsid w:val="6E6B2E90"/>
    <w:rsid w:val="7079410D"/>
    <w:rsid w:val="70C8281B"/>
    <w:rsid w:val="71CC633B"/>
    <w:rsid w:val="75644ADD"/>
    <w:rsid w:val="77A56C97"/>
    <w:rsid w:val="7823194D"/>
    <w:rsid w:val="78CE7DB2"/>
    <w:rsid w:val="7C4947A7"/>
    <w:rsid w:val="7D782ED3"/>
    <w:rsid w:val="7ED7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heading"/>
    <w:basedOn w:val="1"/>
    <w:next w:val="7"/>
    <w:qFormat/>
    <w:uiPriority w:val="0"/>
    <w:rPr>
      <w:rFonts w:ascii="Arial" w:hAnsi="Arial"/>
      <w:b/>
    </w:rPr>
  </w:style>
  <w:style w:type="paragraph" w:styleId="7">
    <w:name w:val="index 1"/>
    <w:basedOn w:val="1"/>
    <w:next w:val="1"/>
    <w:qFormat/>
    <w:uiPriority w:val="0"/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8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1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2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8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1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2">
    <w:name w:val="样式 25 10 磅"/>
    <w:link w:val="53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27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5">
    <w:name w:val="样式 28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6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7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8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9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0">
    <w:name w:val="Table Paragraph"/>
    <w:basedOn w:val="1"/>
    <w:qFormat/>
    <w:uiPriority w:val="1"/>
  </w:style>
  <w:style w:type="paragraph" w:customStyle="1" w:styleId="51">
    <w:name w:val="修订1"/>
    <w:hidden/>
    <w:unhideWhenUsed/>
    <w:qFormat/>
    <w:uiPriority w:val="99"/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52">
    <w:name w:val="样式 3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53">
    <w:name w:val="样式 25 10 磅 Char"/>
    <w:basedOn w:val="10"/>
    <w:link w:val="42"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1019</Words>
  <Characters>1096</Characters>
  <Lines>32</Lines>
  <Paragraphs>9</Paragraphs>
  <TotalTime>2</TotalTime>
  <ScaleCrop>false</ScaleCrop>
  <LinksUpToDate>false</LinksUpToDate>
  <CharactersWithSpaces>1096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办公账号</cp:lastModifiedBy>
  <cp:lastPrinted>2025-09-05T02:05:00Z</cp:lastPrinted>
  <dcterms:modified xsi:type="dcterms:W3CDTF">2025-10-11T03:25:59Z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A4AA49D409B3448B815B26DA7F99FFDE_13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