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黑体_GBK" w:eastAsia="方正黑体_GBK" w:cs="方正黑体_GBK"/>
          <w:sz w:val="32"/>
          <w:szCs w:val="32"/>
        </w:rPr>
      </w:pPr>
      <w:r>
        <w:rPr>
          <w:rFonts w:hint="eastAsia" w:ascii="方正黑体_GBK" w:eastAsia="方正黑体_GBK" w:cs="方正黑体_GBK"/>
          <w:sz w:val="32"/>
          <w:szCs w:val="32"/>
        </w:rPr>
        <w:t>附件1</w:t>
      </w:r>
    </w:p>
    <w:p>
      <w:pPr>
        <w:spacing w:line="560" w:lineRule="exact"/>
        <w:jc w:val="center"/>
        <w:rPr>
          <w:rFonts w:ascii="方正小标宋_GBK" w:eastAsia="方正小标宋_GBK" w:cs="方正小标宋_GBK"/>
          <w:sz w:val="44"/>
          <w:szCs w:val="44"/>
        </w:rPr>
      </w:pPr>
      <w:r>
        <w:rPr>
          <w:rFonts w:hint="eastAsia" w:ascii="方正小标宋_GBK" w:eastAsia="方正小标宋_GBK" w:cs="方正小标宋_GBK"/>
          <w:sz w:val="44"/>
          <w:szCs w:val="44"/>
        </w:rPr>
        <w:t>比选采购需求书</w:t>
      </w:r>
    </w:p>
    <w:tbl>
      <w:tblPr>
        <w:tblStyle w:val="8"/>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8"/>
        <w:gridCol w:w="6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gridSpan w:val="2"/>
            <w:vAlign w:val="center"/>
          </w:tcPr>
          <w:p>
            <w:pPr>
              <w:spacing w:line="560" w:lineRule="exact"/>
              <w:jc w:val="center"/>
              <w:rPr>
                <w:rFonts w:ascii="方正仿宋_GBK" w:eastAsia="方正仿宋_GBK" w:cs="方正仿宋_GBK"/>
                <w:sz w:val="28"/>
                <w:szCs w:val="28"/>
              </w:rPr>
            </w:pPr>
            <w:r>
              <w:rPr>
                <w:rFonts w:hint="eastAsia" w:ascii="方正楷体_GBK" w:eastAsia="方正楷体_GBK" w:cs="方正楷体_GBK"/>
                <w:sz w:val="32"/>
                <w:szCs w:val="32"/>
              </w:rPr>
              <w:t>基础信息栏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98" w:type="dxa"/>
            <w:vAlign w:val="center"/>
          </w:tcPr>
          <w:p>
            <w:pPr>
              <w:spacing w:line="560" w:lineRule="exact"/>
              <w:jc w:val="center"/>
              <w:rPr>
                <w:rFonts w:ascii="方正仿宋_GBK" w:eastAsia="方正仿宋_GBK" w:cs="方正仿宋_GBK"/>
                <w:sz w:val="28"/>
                <w:szCs w:val="28"/>
              </w:rPr>
            </w:pPr>
            <w:r>
              <w:rPr>
                <w:rFonts w:hint="eastAsia" w:ascii="方正仿宋_GBK" w:eastAsia="方正仿宋_GBK" w:cs="方正仿宋_GBK"/>
                <w:sz w:val="28"/>
                <w:szCs w:val="28"/>
              </w:rPr>
              <w:t>项目名称</w:t>
            </w:r>
          </w:p>
        </w:tc>
        <w:tc>
          <w:tcPr>
            <w:tcW w:w="6862"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sz w:val="28"/>
                <w:szCs w:val="28"/>
              </w:rPr>
              <w:t>呼和浩特国际旅行卫生保健中心（呼和浩特海关口岸门诊部）</w:t>
            </w:r>
            <w:r>
              <w:rPr>
                <w:rFonts w:hint="eastAsia" w:ascii="方正仿宋_GBK" w:eastAsia="方正仿宋_GBK" w:cs="方正仿宋_GBK"/>
                <w:sz w:val="28"/>
                <w:szCs w:val="28"/>
                <w:lang w:val="en-US" w:eastAsia="zh-CN"/>
              </w:rPr>
              <w:t>4楼实验室屋顶维修工程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8" w:type="dxa"/>
            <w:vAlign w:val="center"/>
          </w:tcPr>
          <w:p>
            <w:pPr>
              <w:spacing w:line="560" w:lineRule="exact"/>
              <w:jc w:val="center"/>
              <w:rPr>
                <w:rFonts w:ascii="方正仿宋_GBK" w:eastAsia="方正仿宋_GBK" w:cs="方正仿宋_GBK"/>
                <w:sz w:val="28"/>
                <w:szCs w:val="28"/>
              </w:rPr>
            </w:pPr>
            <w:r>
              <w:rPr>
                <w:rFonts w:hint="eastAsia" w:ascii="方正仿宋_GBK" w:eastAsia="方正仿宋_GBK" w:cs="方正仿宋_GBK"/>
                <w:sz w:val="28"/>
                <w:szCs w:val="28"/>
              </w:rPr>
              <w:t>需求部门</w:t>
            </w:r>
          </w:p>
        </w:tc>
        <w:tc>
          <w:tcPr>
            <w:tcW w:w="6862" w:type="dxa"/>
            <w:vAlign w:val="center"/>
          </w:tcPr>
          <w:p>
            <w:pPr>
              <w:spacing w:line="560" w:lineRule="exact"/>
              <w:jc w:val="center"/>
              <w:rPr>
                <w:rFonts w:ascii="方正仿宋_GBK" w:eastAsia="方正仿宋_GBK" w:cs="方正仿宋_GBK"/>
                <w:sz w:val="28"/>
                <w:szCs w:val="28"/>
              </w:rPr>
            </w:pPr>
            <w:r>
              <w:rPr>
                <w:rFonts w:hint="eastAsia" w:ascii="方正仿宋_GBK" w:eastAsia="方正仿宋_GBK" w:cs="方正仿宋_GBK"/>
                <w:sz w:val="28"/>
                <w:szCs w:val="28"/>
                <w:highlight w:val="none"/>
              </w:rPr>
              <w:t>综合办公室（经办部门）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8" w:type="dxa"/>
            <w:vAlign w:val="center"/>
          </w:tcPr>
          <w:p>
            <w:pPr>
              <w:spacing w:line="560" w:lineRule="exact"/>
              <w:jc w:val="center"/>
              <w:rPr>
                <w:rFonts w:ascii="方正仿宋_GBK" w:eastAsia="方正仿宋_GBK" w:cs="方正仿宋_GBK"/>
                <w:sz w:val="28"/>
                <w:szCs w:val="28"/>
              </w:rPr>
            </w:pPr>
            <w:r>
              <w:rPr>
                <w:rFonts w:hint="eastAsia" w:ascii="方正仿宋_GBK" w:eastAsia="方正仿宋_GBK" w:cs="方正仿宋_GBK"/>
                <w:sz w:val="28"/>
                <w:szCs w:val="28"/>
              </w:rPr>
              <w:t>采购预算</w:t>
            </w:r>
          </w:p>
        </w:tc>
        <w:tc>
          <w:tcPr>
            <w:tcW w:w="6862" w:type="dxa"/>
            <w:vAlign w:val="center"/>
          </w:tcPr>
          <w:p>
            <w:pPr>
              <w:spacing w:line="560" w:lineRule="exact"/>
              <w:jc w:val="center"/>
              <w:rPr>
                <w:rFonts w:ascii="方正仿宋_GBK" w:eastAsia="方正仿宋_GBK" w:cs="方正仿宋_GBK"/>
                <w:sz w:val="28"/>
                <w:szCs w:val="28"/>
              </w:rPr>
            </w:pPr>
            <w:r>
              <w:rPr>
                <w:rFonts w:hint="eastAsia" w:ascii="方正仿宋_GBK" w:eastAsia="方正仿宋_GBK" w:cs="方正仿宋_GBK"/>
                <w:sz w:val="28"/>
                <w:szCs w:val="28"/>
                <w:lang w:val="en-US" w:eastAsia="zh-CN"/>
              </w:rPr>
              <w:t>132000</w:t>
            </w:r>
            <w:r>
              <w:rPr>
                <w:rFonts w:hint="eastAsia" w:ascii="方正仿宋_GBK" w:eastAsia="方正仿宋_GBK" w:cs="方正仿宋_GBK"/>
                <w:sz w:val="28"/>
                <w:szCs w:val="2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8" w:type="dxa"/>
            <w:vAlign w:val="center"/>
          </w:tcPr>
          <w:p>
            <w:pPr>
              <w:spacing w:line="560" w:lineRule="exact"/>
              <w:jc w:val="center"/>
              <w:rPr>
                <w:rFonts w:ascii="方正仿宋_GBK" w:eastAsia="方正仿宋_GBK" w:cs="方正仿宋_GBK"/>
                <w:sz w:val="28"/>
                <w:szCs w:val="28"/>
              </w:rPr>
            </w:pPr>
            <w:r>
              <w:rPr>
                <w:rFonts w:hint="eastAsia" w:ascii="方正仿宋_GBK" w:eastAsia="方正仿宋_GBK" w:cs="方正仿宋_GBK"/>
                <w:sz w:val="28"/>
                <w:szCs w:val="28"/>
              </w:rPr>
              <w:t>审批文件</w:t>
            </w:r>
          </w:p>
        </w:tc>
        <w:tc>
          <w:tcPr>
            <w:tcW w:w="6862" w:type="dxa"/>
            <w:vAlign w:val="center"/>
          </w:tcPr>
          <w:p>
            <w:pPr>
              <w:spacing w:line="560" w:lineRule="exact"/>
              <w:ind w:firstLine="1680" w:firstLineChars="600"/>
              <w:jc w:val="both"/>
              <w:rPr>
                <w:rFonts w:hint="default"/>
                <w:lang w:val="en-US" w:eastAsia="zh-CN"/>
              </w:rPr>
            </w:pPr>
            <w:r>
              <w:rPr>
                <w:rFonts w:hint="eastAsia"/>
                <w:sz w:val="28"/>
                <w:szCs w:val="28"/>
                <w:lang w:val="en-US" w:eastAsia="zh-CN"/>
              </w:rPr>
              <w:t>保健中心纪要</w:t>
            </w:r>
            <w:r>
              <w:rPr>
                <w:rFonts w:hint="eastAsia" w:ascii="宋体" w:hAnsi="宋体" w:eastAsia="宋体" w:cs="宋体"/>
                <w:sz w:val="28"/>
                <w:szCs w:val="28"/>
                <w:lang w:val="en-US" w:eastAsia="zh-CN"/>
              </w:rPr>
              <w:t>〔2025〕1</w:t>
            </w:r>
            <w:r>
              <w:rPr>
                <w:rFonts w:hint="eastAsia" w:ascii="宋体" w:hAnsi="宋体" w:cs="宋体"/>
                <w:sz w:val="28"/>
                <w:szCs w:val="28"/>
                <w:lang w:val="en-US" w:eastAsia="zh-CN"/>
              </w:rPr>
              <w:t>2</w:t>
            </w:r>
            <w:r>
              <w:rPr>
                <w:rFonts w:hint="eastAsia"/>
                <w:sz w:val="28"/>
                <w:szCs w:val="28"/>
                <w:lang w:val="en-US" w:eastAsia="zh-CN"/>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8" w:type="dxa"/>
            <w:vAlign w:val="center"/>
          </w:tcPr>
          <w:p>
            <w:pPr>
              <w:spacing w:line="560" w:lineRule="exact"/>
              <w:jc w:val="center"/>
              <w:rPr>
                <w:rFonts w:ascii="方正仿宋_GBK" w:eastAsia="方正仿宋_GBK" w:cs="方正仿宋_GBK"/>
                <w:sz w:val="28"/>
                <w:szCs w:val="28"/>
              </w:rPr>
            </w:pPr>
            <w:r>
              <w:rPr>
                <w:rFonts w:hint="eastAsia" w:ascii="方正仿宋_GBK" w:eastAsia="方正仿宋_GBK" w:cs="方正仿宋_GBK"/>
                <w:sz w:val="28"/>
                <w:szCs w:val="28"/>
              </w:rPr>
              <w:t>经费来源</w:t>
            </w:r>
          </w:p>
        </w:tc>
        <w:tc>
          <w:tcPr>
            <w:tcW w:w="6862" w:type="dxa"/>
            <w:vAlign w:val="center"/>
          </w:tcPr>
          <w:p>
            <w:pPr>
              <w:spacing w:line="560" w:lineRule="exact"/>
              <w:jc w:val="center"/>
              <w:rPr>
                <w:rFonts w:ascii="方正仿宋_GBK" w:eastAsia="方正仿宋_GBK" w:cs="方正仿宋_GBK"/>
                <w:sz w:val="28"/>
                <w:szCs w:val="28"/>
              </w:rPr>
            </w:pPr>
            <w:r>
              <w:rPr>
                <w:rFonts w:hint="eastAsia" w:ascii="方正仿宋_GBK" w:eastAsia="方正仿宋_GBK" w:cs="方正仿宋_GBK"/>
                <w:sz w:val="28"/>
                <w:szCs w:val="28"/>
                <w:highlight w:val="none"/>
              </w:rPr>
              <w:t>海关法检业务工作专项经费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8" w:type="dxa"/>
            <w:vAlign w:val="center"/>
          </w:tcPr>
          <w:p>
            <w:pPr>
              <w:spacing w:line="560" w:lineRule="exact"/>
              <w:jc w:val="center"/>
              <w:rPr>
                <w:rFonts w:ascii="方正仿宋_GBK" w:eastAsia="方正仿宋_GBK" w:cs="方正仿宋_GBK"/>
                <w:sz w:val="28"/>
                <w:szCs w:val="28"/>
              </w:rPr>
            </w:pPr>
            <w:r>
              <w:rPr>
                <w:rFonts w:hint="eastAsia" w:ascii="方正仿宋_GBK" w:eastAsia="方正仿宋_GBK" w:cs="方正仿宋_GBK"/>
                <w:sz w:val="28"/>
                <w:szCs w:val="28"/>
              </w:rPr>
              <w:t>评审方法</w:t>
            </w:r>
          </w:p>
        </w:tc>
        <w:tc>
          <w:tcPr>
            <w:tcW w:w="6862" w:type="dxa"/>
            <w:vAlign w:val="center"/>
          </w:tcPr>
          <w:p>
            <w:pPr>
              <w:spacing w:line="400" w:lineRule="exact"/>
              <w:jc w:val="left"/>
              <w:rPr>
                <w:rFonts w:ascii="方正仿宋_GBK" w:eastAsia="方正仿宋_GBK" w:cs="方正仿宋_GBK"/>
                <w:sz w:val="28"/>
                <w:szCs w:val="28"/>
              </w:rPr>
            </w:pPr>
            <w:r>
              <w:rPr>
                <w:rFonts w:hint="eastAsia" w:ascii="方正仿宋_GBK" w:eastAsia="方正仿宋_GBK" w:cs="方正仿宋_GBK"/>
                <w:sz w:val="28"/>
                <w:szCs w:val="28"/>
              </w:rPr>
              <w:sym w:font="Wingdings 2" w:char="00A3"/>
            </w:r>
            <w:r>
              <w:rPr>
                <w:rFonts w:hint="eastAsia" w:ascii="方正仿宋_GBK" w:eastAsia="方正仿宋_GBK" w:cs="方正仿宋_GBK"/>
                <w:sz w:val="28"/>
                <w:szCs w:val="28"/>
              </w:rPr>
              <w:t>最低价法</w:t>
            </w:r>
          </w:p>
          <w:p>
            <w:pPr>
              <w:spacing w:line="400" w:lineRule="exact"/>
              <w:jc w:val="left"/>
              <w:rPr>
                <w:rFonts w:ascii="方正仿宋_GBK" w:eastAsia="方正仿宋_GBK" w:cs="方正仿宋_GBK"/>
                <w:sz w:val="28"/>
                <w:szCs w:val="28"/>
              </w:rPr>
            </w:pPr>
            <w:r>
              <w:rPr>
                <w:rFonts w:hint="eastAsia" w:ascii="方正仿宋_GBK" w:eastAsia="方正仿宋_GBK" w:cs="方正仿宋_GBK"/>
                <w:sz w:val="28"/>
                <w:szCs w:val="28"/>
              </w:rPr>
              <w:sym w:font="Wingdings 2" w:char="0052"/>
            </w:r>
            <w:r>
              <w:rPr>
                <w:rFonts w:hint="eastAsia" w:ascii="方正仿宋_GBK" w:eastAsia="方正仿宋_GBK" w:cs="方正仿宋_GBK"/>
                <w:sz w:val="28"/>
                <w:szCs w:val="28"/>
              </w:rPr>
              <w:t>综合评分法（权重：价格30%、评审因素70%）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98" w:type="dxa"/>
            <w:vAlign w:val="center"/>
          </w:tcPr>
          <w:p>
            <w:pPr>
              <w:spacing w:line="560" w:lineRule="exact"/>
              <w:jc w:val="center"/>
              <w:rPr>
                <w:rFonts w:ascii="方正仿宋_GBK" w:eastAsia="方正仿宋_GBK" w:cs="方正仿宋_GBK"/>
                <w:sz w:val="28"/>
                <w:szCs w:val="28"/>
                <w:highlight w:val="none"/>
              </w:rPr>
            </w:pPr>
            <w:r>
              <w:rPr>
                <w:rFonts w:hint="eastAsia" w:ascii="方正仿宋_GBK" w:eastAsia="方正仿宋_GBK" w:cs="方正仿宋_GBK"/>
                <w:sz w:val="28"/>
                <w:szCs w:val="28"/>
                <w:highlight w:val="none"/>
              </w:rPr>
              <w:t>编制人</w:t>
            </w:r>
          </w:p>
        </w:tc>
        <w:tc>
          <w:tcPr>
            <w:tcW w:w="6862" w:type="dxa"/>
            <w:vAlign w:val="center"/>
          </w:tcPr>
          <w:p>
            <w:pPr>
              <w:spacing w:line="560" w:lineRule="exact"/>
              <w:jc w:val="center"/>
              <w:rPr>
                <w:rFonts w:ascii="方正仿宋_GBK" w:eastAsia="方正仿宋_GBK" w:cs="方正仿宋_GBK"/>
                <w:sz w:val="28"/>
                <w:szCs w:val="28"/>
              </w:rPr>
            </w:pPr>
            <w:r>
              <w:rPr>
                <w:rFonts w:hint="eastAsia" w:ascii="方正仿宋_GBK" w:eastAsia="方正仿宋_GBK" w:cs="方正仿宋_GBK"/>
                <w:sz w:val="28"/>
                <w:szCs w:val="28"/>
              </w:rPr>
              <w:t>苏志川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8" w:type="dxa"/>
            <w:vAlign w:val="center"/>
          </w:tcPr>
          <w:p>
            <w:pPr>
              <w:spacing w:line="560" w:lineRule="exact"/>
              <w:jc w:val="center"/>
              <w:rPr>
                <w:rFonts w:ascii="方正仿宋_GBK" w:eastAsia="方正仿宋_GBK" w:cs="方正仿宋_GBK"/>
                <w:sz w:val="28"/>
                <w:szCs w:val="28"/>
                <w:highlight w:val="none"/>
              </w:rPr>
            </w:pPr>
            <w:r>
              <w:rPr>
                <w:rFonts w:hint="eastAsia" w:ascii="方正仿宋_GBK" w:eastAsia="方正仿宋_GBK" w:cs="方正仿宋_GBK"/>
                <w:sz w:val="28"/>
                <w:szCs w:val="28"/>
                <w:highlight w:val="none"/>
              </w:rPr>
              <w:t>复核人</w:t>
            </w:r>
          </w:p>
          <w:p>
            <w:pPr>
              <w:spacing w:line="560" w:lineRule="exact"/>
              <w:jc w:val="center"/>
              <w:rPr>
                <w:rFonts w:ascii="方正仿宋_GBK" w:eastAsia="方正仿宋_GBK" w:cs="方正仿宋_GBK"/>
                <w:sz w:val="28"/>
                <w:szCs w:val="28"/>
                <w:highlight w:val="none"/>
              </w:rPr>
            </w:pPr>
            <w:r>
              <w:rPr>
                <w:rFonts w:hint="eastAsia" w:ascii="方正仿宋_GBK" w:eastAsia="方正仿宋_GBK" w:cs="方正仿宋_GBK"/>
                <w:sz w:val="28"/>
                <w:szCs w:val="28"/>
                <w:highlight w:val="none"/>
              </w:rPr>
              <w:t>（科室负责人）</w:t>
            </w:r>
          </w:p>
        </w:tc>
        <w:tc>
          <w:tcPr>
            <w:tcW w:w="6862" w:type="dxa"/>
            <w:vAlign w:val="center"/>
          </w:tcPr>
          <w:p>
            <w:pPr>
              <w:spacing w:line="560" w:lineRule="exact"/>
              <w:jc w:val="both"/>
              <w:rPr>
                <w:rFonts w:ascii="方正仿宋_GBK" w:eastAsia="方正仿宋_GBK" w:cs="方正仿宋_GBK"/>
                <w:sz w:val="28"/>
                <w:szCs w:val="28"/>
              </w:rPr>
            </w:pPr>
            <w:r>
              <w:rPr>
                <w:rFonts w:hint="eastAsia" w:ascii="方正仿宋_GBK" w:eastAsia="方正仿宋_GBK" w:cs="方正仿宋_GBK"/>
                <w:sz w:val="28"/>
                <w:szCs w:val="28"/>
              </w:rPr>
              <w:t xml:space="preserve">                     </w:t>
            </w:r>
            <w:r>
              <w:rPr>
                <w:rFonts w:hint="eastAsia" w:ascii="宋体" w:hAnsi="宋体" w:cs="宋体"/>
                <w:sz w:val="28"/>
                <w:szCs w:val="28"/>
              </w:rPr>
              <w:t>李娟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8" w:type="dxa"/>
            <w:vAlign w:val="center"/>
          </w:tcPr>
          <w:p>
            <w:pPr>
              <w:spacing w:line="560" w:lineRule="exact"/>
              <w:jc w:val="center"/>
              <w:rPr>
                <w:rFonts w:ascii="方正仿宋_GBK" w:eastAsia="方正仿宋_GBK" w:cs="方正仿宋_GBK"/>
                <w:sz w:val="28"/>
                <w:szCs w:val="28"/>
                <w:highlight w:val="none"/>
              </w:rPr>
            </w:pPr>
            <w:r>
              <w:rPr>
                <w:rFonts w:hint="eastAsia" w:ascii="方正仿宋_GBK" w:eastAsia="方正仿宋_GBK" w:cs="方正仿宋_GBK"/>
                <w:sz w:val="28"/>
                <w:szCs w:val="28"/>
                <w:highlight w:val="none"/>
              </w:rPr>
              <w:t>审核人</w:t>
            </w:r>
          </w:p>
          <w:p>
            <w:pPr>
              <w:spacing w:line="560" w:lineRule="exact"/>
              <w:jc w:val="center"/>
              <w:rPr>
                <w:rFonts w:ascii="方正仿宋_GBK" w:eastAsia="方正仿宋_GBK" w:cs="方正仿宋_GBK"/>
                <w:sz w:val="28"/>
                <w:szCs w:val="28"/>
                <w:highlight w:val="none"/>
              </w:rPr>
            </w:pPr>
            <w:r>
              <w:rPr>
                <w:rFonts w:hint="eastAsia" w:ascii="方正仿宋_GBK" w:eastAsia="方正仿宋_GBK" w:cs="方正仿宋_GBK"/>
                <w:sz w:val="28"/>
                <w:szCs w:val="28"/>
                <w:highlight w:val="none"/>
              </w:rPr>
              <w:t>（部门负责人）</w:t>
            </w:r>
          </w:p>
        </w:tc>
        <w:tc>
          <w:tcPr>
            <w:tcW w:w="6862" w:type="dxa"/>
            <w:vAlign w:val="center"/>
          </w:tcPr>
          <w:p>
            <w:pPr>
              <w:spacing w:line="560" w:lineRule="exact"/>
              <w:jc w:val="center"/>
              <w:rPr>
                <w:rFonts w:ascii="方正仿宋_GBK" w:eastAsia="方正仿宋_GBK" w:cs="方正仿宋_GBK"/>
                <w:sz w:val="28"/>
                <w:szCs w:val="28"/>
              </w:rPr>
            </w:pPr>
            <w:r>
              <w:rPr>
                <w:rFonts w:hint="eastAsia" w:ascii="宋体" w:hAnsi="宋体" w:cs="宋体"/>
                <w:sz w:val="28"/>
                <w:szCs w:val="28"/>
              </w:rPr>
              <w:t>陈宇飞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gridSpan w:val="2"/>
            <w:vAlign w:val="center"/>
          </w:tcPr>
          <w:p>
            <w:pPr>
              <w:spacing w:line="560" w:lineRule="exact"/>
              <w:jc w:val="center"/>
              <w:rPr>
                <w:rFonts w:ascii="方正仿宋_GBK" w:eastAsia="方正仿宋_GBK" w:cs="方正仿宋_GBK"/>
                <w:sz w:val="28"/>
                <w:szCs w:val="28"/>
              </w:rPr>
            </w:pPr>
            <w:r>
              <w:rPr>
                <w:rFonts w:hint="eastAsia" w:ascii="方正楷体_GBK" w:eastAsia="方正楷体_GBK" w:cs="方正楷体_GBK"/>
                <w:sz w:val="32"/>
                <w:szCs w:val="32"/>
              </w:rPr>
              <w:t>详细需求栏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198" w:type="dxa"/>
            <w:vAlign w:val="center"/>
          </w:tcPr>
          <w:p>
            <w:pPr>
              <w:spacing w:line="560" w:lineRule="exact"/>
              <w:jc w:val="center"/>
              <w:rPr>
                <w:rFonts w:ascii="方正仿宋_GBK" w:eastAsia="方正仿宋_GBK" w:cs="方正仿宋_GBK"/>
                <w:sz w:val="28"/>
                <w:szCs w:val="28"/>
              </w:rPr>
            </w:pPr>
            <w:r>
              <w:rPr>
                <w:rFonts w:hint="eastAsia" w:ascii="方正仿宋_GBK" w:eastAsia="方正仿宋_GBK" w:cs="方正仿宋_GBK"/>
                <w:sz w:val="28"/>
                <w:szCs w:val="28"/>
              </w:rPr>
              <w:t>说明</w:t>
            </w:r>
          </w:p>
        </w:tc>
        <w:tc>
          <w:tcPr>
            <w:tcW w:w="6862" w:type="dxa"/>
            <w:vAlign w:val="center"/>
          </w:tcPr>
          <w:p>
            <w:pPr>
              <w:spacing w:line="400" w:lineRule="exact"/>
              <w:rPr>
                <w:rFonts w:ascii="Times New Roman" w:hAnsi="Times New Roman" w:eastAsia="方正仿宋_GBK" w:cs="Times New Roman"/>
                <w:sz w:val="28"/>
                <w:szCs w:val="28"/>
              </w:rPr>
            </w:pPr>
            <w:r>
              <w:rPr>
                <w:rFonts w:ascii="Times New Roman" w:hAnsi="Times New Roman" w:eastAsia="方正仿宋_GBK" w:cs="Times New Roman"/>
                <w:sz w:val="28"/>
                <w:szCs w:val="28"/>
              </w:rPr>
              <w:t>1.不满足资格条件的响应文件将按无效响应文件处理。</w:t>
            </w:r>
          </w:p>
          <w:p>
            <w:pPr>
              <w:spacing w:line="400" w:lineRule="exact"/>
              <w:rPr>
                <w:rFonts w:ascii="方正仿宋_GBK" w:eastAsia="方正仿宋_GBK" w:cs="方正仿宋_GBK"/>
                <w:sz w:val="28"/>
                <w:szCs w:val="28"/>
              </w:rPr>
            </w:pPr>
            <w:r>
              <w:rPr>
                <w:rFonts w:ascii="Times New Roman" w:hAnsi="Times New Roman" w:eastAsia="方正仿宋_GBK" w:cs="Times New Roman"/>
                <w:sz w:val="28"/>
                <w:szCs w:val="28"/>
              </w:rPr>
              <w:t>2.</w:t>
            </w:r>
            <w:r>
              <w:rPr>
                <w:rFonts w:hint="eastAsia" w:ascii="方正仿宋_GBK" w:eastAsia="方正仿宋_GBK" w:cs="方正仿宋_GBK"/>
                <w:sz w:val="28"/>
                <w:szCs w:val="28"/>
              </w:rPr>
              <w:t>详细需求栏中所有加“★”项的需求均为实质性要求，不满足实质性要求的响应文件将按无效响应文件处理。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8" w:hRule="atLeast"/>
        </w:trPr>
        <w:tc>
          <w:tcPr>
            <w:tcW w:w="2198" w:type="dxa"/>
            <w:vAlign w:val="center"/>
          </w:tcPr>
          <w:p>
            <w:pPr>
              <w:spacing w:line="560" w:lineRule="exact"/>
              <w:jc w:val="center"/>
              <w:rPr>
                <w:rFonts w:ascii="Times New Roman" w:hAnsi="Times New Roman" w:eastAsia="方正仿宋_GBK" w:cs="Times New Roman"/>
                <w:sz w:val="28"/>
                <w:szCs w:val="28"/>
              </w:rPr>
            </w:pPr>
            <w:r>
              <w:rPr>
                <w:rFonts w:hint="eastAsia" w:ascii="Times New Roman" w:hAnsi="Times New Roman" w:eastAsia="方正仿宋_GBK" w:cs="Times New Roman"/>
                <w:sz w:val="28"/>
                <w:szCs w:val="28"/>
              </w:rPr>
              <w:t>资格条件</w:t>
            </w:r>
          </w:p>
        </w:tc>
        <w:tc>
          <w:tcPr>
            <w:tcW w:w="6862" w:type="dxa"/>
            <w:vAlign w:val="center"/>
          </w:tcPr>
          <w:p>
            <w:pPr>
              <w:spacing w:line="400" w:lineRule="exact"/>
              <w:rPr>
                <w:rFonts w:ascii="Times New Roman" w:hAnsi="Times New Roman" w:eastAsia="方正仿宋_GBK" w:cs="Times New Roman"/>
                <w:sz w:val="28"/>
                <w:szCs w:val="28"/>
              </w:rPr>
            </w:pPr>
            <w:r>
              <w:rPr>
                <w:rFonts w:hint="eastAsia" w:ascii="Times New Roman" w:hAnsi="Times New Roman" w:eastAsia="方正仿宋_GBK" w:cs="Times New Roman"/>
                <w:sz w:val="28"/>
                <w:szCs w:val="28"/>
              </w:rPr>
              <w:t>1.满足《中华人民共和国政府采购法》第二十二条规定；</w:t>
            </w:r>
          </w:p>
          <w:p>
            <w:pPr>
              <w:spacing w:line="400" w:lineRule="exact"/>
              <w:rPr>
                <w:rFonts w:ascii="Times New Roman" w:hAnsi="Times New Roman" w:eastAsia="方正仿宋_GBK" w:cs="Times New Roman"/>
                <w:sz w:val="28"/>
                <w:szCs w:val="28"/>
              </w:rPr>
            </w:pPr>
            <w:r>
              <w:rPr>
                <w:rFonts w:hint="eastAsia" w:ascii="Times New Roman" w:hAnsi="Times New Roman" w:eastAsia="方正仿宋_GBK" w:cs="Times New Roman"/>
                <w:sz w:val="28"/>
                <w:szCs w:val="28"/>
              </w:rPr>
              <w:t>2.本项目的特定资格要求：</w:t>
            </w:r>
          </w:p>
          <w:p>
            <w:pPr>
              <w:spacing w:line="400" w:lineRule="exact"/>
              <w:rPr>
                <w:rFonts w:ascii="方正仿宋_GBK" w:eastAsia="方正仿宋_GBK" w:cs="方正仿宋_GBK"/>
                <w:sz w:val="28"/>
                <w:szCs w:val="28"/>
              </w:rPr>
            </w:pPr>
            <w:r>
              <w:rPr>
                <w:rFonts w:hint="eastAsia" w:ascii="Times New Roman" w:hAnsi="Times New Roman" w:eastAsia="方正仿宋_GBK" w:cs="Times New Roman"/>
                <w:sz w:val="28"/>
                <w:szCs w:val="28"/>
              </w:rPr>
              <w:t>（1）供应商须具备建设行政主管部门颁发的【建筑装修装饰工程专业承包乙级（含）以上资质证书】,证书在有效期内(上述资质为住建部最新资质要求(2020年11月30日建市(2020)94号《住房和城乡建设部关于印发建设工程企业资质管理制度改革方案的通知》);如供应商还未申办上述资质,则供应商须具有建设主管部门颁发的【建筑装修装饰工程专业承包</w:t>
            </w:r>
            <w:r>
              <w:rPr>
                <w:rFonts w:hint="eastAsia" w:ascii="Times New Roman" w:hAnsi="Times New Roman" w:eastAsia="方正仿宋_GBK" w:cs="Times New Roman"/>
                <w:sz w:val="28"/>
                <w:szCs w:val="28"/>
                <w:lang w:val="en-US" w:eastAsia="zh-CN"/>
              </w:rPr>
              <w:t>二</w:t>
            </w:r>
            <w:r>
              <w:rPr>
                <w:rFonts w:hint="eastAsia" w:ascii="Times New Roman" w:hAnsi="Times New Roman" w:eastAsia="方正仿宋_GBK" w:cs="Times New Roman"/>
                <w:sz w:val="28"/>
                <w:szCs w:val="28"/>
              </w:rPr>
              <w:t>级（含）以上资质证书】且证书在有效期内；</w:t>
            </w:r>
            <w:r>
              <w:rPr>
                <w:rFonts w:hint="eastAsia" w:ascii="Times New Roman" w:hAnsi="Times New Roman" w:eastAsia="方正仿宋_GBK" w:cs="Times New Roman"/>
                <w:sz w:val="28"/>
                <w:szCs w:val="28"/>
              </w:rPr>
              <w:br w:type="textWrapping"/>
            </w:r>
            <w:r>
              <w:rPr>
                <w:rFonts w:hint="eastAsia" w:ascii="Times New Roman" w:hAnsi="Times New Roman" w:eastAsia="方正仿宋_GBK" w:cs="Times New Roman"/>
                <w:sz w:val="28"/>
                <w:szCs w:val="28"/>
              </w:rPr>
              <w:t>（2）供应商须具有有效的安全生产许可证，证书在有效期内；</w:t>
            </w:r>
            <w:r>
              <w:rPr>
                <w:rFonts w:hint="eastAsia" w:ascii="Times New Roman" w:hAnsi="Times New Roman" w:eastAsia="方正仿宋_GBK" w:cs="Times New Roman"/>
                <w:sz w:val="28"/>
                <w:szCs w:val="28"/>
              </w:rPr>
              <w:br w:type="textWrapping"/>
            </w:r>
            <w:r>
              <w:rPr>
                <w:rFonts w:hint="eastAsia" w:ascii="Times New Roman" w:hAnsi="Times New Roman" w:eastAsia="方正仿宋_GBK" w:cs="Times New Roman"/>
                <w:sz w:val="28"/>
                <w:szCs w:val="28"/>
              </w:rPr>
              <w:t>（3）项目经理要求：拟派本项目经理须具有:1）、具有有效的本单位注册的建筑工程专业二级（含）以上建造师注册证书；2）、具备有效的安全生产考核合格证书;3）、不得担任其他在建工程项目的项目经理,提供无在建工程项目承诺函(格式自拟，加盖公章）；</w:t>
            </w:r>
            <w:r>
              <w:rPr>
                <w:rFonts w:hint="eastAsia" w:ascii="Times New Roman" w:hAnsi="Times New Roman" w:eastAsia="方正仿宋_GBK" w:cs="Times New Roman"/>
                <w:sz w:val="28"/>
                <w:szCs w:val="28"/>
              </w:rPr>
              <w:br w:type="textWrapping"/>
            </w:r>
            <w:r>
              <w:rPr>
                <w:rFonts w:hint="eastAsia" w:ascii="Times New Roman" w:hAnsi="Times New Roman" w:eastAsia="方正仿宋_GBK" w:cs="Times New Roman"/>
                <w:sz w:val="28"/>
                <w:szCs w:val="28"/>
              </w:rPr>
              <w:t>3.本项目其他要求：</w:t>
            </w:r>
            <w:r>
              <w:rPr>
                <w:rFonts w:hint="eastAsia" w:ascii="Times New Roman" w:hAnsi="Times New Roman" w:eastAsia="方正仿宋_GBK" w:cs="Times New Roman"/>
                <w:sz w:val="28"/>
                <w:szCs w:val="28"/>
              </w:rPr>
              <w:br w:type="textWrapping"/>
            </w:r>
            <w:r>
              <w:rPr>
                <w:rFonts w:hint="eastAsia" w:ascii="Times New Roman" w:hAnsi="Times New Roman" w:eastAsia="方正仿宋_GBK" w:cs="Times New Roman"/>
                <w:sz w:val="28"/>
                <w:szCs w:val="28"/>
              </w:rPr>
              <w:t>（1）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r>
              <w:rPr>
                <w:rFonts w:hint="eastAsia" w:ascii="Times New Roman" w:hAnsi="Times New Roman" w:eastAsia="方正仿宋_GBK" w:cs="Times New Roman"/>
                <w:sz w:val="28"/>
                <w:szCs w:val="28"/>
              </w:rPr>
              <w:br w:type="textWrapping"/>
            </w:r>
            <w:r>
              <w:rPr>
                <w:rFonts w:hint="eastAsia" w:ascii="Times New Roman" w:hAnsi="Times New Roman" w:eastAsia="方正仿宋_GBK" w:cs="Times New Roman"/>
                <w:sz w:val="28"/>
                <w:szCs w:val="28"/>
              </w:rPr>
              <w:t>（2）对在“信用中国”网站(www.creditchina.gov.cn)、中国政府采购网(www.ccgp.gov.cn)等渠道列入失信被执行人、重大税收违法失信主体、政府采购严重违法失信行为记录名单及其他不符合《中华人民共和国政府采购法》第二十二条规定条件的供应商，不得参与政府采购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 w:hRule="atLeast"/>
        </w:trPr>
        <w:tc>
          <w:tcPr>
            <w:tcW w:w="2198" w:type="dxa"/>
            <w:vAlign w:val="center"/>
          </w:tcPr>
          <w:p>
            <w:pPr>
              <w:spacing w:line="560" w:lineRule="exact"/>
              <w:jc w:val="center"/>
              <w:rPr>
                <w:rFonts w:ascii="方正仿宋_GBK" w:eastAsia="方正仿宋_GBK" w:cs="方正仿宋_GBK"/>
                <w:sz w:val="28"/>
                <w:szCs w:val="28"/>
              </w:rPr>
            </w:pPr>
            <w:r>
              <w:rPr>
                <w:rFonts w:hint="eastAsia" w:ascii="方正仿宋_GBK" w:eastAsia="方正仿宋_GBK" w:cs="方正仿宋_GBK"/>
                <w:sz w:val="28"/>
                <w:szCs w:val="28"/>
              </w:rPr>
              <w:t>★</w:t>
            </w:r>
          </w:p>
          <w:p>
            <w:pPr>
              <w:spacing w:line="560" w:lineRule="exact"/>
              <w:jc w:val="center"/>
              <w:rPr>
                <w:rFonts w:ascii="方正仿宋_GBK" w:eastAsia="方正仿宋_GBK" w:cs="方正仿宋_GBK"/>
                <w:sz w:val="28"/>
                <w:szCs w:val="28"/>
              </w:rPr>
            </w:pPr>
            <w:r>
              <w:rPr>
                <w:rFonts w:hint="eastAsia" w:ascii="方正仿宋_GBK" w:eastAsia="方正仿宋_GBK" w:cs="方正仿宋_GBK"/>
                <w:sz w:val="28"/>
                <w:szCs w:val="28"/>
              </w:rPr>
              <w:t>实质性需求</w:t>
            </w:r>
          </w:p>
        </w:tc>
        <w:tc>
          <w:tcPr>
            <w:tcW w:w="6862" w:type="dxa"/>
          </w:tcPr>
          <w:p>
            <w:pPr>
              <w:spacing w:line="400" w:lineRule="exact"/>
              <w:rPr>
                <w:rFonts w:ascii="Times New Roman" w:hAnsi="Times New Roman" w:eastAsia="方正仿宋_GBK" w:cs="Times New Roman"/>
                <w:sz w:val="28"/>
                <w:szCs w:val="28"/>
              </w:rPr>
            </w:pPr>
            <w:r>
              <w:rPr>
                <w:rFonts w:hint="eastAsia" w:ascii="Times New Roman" w:hAnsi="Times New Roman" w:eastAsia="方正仿宋_GBK" w:cs="Times New Roman"/>
                <w:sz w:val="28"/>
                <w:szCs w:val="28"/>
              </w:rPr>
              <w:t>一、项目情况</w:t>
            </w:r>
          </w:p>
          <w:p>
            <w:pPr>
              <w:spacing w:line="400" w:lineRule="exact"/>
              <w:rPr>
                <w:rFonts w:ascii="Times New Roman" w:hAnsi="Times New Roman" w:eastAsia="方正仿宋_GBK" w:cs="Times New Roman"/>
                <w:sz w:val="28"/>
                <w:szCs w:val="28"/>
              </w:rPr>
            </w:pPr>
            <w:r>
              <w:rPr>
                <w:rFonts w:hint="eastAsia" w:ascii="Times New Roman" w:hAnsi="Times New Roman" w:eastAsia="方正仿宋_GBK" w:cs="Times New Roman"/>
                <w:sz w:val="28"/>
                <w:szCs w:val="28"/>
              </w:rPr>
              <w:t>1.采购内容：具体详见</w:t>
            </w:r>
            <w:r>
              <w:rPr>
                <w:rFonts w:hint="eastAsia" w:ascii="Times New Roman" w:hAnsi="Times New Roman" w:eastAsia="方正仿宋_GBK" w:cs="Times New Roman"/>
                <w:sz w:val="28"/>
                <w:szCs w:val="28"/>
                <w:highlight w:val="none"/>
              </w:rPr>
              <w:t>工程量清单</w:t>
            </w:r>
            <w:r>
              <w:rPr>
                <w:rFonts w:hint="eastAsia" w:ascii="Times New Roman" w:hAnsi="Times New Roman" w:eastAsia="方正仿宋_GBK" w:cs="Times New Roman"/>
                <w:sz w:val="28"/>
                <w:szCs w:val="28"/>
              </w:rPr>
              <w:t>。总体要求：选用的建筑材料必须为国标产品、符合国家验收标准。</w:t>
            </w:r>
          </w:p>
          <w:p>
            <w:pPr>
              <w:spacing w:line="400" w:lineRule="exact"/>
              <w:rPr>
                <w:rFonts w:ascii="Times New Roman" w:hAnsi="Times New Roman" w:eastAsia="方正仿宋_GBK" w:cs="Times New Roman"/>
                <w:sz w:val="28"/>
                <w:szCs w:val="28"/>
              </w:rPr>
            </w:pPr>
            <w:r>
              <w:rPr>
                <w:rFonts w:hint="eastAsia" w:ascii="Times New Roman" w:hAnsi="Times New Roman" w:eastAsia="方正仿宋_GBK" w:cs="Times New Roman"/>
                <w:sz w:val="28"/>
                <w:szCs w:val="28"/>
              </w:rPr>
              <w:t>2.招标控制制价及报价说明：</w:t>
            </w:r>
          </w:p>
          <w:p>
            <w:pPr>
              <w:spacing w:line="400" w:lineRule="exact"/>
              <w:rPr>
                <w:rFonts w:ascii="Times New Roman" w:hAnsi="Times New Roman" w:eastAsia="方正仿宋_GBK" w:cs="Times New Roman"/>
                <w:sz w:val="28"/>
                <w:szCs w:val="28"/>
              </w:rPr>
            </w:pPr>
            <w:r>
              <w:rPr>
                <w:rFonts w:hint="eastAsia" w:ascii="Times New Roman" w:hAnsi="Times New Roman" w:eastAsia="方正仿宋_GBK" w:cs="Times New Roman"/>
                <w:sz w:val="28"/>
                <w:szCs w:val="28"/>
              </w:rPr>
              <w:t>2.1本项目招标控制价为</w:t>
            </w:r>
            <w:r>
              <w:rPr>
                <w:rFonts w:hint="eastAsia" w:ascii="Times New Roman" w:hAnsi="Times New Roman" w:eastAsia="方正仿宋_GBK" w:cs="Times New Roman"/>
                <w:sz w:val="28"/>
                <w:szCs w:val="28"/>
                <w:lang w:val="en-US" w:eastAsia="zh-CN"/>
              </w:rPr>
              <w:t>132000</w:t>
            </w:r>
            <w:r>
              <w:rPr>
                <w:rFonts w:hint="eastAsia" w:ascii="Times New Roman" w:hAnsi="Times New Roman" w:eastAsia="方正仿宋_GBK" w:cs="Times New Roman"/>
                <w:sz w:val="28"/>
                <w:szCs w:val="28"/>
              </w:rPr>
              <w:t>.00元(大写:</w:t>
            </w:r>
            <w:r>
              <w:rPr>
                <w:rFonts w:hint="eastAsia" w:ascii="Times New Roman" w:hAnsi="Times New Roman" w:eastAsia="方正仿宋_GBK" w:cs="Times New Roman"/>
                <w:sz w:val="28"/>
                <w:szCs w:val="28"/>
                <w:lang w:val="en-US" w:eastAsia="zh-CN"/>
              </w:rPr>
              <w:t>壹</w:t>
            </w:r>
            <w:r>
              <w:rPr>
                <w:rFonts w:hint="eastAsia" w:ascii="Times New Roman" w:hAnsi="Times New Roman" w:eastAsia="方正仿宋_GBK" w:cs="Times New Roman"/>
                <w:sz w:val="28"/>
                <w:szCs w:val="28"/>
              </w:rPr>
              <w:t>拾</w:t>
            </w:r>
            <w:r>
              <w:rPr>
                <w:rFonts w:hint="eastAsia" w:ascii="Times New Roman" w:hAnsi="Times New Roman" w:eastAsia="方正仿宋_GBK" w:cs="Times New Roman"/>
                <w:sz w:val="28"/>
                <w:szCs w:val="28"/>
                <w:lang w:val="en-US" w:eastAsia="zh-CN"/>
              </w:rPr>
              <w:t>叁</w:t>
            </w:r>
            <w:r>
              <w:rPr>
                <w:rFonts w:hint="eastAsia" w:ascii="Times New Roman" w:hAnsi="Times New Roman" w:eastAsia="方正仿宋_GBK" w:cs="Times New Roman"/>
                <w:sz w:val="28"/>
                <w:szCs w:val="28"/>
              </w:rPr>
              <w:t>万</w:t>
            </w:r>
            <w:r>
              <w:rPr>
                <w:rFonts w:hint="eastAsia" w:ascii="Times New Roman" w:hAnsi="Times New Roman" w:eastAsia="方正仿宋_GBK" w:cs="Times New Roman"/>
                <w:sz w:val="28"/>
                <w:szCs w:val="28"/>
                <w:lang w:val="en-US" w:eastAsia="zh-CN"/>
              </w:rPr>
              <w:t>贰</w:t>
            </w:r>
            <w:r>
              <w:rPr>
                <w:rFonts w:hint="eastAsia" w:ascii="Times New Roman" w:hAnsi="Times New Roman" w:eastAsia="方正仿宋_GBK" w:cs="Times New Roman"/>
                <w:sz w:val="28"/>
                <w:szCs w:val="28"/>
              </w:rPr>
              <w:t>仟元整)，超出控制价视为投标无效。</w:t>
            </w:r>
          </w:p>
          <w:p>
            <w:pPr>
              <w:spacing w:line="400" w:lineRule="exact"/>
              <w:rPr>
                <w:rFonts w:ascii="Times New Roman" w:hAnsi="Times New Roman" w:eastAsia="方正仿宋_GBK" w:cs="Times New Roman"/>
                <w:sz w:val="28"/>
                <w:szCs w:val="28"/>
              </w:rPr>
            </w:pPr>
            <w:r>
              <w:rPr>
                <w:rFonts w:hint="eastAsia" w:ascii="Times New Roman" w:hAnsi="Times New Roman" w:eastAsia="方正仿宋_GBK" w:cs="Times New Roman"/>
                <w:sz w:val="28"/>
                <w:szCs w:val="28"/>
              </w:rPr>
              <w:t>2.2已标价的工程量清单作为报价的一部分需装订入响应文件，如果响应文件中没有已标价工程量清单视为投标无效。</w:t>
            </w:r>
          </w:p>
          <w:p>
            <w:pPr>
              <w:spacing w:line="400" w:lineRule="exact"/>
              <w:rPr>
                <w:rFonts w:ascii="Times New Roman" w:hAnsi="Times New Roman" w:eastAsia="方正仿宋_GBK" w:cs="Times New Roman"/>
                <w:sz w:val="28"/>
                <w:szCs w:val="28"/>
              </w:rPr>
            </w:pPr>
            <w:r>
              <w:rPr>
                <w:rFonts w:hint="eastAsia" w:ascii="Times New Roman" w:hAnsi="Times New Roman" w:eastAsia="方正仿宋_GBK" w:cs="Times New Roman"/>
                <w:sz w:val="28"/>
                <w:szCs w:val="28"/>
              </w:rPr>
              <w:t>二、商务要求：</w:t>
            </w:r>
          </w:p>
          <w:p>
            <w:pPr>
              <w:spacing w:line="400" w:lineRule="exact"/>
              <w:rPr>
                <w:rFonts w:ascii="Times New Roman" w:hAnsi="Times New Roman" w:eastAsia="方正仿宋_GBK" w:cs="Times New Roman"/>
                <w:sz w:val="28"/>
                <w:szCs w:val="28"/>
              </w:rPr>
            </w:pPr>
            <w:r>
              <w:rPr>
                <w:rFonts w:ascii="Times New Roman" w:hAnsi="Times New Roman" w:eastAsia="方正仿宋_GBK" w:cs="Times New Roman"/>
                <w:sz w:val="28"/>
                <w:szCs w:val="28"/>
              </w:rPr>
              <w:t>1.工期：</w:t>
            </w:r>
            <w:r>
              <w:rPr>
                <w:rFonts w:hint="eastAsia" w:ascii="Times New Roman" w:hAnsi="Times New Roman" w:eastAsia="方正仿宋_GBK" w:cs="Times New Roman"/>
                <w:sz w:val="28"/>
                <w:szCs w:val="28"/>
              </w:rPr>
              <w:t>合同签订后</w:t>
            </w:r>
            <w:r>
              <w:rPr>
                <w:rFonts w:hint="eastAsia" w:ascii="Times New Roman" w:hAnsi="Times New Roman" w:eastAsia="方正仿宋_GBK" w:cs="Times New Roman"/>
                <w:sz w:val="28"/>
                <w:szCs w:val="28"/>
                <w:lang w:val="en-US" w:eastAsia="zh-CN"/>
              </w:rPr>
              <w:t>2</w:t>
            </w:r>
            <w:r>
              <w:rPr>
                <w:rFonts w:hint="eastAsia" w:ascii="Times New Roman" w:hAnsi="Times New Roman" w:eastAsia="方正仿宋_GBK" w:cs="Times New Roman"/>
                <w:sz w:val="28"/>
                <w:szCs w:val="28"/>
              </w:rPr>
              <w:t>0天内完工；施工地点：呼和浩特国际旅行卫生保健中心（呼和浩特海关口岸门诊部）</w:t>
            </w:r>
          </w:p>
          <w:p>
            <w:pPr>
              <w:spacing w:line="400" w:lineRule="exact"/>
              <w:rPr>
                <w:rFonts w:hint="eastAsia" w:ascii="Times New Roman" w:hAnsi="Times New Roman" w:eastAsia="方正仿宋_GBK" w:cs="Times New Roman"/>
                <w:sz w:val="28"/>
                <w:szCs w:val="28"/>
                <w:lang w:eastAsia="zh-CN"/>
              </w:rPr>
            </w:pPr>
            <w:r>
              <w:rPr>
                <w:rFonts w:ascii="Times New Roman" w:hAnsi="Times New Roman" w:eastAsia="方正仿宋_GBK" w:cs="Times New Roman"/>
                <w:sz w:val="28"/>
                <w:szCs w:val="28"/>
              </w:rPr>
              <w:t>2</w:t>
            </w:r>
            <w:r>
              <w:rPr>
                <w:rFonts w:ascii="Times New Roman" w:hAnsi="Times New Roman" w:eastAsia="方正仿宋_GBK" w:cs="Times New Roman"/>
                <w:sz w:val="28"/>
                <w:szCs w:val="28"/>
                <w:highlight w:val="none"/>
              </w:rPr>
              <w:t>.</w:t>
            </w:r>
            <w:r>
              <w:rPr>
                <w:rFonts w:hint="eastAsia" w:ascii="Times New Roman" w:hAnsi="Times New Roman" w:eastAsia="方正仿宋_GBK" w:cs="Times New Roman"/>
                <w:sz w:val="28"/>
                <w:szCs w:val="28"/>
                <w:highlight w:val="none"/>
              </w:rPr>
              <w:t>支付方式</w:t>
            </w:r>
            <w:r>
              <w:rPr>
                <w:rFonts w:ascii="Times New Roman" w:hAnsi="Times New Roman" w:eastAsia="方正仿宋_GBK" w:cs="Times New Roman"/>
                <w:sz w:val="28"/>
                <w:szCs w:val="28"/>
              </w:rPr>
              <w:t>：</w:t>
            </w:r>
            <w:r>
              <w:rPr>
                <w:rFonts w:hint="eastAsia" w:ascii="Times New Roman" w:hAnsi="Times New Roman" w:eastAsia="方正仿宋_GBK" w:cs="Times New Roman"/>
                <w:sz w:val="28"/>
                <w:szCs w:val="28"/>
                <w:lang w:eastAsia="zh-CN"/>
              </w:rPr>
              <w:t>合同签订后，支付合同总额的30%的款。</w:t>
            </w:r>
          </w:p>
          <w:p>
            <w:pPr>
              <w:spacing w:line="400" w:lineRule="exact"/>
              <w:rPr>
                <w:rFonts w:hint="eastAsia" w:ascii="Times New Roman" w:hAnsi="Times New Roman" w:eastAsia="方正仿宋_GBK" w:cs="Times New Roman"/>
                <w:sz w:val="28"/>
                <w:szCs w:val="28"/>
                <w:lang w:eastAsia="zh-CN"/>
              </w:rPr>
            </w:pPr>
            <w:r>
              <w:rPr>
                <w:rFonts w:hint="eastAsia" w:ascii="Times New Roman" w:hAnsi="Times New Roman" w:eastAsia="方正仿宋_GBK" w:cs="Times New Roman"/>
                <w:sz w:val="28"/>
                <w:szCs w:val="28"/>
                <w:lang w:eastAsia="zh-CN"/>
              </w:rPr>
              <w:t>工程竣工验收合格后，支付合同总额的60%的款。</w:t>
            </w:r>
          </w:p>
          <w:p>
            <w:pPr>
              <w:spacing w:line="400" w:lineRule="exact"/>
              <w:rPr>
                <w:rFonts w:hint="eastAsia" w:ascii="Times New Roman" w:hAnsi="Times New Roman" w:eastAsia="方正仿宋_GBK" w:cs="Times New Roman"/>
                <w:sz w:val="28"/>
                <w:szCs w:val="28"/>
                <w:lang w:val="en-US" w:eastAsia="zh-CN"/>
              </w:rPr>
            </w:pPr>
            <w:r>
              <w:rPr>
                <w:rFonts w:hint="eastAsia" w:ascii="Times New Roman" w:hAnsi="Times New Roman" w:eastAsia="方正仿宋_GBK" w:cs="Times New Roman"/>
                <w:sz w:val="28"/>
                <w:szCs w:val="28"/>
                <w:lang w:val="en-US" w:eastAsia="zh-CN"/>
              </w:rPr>
              <w:t>工程竣工验收合格经第三方审计，支付剩余结算全部工程款。</w:t>
            </w:r>
          </w:p>
          <w:p>
            <w:pPr>
              <w:spacing w:line="400" w:lineRule="exact"/>
              <w:rPr>
                <w:rFonts w:ascii="Times New Roman" w:hAnsi="Times New Roman" w:eastAsia="方正仿宋_GBK" w:cs="Times New Roman"/>
                <w:sz w:val="28"/>
                <w:szCs w:val="28"/>
              </w:rPr>
            </w:pPr>
            <w:r>
              <w:rPr>
                <w:rFonts w:hint="eastAsia" w:ascii="Times New Roman" w:hAnsi="Times New Roman" w:eastAsia="方正仿宋_GBK" w:cs="Times New Roman"/>
                <w:sz w:val="28"/>
                <w:szCs w:val="28"/>
                <w:lang w:val="en-US" w:eastAsia="zh-CN"/>
              </w:rPr>
              <w:t>3.质量保证金：工程竣工验收合格后中标单位向采购人支付工程价款结算总额的3%作为质量保证金，质量保修期满后30日内无息退还。</w:t>
            </w:r>
            <w:r>
              <w:rPr>
                <w:rFonts w:ascii="Times New Roman" w:hAnsi="Times New Roman" w:eastAsia="方正仿宋_GBK" w:cs="Times New Roman"/>
                <w:sz w:val="28"/>
                <w:szCs w:val="28"/>
              </w:rPr>
              <w:t xml:space="preserve">            </w:t>
            </w:r>
          </w:p>
          <w:p>
            <w:pPr>
              <w:spacing w:line="400" w:lineRule="exact"/>
              <w:ind w:firstLineChars="0"/>
              <w:rPr>
                <w:rFonts w:ascii="Times New Roman" w:hAnsi="Times New Roman" w:eastAsia="方正仿宋_GBK" w:cs="Times New Roman"/>
                <w:sz w:val="28"/>
                <w:szCs w:val="28"/>
              </w:rPr>
            </w:pPr>
            <w:r>
              <w:rPr>
                <w:rFonts w:hint="eastAsia" w:ascii="Times New Roman" w:hAnsi="Times New Roman" w:eastAsia="方正仿宋_GBK" w:cs="Times New Roman"/>
                <w:sz w:val="28"/>
                <w:szCs w:val="28"/>
                <w:lang w:val="en-US" w:eastAsia="zh-CN"/>
              </w:rPr>
              <w:t>4</w:t>
            </w:r>
            <w:r>
              <w:rPr>
                <w:rFonts w:ascii="Times New Roman" w:hAnsi="Times New Roman" w:eastAsia="方正仿宋_GBK" w:cs="Times New Roman"/>
                <w:sz w:val="28"/>
                <w:szCs w:val="28"/>
              </w:rPr>
              <w:t>.质量要求：符合国家及行业相关规范和标准，满足设计要求。</w:t>
            </w:r>
          </w:p>
          <w:p>
            <w:pPr>
              <w:spacing w:line="400" w:lineRule="exact"/>
              <w:ind w:firstLineChars="0"/>
              <w:rPr>
                <w:rFonts w:ascii="Times New Roman" w:hAnsi="Times New Roman" w:eastAsia="方正仿宋_GBK" w:cs="Times New Roman"/>
                <w:sz w:val="28"/>
                <w:szCs w:val="28"/>
              </w:rPr>
            </w:pPr>
            <w:r>
              <w:rPr>
                <w:rFonts w:hint="eastAsia" w:ascii="Times New Roman" w:hAnsi="Times New Roman" w:eastAsia="方正仿宋_GBK" w:cs="Times New Roman"/>
                <w:sz w:val="28"/>
                <w:szCs w:val="28"/>
                <w:lang w:val="en-US" w:eastAsia="zh-CN"/>
              </w:rPr>
              <w:t>5</w:t>
            </w:r>
            <w:r>
              <w:rPr>
                <w:rFonts w:ascii="Times New Roman" w:hAnsi="Times New Roman" w:eastAsia="方正仿宋_GBK" w:cs="Times New Roman"/>
                <w:sz w:val="28"/>
                <w:szCs w:val="28"/>
              </w:rPr>
              <w:t>.安全要求：确保安全文明施工，执行国家现行相关规定</w:t>
            </w:r>
          </w:p>
          <w:p>
            <w:pPr>
              <w:spacing w:line="400" w:lineRule="exact"/>
              <w:rPr>
                <w:rFonts w:ascii="Times New Roman" w:hAnsi="Times New Roman" w:eastAsia="方正仿宋_GBK" w:cs="Times New Roman"/>
                <w:sz w:val="28"/>
                <w:szCs w:val="28"/>
              </w:rPr>
            </w:pPr>
            <w:r>
              <w:rPr>
                <w:rFonts w:hint="eastAsia" w:ascii="Times New Roman" w:hAnsi="Times New Roman" w:eastAsia="方正仿宋_GBK" w:cs="Times New Roman"/>
                <w:sz w:val="28"/>
                <w:szCs w:val="28"/>
                <w:lang w:val="en-US" w:eastAsia="zh-CN"/>
              </w:rPr>
              <w:t>6</w:t>
            </w:r>
            <w:r>
              <w:rPr>
                <w:rFonts w:ascii="Times New Roman" w:hAnsi="Times New Roman" w:eastAsia="方正仿宋_GBK" w:cs="Times New Roman"/>
                <w:sz w:val="28"/>
                <w:szCs w:val="28"/>
              </w:rPr>
              <w:t>.资质条件：</w:t>
            </w:r>
          </w:p>
          <w:p>
            <w:pPr>
              <w:spacing w:line="400" w:lineRule="exact"/>
              <w:rPr>
                <w:rFonts w:ascii="Times New Roman" w:hAnsi="Times New Roman" w:eastAsia="方正仿宋_GBK" w:cs="Times New Roman"/>
                <w:sz w:val="28"/>
                <w:szCs w:val="28"/>
              </w:rPr>
            </w:pPr>
            <w:r>
              <w:rPr>
                <w:rFonts w:hint="eastAsia" w:ascii="Times New Roman" w:hAnsi="Times New Roman" w:eastAsia="方正仿宋_GBK" w:cs="Times New Roman"/>
                <w:sz w:val="28"/>
                <w:szCs w:val="28"/>
              </w:rPr>
              <w:t>（1）供应商须具备建设行政主管部门颁发的【建筑装修装饰工程专业承包乙级（含）以上资质证书】,证书在有效期内(上述资质为住建部最新资质要求(2020年11月30日建市(2020)94号《住房和城乡建设部关于印发建设工程企业资质管理制度改革方案的通知》);如供应商还未申办上述资质,则供应商须具有建设主管部门颁发的【建筑装修装饰工程专业承包</w:t>
            </w:r>
            <w:r>
              <w:rPr>
                <w:rFonts w:hint="eastAsia" w:ascii="Times New Roman" w:hAnsi="Times New Roman" w:eastAsia="方正仿宋_GBK" w:cs="Times New Roman"/>
                <w:sz w:val="28"/>
                <w:szCs w:val="28"/>
                <w:lang w:val="en-US" w:eastAsia="zh-CN"/>
              </w:rPr>
              <w:t>二</w:t>
            </w:r>
            <w:r>
              <w:rPr>
                <w:rFonts w:hint="eastAsia" w:ascii="Times New Roman" w:hAnsi="Times New Roman" w:eastAsia="方正仿宋_GBK" w:cs="Times New Roman"/>
                <w:sz w:val="28"/>
                <w:szCs w:val="28"/>
              </w:rPr>
              <w:t>级（含）以上资质证书】且证书在有效期内；</w:t>
            </w:r>
            <w:r>
              <w:rPr>
                <w:rFonts w:hint="eastAsia" w:ascii="Times New Roman" w:hAnsi="Times New Roman" w:eastAsia="方正仿宋_GBK" w:cs="Times New Roman"/>
                <w:sz w:val="28"/>
                <w:szCs w:val="28"/>
              </w:rPr>
              <w:br w:type="textWrapping"/>
            </w:r>
            <w:r>
              <w:rPr>
                <w:rFonts w:hint="eastAsia" w:ascii="Times New Roman" w:hAnsi="Times New Roman" w:eastAsia="方正仿宋_GBK" w:cs="Times New Roman"/>
                <w:sz w:val="28"/>
                <w:szCs w:val="28"/>
              </w:rPr>
              <w:t>（2）供应商须具有有效的安全生产许可证，证书在有效期内；</w:t>
            </w:r>
            <w:r>
              <w:rPr>
                <w:rFonts w:hint="eastAsia" w:ascii="Times New Roman" w:hAnsi="Times New Roman" w:eastAsia="方正仿宋_GBK" w:cs="Times New Roman"/>
                <w:sz w:val="28"/>
                <w:szCs w:val="28"/>
              </w:rPr>
              <w:br w:type="textWrapping"/>
            </w:r>
            <w:r>
              <w:rPr>
                <w:rFonts w:hint="eastAsia" w:ascii="Times New Roman" w:hAnsi="Times New Roman" w:eastAsia="方正仿宋_GBK" w:cs="Times New Roman"/>
                <w:sz w:val="28"/>
                <w:szCs w:val="28"/>
              </w:rPr>
              <w:t>（3）项目经理要求：拟派本项目经理须具有:1）、具有有效的本单位注册的建筑工程专业二级（含）以上建造师注册证书；2）、具备有效的安全生产考核合格证书;3）、不得担任其他在建工程项目的项目经理,提供无在建工程项目承诺函(格式自拟，加盖公章）；</w:t>
            </w:r>
          </w:p>
          <w:p>
            <w:pPr>
              <w:spacing w:line="400" w:lineRule="exact"/>
              <w:rPr>
                <w:rFonts w:ascii="Times New Roman" w:hAnsi="Times New Roman" w:eastAsia="方正仿宋_GBK" w:cs="Times New Roman"/>
                <w:sz w:val="28"/>
                <w:szCs w:val="28"/>
                <w:highlight w:val="none"/>
              </w:rPr>
            </w:pPr>
            <w:r>
              <w:rPr>
                <w:rFonts w:hint="eastAsia" w:ascii="Times New Roman" w:hAnsi="Times New Roman" w:eastAsia="方正仿宋_GBK" w:cs="Times New Roman"/>
                <w:sz w:val="28"/>
                <w:szCs w:val="28"/>
                <w:lang w:val="en-US" w:eastAsia="zh-CN"/>
              </w:rPr>
              <w:t>7</w:t>
            </w:r>
            <w:r>
              <w:rPr>
                <w:rFonts w:hint="eastAsia" w:ascii="Times New Roman" w:hAnsi="Times New Roman" w:eastAsia="方正仿宋_GBK" w:cs="Times New Roman"/>
                <w:sz w:val="28"/>
                <w:szCs w:val="28"/>
              </w:rPr>
              <w:t>.质</w:t>
            </w:r>
            <w:r>
              <w:rPr>
                <w:rFonts w:hint="eastAsia" w:ascii="Times New Roman" w:hAnsi="Times New Roman" w:eastAsia="方正仿宋_GBK" w:cs="Times New Roman"/>
                <w:sz w:val="28"/>
                <w:szCs w:val="28"/>
                <w:highlight w:val="none"/>
              </w:rPr>
              <w:t>量保修期：按照《建设工程质量管理条例》要求执行，自竣工验收合格之日起计算。</w:t>
            </w:r>
          </w:p>
          <w:p>
            <w:pPr>
              <w:spacing w:line="400" w:lineRule="exact"/>
              <w:rPr>
                <w:rFonts w:ascii="Times New Roman" w:hAnsi="Times New Roman" w:eastAsia="方正仿宋_GBK" w:cs="Times New Roman"/>
                <w:sz w:val="28"/>
                <w:szCs w:val="28"/>
              </w:rPr>
            </w:pPr>
            <w:r>
              <w:rPr>
                <w:rFonts w:hint="eastAsia" w:ascii="Times New Roman" w:hAnsi="Times New Roman" w:eastAsia="方正仿宋_GBK" w:cs="Times New Roman"/>
                <w:sz w:val="28"/>
                <w:szCs w:val="28"/>
                <w:highlight w:val="none"/>
              </w:rPr>
              <w:t>缺陷责任期：1年，工程通过竣工验收之日起计算。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3" w:hRule="atLeast"/>
        </w:trPr>
        <w:tc>
          <w:tcPr>
            <w:tcW w:w="2198" w:type="dxa"/>
            <w:vAlign w:val="center"/>
          </w:tcPr>
          <w:p>
            <w:pPr>
              <w:spacing w:line="560" w:lineRule="exact"/>
              <w:jc w:val="center"/>
              <w:rPr>
                <w:rFonts w:ascii="方正仿宋_GBK" w:eastAsia="方正仿宋_GBK" w:cs="方正仿宋_GBK"/>
                <w:sz w:val="28"/>
                <w:szCs w:val="28"/>
              </w:rPr>
            </w:pPr>
            <w:r>
              <w:rPr>
                <w:rFonts w:hint="eastAsia" w:ascii="方正仿宋_GBK" w:eastAsia="方正仿宋_GBK" w:cs="方正仿宋_GBK"/>
                <w:sz w:val="28"/>
                <w:szCs w:val="28"/>
              </w:rPr>
              <w:t>评审因素</w:t>
            </w:r>
          </w:p>
        </w:tc>
        <w:tc>
          <w:tcPr>
            <w:tcW w:w="6862" w:type="dxa"/>
          </w:tcPr>
          <w:tbl>
            <w:tblPr>
              <w:tblStyle w:val="8"/>
              <w:tblW w:w="4999" w:type="pct"/>
              <w:tblInd w:w="-14" w:type="dxa"/>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Layout w:type="autofit"/>
              <w:tblCellMar>
                <w:top w:w="0" w:type="dxa"/>
                <w:left w:w="0" w:type="dxa"/>
                <w:bottom w:w="0" w:type="dxa"/>
                <w:right w:w="0" w:type="dxa"/>
              </w:tblCellMar>
            </w:tblPr>
            <w:tblGrid>
              <w:gridCol w:w="1113"/>
              <w:gridCol w:w="1391"/>
              <w:gridCol w:w="4126"/>
            </w:tblGrid>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CellMar>
                  <w:top w:w="0" w:type="dxa"/>
                  <w:left w:w="0" w:type="dxa"/>
                  <w:bottom w:w="0" w:type="dxa"/>
                  <w:right w:w="0" w:type="dxa"/>
                </w:tblCellMar>
              </w:tblPrEx>
              <w:trPr>
                <w:trHeight w:val="460" w:hRule="atLeast"/>
              </w:trPr>
              <w:tc>
                <w:tcPr>
                  <w:tcW w:w="839" w:type="pct"/>
                  <w:tcBorders>
                    <w:tl2br w:val="nil"/>
                    <w:tr2bl w:val="nil"/>
                  </w:tcBorders>
                </w:tcPr>
                <w:p>
                  <w:pPr>
                    <w:jc w:val="center"/>
                    <w:rPr>
                      <w:rFonts w:hint="eastAsia" w:ascii="仿宋" w:hAnsi="仿宋" w:eastAsia="仿宋" w:cs="仿宋"/>
                      <w:sz w:val="24"/>
                    </w:rPr>
                  </w:pPr>
                  <w:r>
                    <w:rPr>
                      <w:rFonts w:hint="eastAsia" w:ascii="仿宋" w:hAnsi="仿宋" w:eastAsia="仿宋" w:cs="仿宋"/>
                      <w:sz w:val="24"/>
                    </w:rPr>
                    <w:t>评审因素</w:t>
                  </w:r>
                </w:p>
              </w:tc>
              <w:tc>
                <w:tcPr>
                  <w:tcW w:w="4160" w:type="pct"/>
                  <w:gridSpan w:val="2"/>
                  <w:tcBorders>
                    <w:tl2br w:val="nil"/>
                    <w:tr2bl w:val="nil"/>
                  </w:tcBorders>
                </w:tcPr>
                <w:p>
                  <w:pPr>
                    <w:jc w:val="center"/>
                    <w:rPr>
                      <w:rFonts w:hint="eastAsia" w:ascii="仿宋" w:hAnsi="仿宋" w:eastAsia="仿宋" w:cs="仿宋"/>
                      <w:sz w:val="24"/>
                    </w:rPr>
                  </w:pPr>
                  <w:r>
                    <w:rPr>
                      <w:rFonts w:hint="eastAsia" w:ascii="仿宋" w:hAnsi="仿宋" w:eastAsia="仿宋" w:cs="仿宋"/>
                      <w:sz w:val="24"/>
                    </w:rPr>
                    <w:t>评审标准</w:t>
                  </w: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CellMar>
                  <w:top w:w="0" w:type="dxa"/>
                  <w:left w:w="0" w:type="dxa"/>
                  <w:bottom w:w="0" w:type="dxa"/>
                  <w:right w:w="0" w:type="dxa"/>
                </w:tblCellMar>
              </w:tblPrEx>
              <w:trPr>
                <w:trHeight w:val="967" w:hRule="atLeast"/>
              </w:trPr>
              <w:tc>
                <w:tcPr>
                  <w:tcW w:w="839" w:type="pct"/>
                  <w:tcBorders>
                    <w:tl2br w:val="nil"/>
                    <w:tr2bl w:val="nil"/>
                  </w:tcBorders>
                </w:tcPr>
                <w:p>
                  <w:pPr>
                    <w:jc w:val="center"/>
                    <w:rPr>
                      <w:rFonts w:hint="eastAsia" w:ascii="仿宋" w:hAnsi="仿宋" w:eastAsia="仿宋" w:cs="仿宋"/>
                      <w:sz w:val="24"/>
                    </w:rPr>
                  </w:pPr>
                </w:p>
                <w:p>
                  <w:pPr>
                    <w:jc w:val="center"/>
                    <w:rPr>
                      <w:rFonts w:hint="eastAsia" w:ascii="仿宋" w:hAnsi="仿宋" w:eastAsia="仿宋" w:cs="仿宋"/>
                      <w:sz w:val="24"/>
                    </w:rPr>
                  </w:pPr>
                  <w:r>
                    <w:rPr>
                      <w:rFonts w:hint="eastAsia" w:ascii="仿宋" w:hAnsi="仿宋" w:eastAsia="仿宋" w:cs="仿宋"/>
                      <w:sz w:val="24"/>
                    </w:rPr>
                    <w:t>分值构成</w:t>
                  </w:r>
                </w:p>
              </w:tc>
              <w:tc>
                <w:tcPr>
                  <w:tcW w:w="4160" w:type="pct"/>
                  <w:gridSpan w:val="2"/>
                  <w:tcBorders>
                    <w:tl2br w:val="nil"/>
                    <w:tr2bl w:val="nil"/>
                  </w:tcBorders>
                </w:tcPr>
                <w:p>
                  <w:pPr>
                    <w:pStyle w:val="50"/>
                    <w:spacing w:before="11"/>
                    <w:ind w:left="64"/>
                    <w:rPr>
                      <w:rFonts w:hint="eastAsia" w:ascii="仿宋" w:hAnsi="仿宋" w:eastAsia="仿宋" w:cs="仿宋"/>
                      <w:sz w:val="24"/>
                    </w:rPr>
                  </w:pPr>
                  <w:r>
                    <w:rPr>
                      <w:rFonts w:hint="eastAsia" w:ascii="仿宋" w:hAnsi="仿宋" w:eastAsia="仿宋" w:cs="仿宋"/>
                      <w:spacing w:val="-3"/>
                      <w:w w:val="105"/>
                      <w:sz w:val="24"/>
                    </w:rPr>
                    <w:t>1</w:t>
                  </w:r>
                  <w:r>
                    <w:rPr>
                      <w:rFonts w:hint="eastAsia" w:ascii="仿宋" w:hAnsi="仿宋" w:eastAsia="仿宋" w:cs="仿宋"/>
                      <w:w w:val="105"/>
                      <w:sz w:val="24"/>
                    </w:rPr>
                    <w:t>、技术部分</w:t>
                  </w:r>
                  <w:r>
                    <w:rPr>
                      <w:rFonts w:hint="eastAsia" w:ascii="仿宋" w:hAnsi="仿宋" w:eastAsia="仿宋" w:cs="仿宋"/>
                      <w:spacing w:val="-3"/>
                      <w:w w:val="105"/>
                      <w:sz w:val="24"/>
                    </w:rPr>
                    <w:t>59</w:t>
                  </w:r>
                  <w:r>
                    <w:rPr>
                      <w:rFonts w:hint="eastAsia" w:ascii="仿宋" w:hAnsi="仿宋" w:eastAsia="仿宋" w:cs="仿宋"/>
                      <w:w w:val="105"/>
                      <w:sz w:val="24"/>
                    </w:rPr>
                    <w:t>分</w:t>
                  </w:r>
                </w:p>
                <w:p>
                  <w:pPr>
                    <w:pStyle w:val="50"/>
                    <w:ind w:left="64"/>
                    <w:rPr>
                      <w:rFonts w:hint="eastAsia" w:ascii="仿宋" w:hAnsi="仿宋" w:eastAsia="仿宋" w:cs="仿宋"/>
                      <w:sz w:val="24"/>
                    </w:rPr>
                  </w:pPr>
                  <w:r>
                    <w:rPr>
                      <w:rFonts w:hint="eastAsia" w:ascii="仿宋" w:hAnsi="仿宋" w:eastAsia="仿宋" w:cs="仿宋"/>
                      <w:spacing w:val="-3"/>
                      <w:w w:val="105"/>
                      <w:sz w:val="24"/>
                    </w:rPr>
                    <w:t>2</w:t>
                  </w:r>
                  <w:r>
                    <w:rPr>
                      <w:rFonts w:hint="eastAsia" w:ascii="仿宋" w:hAnsi="仿宋" w:eastAsia="仿宋" w:cs="仿宋"/>
                      <w:w w:val="105"/>
                      <w:sz w:val="24"/>
                    </w:rPr>
                    <w:t>、商务部分</w:t>
                  </w:r>
                  <w:r>
                    <w:rPr>
                      <w:rFonts w:hint="eastAsia" w:ascii="仿宋" w:hAnsi="仿宋" w:eastAsia="仿宋" w:cs="仿宋"/>
                      <w:spacing w:val="-3"/>
                      <w:w w:val="105"/>
                      <w:sz w:val="24"/>
                    </w:rPr>
                    <w:t>11</w:t>
                  </w:r>
                  <w:r>
                    <w:rPr>
                      <w:rFonts w:hint="eastAsia" w:ascii="仿宋" w:hAnsi="仿宋" w:eastAsia="仿宋" w:cs="仿宋"/>
                      <w:w w:val="105"/>
                      <w:sz w:val="24"/>
                    </w:rPr>
                    <w:t>分</w:t>
                  </w:r>
                </w:p>
                <w:p>
                  <w:pPr>
                    <w:pStyle w:val="50"/>
                    <w:spacing w:line="326" w:lineRule="exact"/>
                    <w:ind w:left="64"/>
                    <w:rPr>
                      <w:rFonts w:hint="eastAsia" w:ascii="仿宋" w:hAnsi="仿宋" w:eastAsia="仿宋" w:cs="仿宋"/>
                      <w:sz w:val="24"/>
                    </w:rPr>
                  </w:pPr>
                  <w:r>
                    <w:rPr>
                      <w:rFonts w:hint="eastAsia" w:ascii="仿宋" w:hAnsi="仿宋" w:eastAsia="仿宋" w:cs="仿宋"/>
                      <w:spacing w:val="-3"/>
                      <w:w w:val="105"/>
                      <w:sz w:val="24"/>
                    </w:rPr>
                    <w:t>3</w:t>
                  </w:r>
                  <w:r>
                    <w:rPr>
                      <w:rFonts w:hint="eastAsia" w:ascii="仿宋" w:hAnsi="仿宋" w:eastAsia="仿宋" w:cs="仿宋"/>
                      <w:w w:val="105"/>
                      <w:sz w:val="24"/>
                    </w:rPr>
                    <w:t>、报价得分</w:t>
                  </w:r>
                  <w:r>
                    <w:rPr>
                      <w:rFonts w:hint="eastAsia" w:ascii="仿宋" w:hAnsi="仿宋" w:eastAsia="仿宋" w:cs="仿宋"/>
                      <w:spacing w:val="-3"/>
                      <w:w w:val="105"/>
                      <w:sz w:val="24"/>
                    </w:rPr>
                    <w:t>30</w:t>
                  </w:r>
                  <w:r>
                    <w:rPr>
                      <w:rFonts w:hint="eastAsia" w:ascii="仿宋" w:hAnsi="仿宋" w:eastAsia="仿宋" w:cs="仿宋"/>
                      <w:w w:val="105"/>
                      <w:sz w:val="24"/>
                    </w:rPr>
                    <w:t>分</w:t>
                  </w: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CellMar>
                  <w:top w:w="0" w:type="dxa"/>
                  <w:left w:w="0" w:type="dxa"/>
                  <w:bottom w:w="0" w:type="dxa"/>
                  <w:right w:w="0" w:type="dxa"/>
                </w:tblCellMar>
              </w:tblPrEx>
              <w:trPr>
                <w:trHeight w:val="458" w:hRule="atLeast"/>
              </w:trPr>
              <w:tc>
                <w:tcPr>
                  <w:tcW w:w="839" w:type="pct"/>
                  <w:vMerge w:val="restart"/>
                  <w:tcBorders>
                    <w:tl2br w:val="nil"/>
                    <w:tr2bl w:val="nil"/>
                  </w:tcBorders>
                </w:tcPr>
                <w:p>
                  <w:pPr>
                    <w:pStyle w:val="50"/>
                    <w:rPr>
                      <w:rFonts w:hint="eastAsia" w:ascii="仿宋" w:hAnsi="仿宋" w:eastAsia="仿宋" w:cs="仿宋"/>
                      <w:sz w:val="24"/>
                    </w:rPr>
                  </w:pPr>
                </w:p>
                <w:p>
                  <w:pPr>
                    <w:pStyle w:val="50"/>
                    <w:rPr>
                      <w:rFonts w:hint="eastAsia" w:ascii="仿宋" w:hAnsi="仿宋" w:eastAsia="仿宋" w:cs="仿宋"/>
                      <w:sz w:val="24"/>
                    </w:rPr>
                  </w:pPr>
                </w:p>
                <w:p>
                  <w:pPr>
                    <w:pStyle w:val="50"/>
                    <w:rPr>
                      <w:rFonts w:hint="eastAsia" w:ascii="仿宋" w:hAnsi="仿宋" w:eastAsia="仿宋" w:cs="仿宋"/>
                      <w:sz w:val="24"/>
                    </w:rPr>
                  </w:pPr>
                </w:p>
                <w:p>
                  <w:pPr>
                    <w:pStyle w:val="50"/>
                    <w:rPr>
                      <w:rFonts w:hint="eastAsia" w:ascii="仿宋" w:hAnsi="仿宋" w:eastAsia="仿宋" w:cs="仿宋"/>
                      <w:sz w:val="24"/>
                    </w:rPr>
                  </w:pPr>
                </w:p>
                <w:p>
                  <w:pPr>
                    <w:pStyle w:val="50"/>
                    <w:rPr>
                      <w:rFonts w:hint="eastAsia" w:ascii="仿宋" w:hAnsi="仿宋" w:eastAsia="仿宋" w:cs="仿宋"/>
                      <w:sz w:val="24"/>
                    </w:rPr>
                  </w:pPr>
                </w:p>
                <w:p>
                  <w:pPr>
                    <w:pStyle w:val="50"/>
                    <w:rPr>
                      <w:rFonts w:hint="eastAsia" w:ascii="仿宋" w:hAnsi="仿宋" w:eastAsia="仿宋" w:cs="仿宋"/>
                      <w:sz w:val="24"/>
                    </w:rPr>
                  </w:pPr>
                </w:p>
                <w:p>
                  <w:pPr>
                    <w:pStyle w:val="50"/>
                    <w:spacing w:before="145"/>
                    <w:jc w:val="center"/>
                    <w:rPr>
                      <w:rFonts w:hint="eastAsia" w:ascii="仿宋" w:hAnsi="仿宋" w:eastAsia="仿宋" w:cs="仿宋"/>
                      <w:sz w:val="24"/>
                    </w:rPr>
                  </w:pPr>
                  <w:r>
                    <w:rPr>
                      <w:rFonts w:hint="eastAsia" w:ascii="仿宋" w:hAnsi="仿宋" w:eastAsia="仿宋" w:cs="仿宋"/>
                      <w:sz w:val="24"/>
                    </w:rPr>
                    <w:t>技术部分</w:t>
                  </w:r>
                </w:p>
                <w:p>
                  <w:pPr>
                    <w:pStyle w:val="50"/>
                    <w:spacing w:before="145"/>
                    <w:jc w:val="center"/>
                    <w:rPr>
                      <w:rFonts w:hint="eastAsia" w:ascii="仿宋" w:hAnsi="仿宋" w:eastAsia="仿宋" w:cs="仿宋"/>
                      <w:sz w:val="24"/>
                    </w:rPr>
                  </w:pPr>
                  <w:r>
                    <w:rPr>
                      <w:rFonts w:hint="eastAsia" w:ascii="仿宋" w:hAnsi="仿宋" w:eastAsia="仿宋" w:cs="仿宋"/>
                      <w:sz w:val="24"/>
                    </w:rPr>
                    <w:t>（59分）</w:t>
                  </w:r>
                </w:p>
                <w:p>
                  <w:pPr>
                    <w:pStyle w:val="50"/>
                    <w:spacing w:before="145"/>
                    <w:jc w:val="center"/>
                    <w:rPr>
                      <w:rFonts w:hint="eastAsia" w:ascii="仿宋" w:hAnsi="仿宋" w:eastAsia="仿宋" w:cs="仿宋"/>
                      <w:sz w:val="24"/>
                    </w:rPr>
                  </w:pPr>
                </w:p>
              </w:tc>
              <w:tc>
                <w:tcPr>
                  <w:tcW w:w="1049" w:type="pct"/>
                  <w:tcBorders>
                    <w:tl2br w:val="nil"/>
                    <w:tr2bl w:val="nil"/>
                  </w:tcBorders>
                  <w:vAlign w:val="center"/>
                </w:tcPr>
                <w:p>
                  <w:pPr>
                    <w:jc w:val="center"/>
                    <w:rPr>
                      <w:rFonts w:hint="eastAsia" w:ascii="仿宋" w:hAnsi="仿宋" w:eastAsia="仿宋" w:cs="仿宋"/>
                      <w:sz w:val="24"/>
                    </w:rPr>
                  </w:pPr>
                  <w:r>
                    <w:rPr>
                      <w:rFonts w:hint="eastAsia" w:ascii="仿宋" w:hAnsi="仿宋" w:eastAsia="仿宋" w:cs="仿宋"/>
                      <w:sz w:val="24"/>
                    </w:rPr>
                    <w:t xml:space="preserve">施工方案与技术措施 </w:t>
                  </w:r>
                </w:p>
                <w:p>
                  <w:pPr>
                    <w:jc w:val="center"/>
                    <w:rPr>
                      <w:rFonts w:hint="eastAsia" w:ascii="仿宋" w:hAnsi="仿宋" w:eastAsia="仿宋" w:cs="仿宋"/>
                      <w:sz w:val="24"/>
                    </w:rPr>
                  </w:pPr>
                  <w:r>
                    <w:rPr>
                      <w:rFonts w:hint="eastAsia" w:ascii="仿宋" w:hAnsi="仿宋" w:eastAsia="仿宋" w:cs="仿宋"/>
                      <w:sz w:val="24"/>
                    </w:rPr>
                    <w:t>(20.0分)</w:t>
                  </w:r>
                </w:p>
              </w:tc>
              <w:tc>
                <w:tcPr>
                  <w:tcW w:w="3111" w:type="pct"/>
                  <w:tcBorders>
                    <w:tl2br w:val="nil"/>
                    <w:tr2bl w:val="nil"/>
                  </w:tcBorders>
                  <w:vAlign w:val="center"/>
                </w:tcPr>
                <w:p>
                  <w:pPr>
                    <w:rPr>
                      <w:rFonts w:hint="eastAsia" w:ascii="仿宋" w:hAnsi="仿宋" w:eastAsia="仿宋" w:cs="仿宋"/>
                      <w:szCs w:val="21"/>
                    </w:rPr>
                  </w:pPr>
                  <w:r>
                    <w:rPr>
                      <w:rFonts w:hint="eastAsia" w:ascii="仿宋" w:hAnsi="仿宋" w:eastAsia="仿宋" w:cs="仿宋"/>
                      <w:sz w:val="24"/>
                    </w:rPr>
                    <w:t>根据供应商提供的施工方案与技术措施进行评审：①施工方案；②技术措施；③所使用的技术标准和规范；④机械设备、劳动力、施工机具、架料等主要资源配备；</w:t>
                  </w:r>
                </w:p>
                <w:p>
                  <w:pPr>
                    <w:pStyle w:val="2"/>
                    <w:ind w:firstLine="0" w:firstLineChars="0"/>
                    <w:rPr>
                      <w:rFonts w:hint="eastAsia" w:ascii="仿宋" w:hAnsi="仿宋" w:eastAsia="仿宋" w:cs="仿宋"/>
                    </w:rPr>
                  </w:pPr>
                  <w:r>
                    <w:rPr>
                      <w:rFonts w:hint="eastAsia" w:ascii="仿宋" w:hAnsi="仿宋" w:eastAsia="仿宋" w:cs="仿宋"/>
                      <w:sz w:val="24"/>
                    </w:rPr>
                    <w:t>针对以上4项内容进行评审，每项5分，最高得20分，每缺少一项内容扣5分，每项中每存在一处缺陷扣1分，最多扣5分。 （注：“缺陷”指以下任意一种情形：内容不切合行业实际、不符合国家法规政策；或内容凭空编造，与实际情况不符存在偏差；或内容过于简略；或存在与项目无关的文字内容；或内容不适用项目实际情况；或内容逻辑漏洞或原理错误；或地点区域错误；或套用其他项目方案；或前后内容互相矛盾；或专业领域知识阐述有误。）</w:t>
                  </w: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CellMar>
                  <w:top w:w="0" w:type="dxa"/>
                  <w:left w:w="0" w:type="dxa"/>
                  <w:bottom w:w="0" w:type="dxa"/>
                  <w:right w:w="0" w:type="dxa"/>
                </w:tblCellMar>
              </w:tblPrEx>
              <w:trPr>
                <w:trHeight w:val="611" w:hRule="atLeast"/>
              </w:trPr>
              <w:tc>
                <w:tcPr>
                  <w:tcW w:w="839" w:type="pct"/>
                  <w:vMerge w:val="continue"/>
                  <w:tcBorders>
                    <w:tl2br w:val="nil"/>
                    <w:tr2bl w:val="nil"/>
                  </w:tcBorders>
                </w:tcPr>
                <w:p>
                  <w:pPr>
                    <w:pStyle w:val="50"/>
                    <w:spacing w:before="145"/>
                    <w:jc w:val="center"/>
                    <w:rPr>
                      <w:rFonts w:hint="eastAsia" w:ascii="仿宋" w:hAnsi="仿宋" w:eastAsia="仿宋" w:cs="仿宋"/>
                      <w:sz w:val="24"/>
                    </w:rPr>
                  </w:pPr>
                </w:p>
              </w:tc>
              <w:tc>
                <w:tcPr>
                  <w:tcW w:w="1049" w:type="pct"/>
                  <w:tcBorders>
                    <w:tl2br w:val="nil"/>
                    <w:tr2bl w:val="nil"/>
                  </w:tcBorders>
                  <w:vAlign w:val="center"/>
                </w:tcPr>
                <w:p>
                  <w:pPr>
                    <w:jc w:val="center"/>
                    <w:rPr>
                      <w:rFonts w:hint="eastAsia" w:ascii="仿宋" w:hAnsi="仿宋" w:eastAsia="仿宋" w:cs="仿宋"/>
                      <w:sz w:val="24"/>
                    </w:rPr>
                  </w:pPr>
                  <w:r>
                    <w:rPr>
                      <w:rFonts w:hint="eastAsia" w:ascii="仿宋" w:hAnsi="仿宋" w:eastAsia="仿宋" w:cs="仿宋"/>
                      <w:sz w:val="24"/>
                    </w:rPr>
                    <w:t xml:space="preserve">施工进度计划与保证措施 </w:t>
                  </w:r>
                </w:p>
                <w:p>
                  <w:pPr>
                    <w:jc w:val="center"/>
                    <w:rPr>
                      <w:rFonts w:hint="eastAsia" w:ascii="仿宋" w:hAnsi="仿宋" w:eastAsia="仿宋" w:cs="仿宋"/>
                      <w:sz w:val="24"/>
                    </w:rPr>
                  </w:pPr>
                  <w:r>
                    <w:rPr>
                      <w:rFonts w:hint="eastAsia" w:ascii="仿宋" w:hAnsi="仿宋" w:eastAsia="仿宋" w:cs="仿宋"/>
                      <w:sz w:val="24"/>
                    </w:rPr>
                    <w:t>(8.0分)</w:t>
                  </w:r>
                </w:p>
              </w:tc>
              <w:tc>
                <w:tcPr>
                  <w:tcW w:w="3111" w:type="pct"/>
                  <w:tcBorders>
                    <w:tl2br w:val="nil"/>
                    <w:tr2bl w:val="nil"/>
                  </w:tcBorders>
                  <w:vAlign w:val="center"/>
                </w:tcPr>
                <w:p>
                  <w:pPr>
                    <w:rPr>
                      <w:rFonts w:hint="eastAsia" w:ascii="仿宋" w:hAnsi="仿宋" w:eastAsia="仿宋" w:cs="仿宋"/>
                      <w:sz w:val="24"/>
                    </w:rPr>
                  </w:pPr>
                  <w:r>
                    <w:rPr>
                      <w:rFonts w:hint="eastAsia" w:ascii="仿宋" w:hAnsi="仿宋" w:eastAsia="仿宋" w:cs="仿宋"/>
                      <w:sz w:val="24"/>
                    </w:rPr>
                    <w:t>根据供应商提供的施工进度计划与保证措施进行评审：施工进度计划与保证措施内容应包括但不限于：①施工进度计划表；②详细的进度计划；③主要工序衔接度；④进度保障措施等。</w:t>
                  </w:r>
                </w:p>
                <w:p>
                  <w:pPr>
                    <w:pStyle w:val="2"/>
                    <w:ind w:firstLine="0" w:firstLineChars="0"/>
                    <w:rPr>
                      <w:rFonts w:hint="eastAsia" w:ascii="仿宋" w:hAnsi="仿宋" w:eastAsia="仿宋" w:cs="仿宋"/>
                    </w:rPr>
                  </w:pPr>
                  <w:r>
                    <w:rPr>
                      <w:rFonts w:hint="eastAsia" w:ascii="仿宋" w:hAnsi="仿宋" w:eastAsia="仿宋" w:cs="仿宋"/>
                      <w:sz w:val="24"/>
                    </w:rPr>
                    <w:t>针对以上4项内容进行评审，每项2分，最高得8分，每缺少一项内容扣2分，每项中每存在一处缺陷扣1分，最多扣2分。 （注：“缺陷”指以下任意一种情形：内容不切合行业实际、不符合国家法规政策；或内容凭空编造，与实际情况不符存在偏差；或内容过于简略；或存在与项目无关的文字内容；或内容不适用项目实际情况；或内容逻辑漏洞或原理错误；或地点区域错误；或套用其他项目方案；或前后内容互相矛盾；或专业领域知识阐述有误。）</w:t>
                  </w: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CellMar>
                  <w:top w:w="0" w:type="dxa"/>
                  <w:left w:w="0" w:type="dxa"/>
                  <w:bottom w:w="0" w:type="dxa"/>
                  <w:right w:w="0" w:type="dxa"/>
                </w:tblCellMar>
              </w:tblPrEx>
              <w:trPr>
                <w:trHeight w:val="1441" w:hRule="atLeast"/>
              </w:trPr>
              <w:tc>
                <w:tcPr>
                  <w:tcW w:w="839" w:type="pct"/>
                  <w:vMerge w:val="continue"/>
                  <w:tcBorders>
                    <w:tl2br w:val="nil"/>
                    <w:tr2bl w:val="nil"/>
                  </w:tcBorders>
                </w:tcPr>
                <w:p>
                  <w:pPr>
                    <w:pStyle w:val="50"/>
                    <w:spacing w:before="145"/>
                    <w:jc w:val="center"/>
                    <w:rPr>
                      <w:rFonts w:hint="eastAsia" w:ascii="仿宋" w:hAnsi="仿宋" w:eastAsia="仿宋" w:cs="仿宋"/>
                      <w:sz w:val="24"/>
                    </w:rPr>
                  </w:pPr>
                </w:p>
              </w:tc>
              <w:tc>
                <w:tcPr>
                  <w:tcW w:w="1049" w:type="pct"/>
                  <w:tcBorders>
                    <w:tl2br w:val="nil"/>
                    <w:tr2bl w:val="nil"/>
                  </w:tcBorders>
                  <w:vAlign w:val="center"/>
                </w:tcPr>
                <w:p>
                  <w:pPr>
                    <w:jc w:val="center"/>
                    <w:rPr>
                      <w:rFonts w:hint="eastAsia" w:ascii="仿宋" w:hAnsi="仿宋" w:eastAsia="仿宋" w:cs="仿宋"/>
                      <w:sz w:val="24"/>
                    </w:rPr>
                  </w:pPr>
                  <w:r>
                    <w:rPr>
                      <w:rFonts w:hint="eastAsia" w:ascii="仿宋" w:hAnsi="仿宋" w:eastAsia="仿宋" w:cs="仿宋"/>
                      <w:sz w:val="24"/>
                    </w:rPr>
                    <w:t>施工季节、施工重点难点解决方</w:t>
                  </w:r>
                </w:p>
                <w:p>
                  <w:pPr>
                    <w:jc w:val="center"/>
                    <w:rPr>
                      <w:rFonts w:hint="eastAsia" w:ascii="仿宋" w:hAnsi="仿宋" w:eastAsia="仿宋" w:cs="仿宋"/>
                      <w:sz w:val="24"/>
                    </w:rPr>
                  </w:pPr>
                  <w:r>
                    <w:rPr>
                      <w:rFonts w:hint="eastAsia" w:ascii="仿宋" w:hAnsi="仿宋" w:eastAsia="仿宋" w:cs="仿宋"/>
                      <w:sz w:val="24"/>
                    </w:rPr>
                    <w:t>案 (6.0分)</w:t>
                  </w:r>
                </w:p>
              </w:tc>
              <w:tc>
                <w:tcPr>
                  <w:tcW w:w="3111" w:type="pct"/>
                  <w:tcBorders>
                    <w:tl2br w:val="nil"/>
                    <w:tr2bl w:val="nil"/>
                  </w:tcBorders>
                  <w:vAlign w:val="center"/>
                </w:tcPr>
                <w:p>
                  <w:pPr>
                    <w:rPr>
                      <w:rFonts w:hint="eastAsia" w:ascii="仿宋" w:hAnsi="仿宋" w:eastAsia="仿宋" w:cs="仿宋"/>
                      <w:sz w:val="24"/>
                    </w:rPr>
                  </w:pPr>
                  <w:r>
                    <w:rPr>
                      <w:rFonts w:hint="eastAsia" w:ascii="仿宋" w:hAnsi="仿宋" w:eastAsia="仿宋" w:cs="仿宋"/>
                      <w:sz w:val="24"/>
                    </w:rPr>
                    <w:t>考量施工季节和施工重点难点，根据供应商提供的施工季节、施工重点难点解决方案进行综合评审，施工季节、施工重点难点解决方案内容应包括但不限于：①工程关键点控制方案；②针对</w:t>
                  </w:r>
                  <w:r>
                    <w:rPr>
                      <w:rFonts w:hint="eastAsia" w:ascii="仿宋" w:hAnsi="仿宋" w:eastAsia="仿宋" w:cs="仿宋"/>
                      <w:sz w:val="24"/>
                      <w:lang w:val="en-US" w:eastAsia="zh-CN"/>
                    </w:rPr>
                    <w:t>季节</w:t>
                  </w:r>
                  <w:r>
                    <w:rPr>
                      <w:rFonts w:hint="eastAsia" w:ascii="仿宋" w:hAnsi="仿宋" w:eastAsia="仿宋" w:cs="仿宋"/>
                      <w:sz w:val="24"/>
                    </w:rPr>
                    <w:t>施工保障措施；③重点、难点解决方案等。</w:t>
                  </w:r>
                </w:p>
                <w:p>
                  <w:pPr>
                    <w:pStyle w:val="2"/>
                    <w:ind w:firstLine="0" w:firstLineChars="0"/>
                    <w:rPr>
                      <w:rFonts w:hint="eastAsia" w:ascii="仿宋" w:hAnsi="仿宋" w:eastAsia="仿宋" w:cs="仿宋"/>
                    </w:rPr>
                  </w:pPr>
                  <w:r>
                    <w:rPr>
                      <w:rFonts w:hint="eastAsia" w:ascii="仿宋" w:hAnsi="仿宋" w:eastAsia="仿宋" w:cs="仿宋"/>
                      <w:sz w:val="24"/>
                    </w:rPr>
                    <w:t>针对以上3项内容进行评审，每项2分，最高得6分，每缺少一项内容扣2分，每项中每存在一处缺陷扣1分，最多扣2分。（注：“缺陷”指以下任意一种情形：内容不切合行业实际、不符合国家法规政策；或内容凭空编造，与实际情况不符存在偏差；或内容过于简略；或存在与项目无关的文字内容；或内容不适用项目实际情况；或内容逻辑漏洞或原理错误；或地点区域错误；或套用其他项目方案；或前后内容互相矛盾；或专业领域知识阐述有误。）</w:t>
                  </w: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CellMar>
                  <w:top w:w="0" w:type="dxa"/>
                  <w:left w:w="0" w:type="dxa"/>
                  <w:bottom w:w="0" w:type="dxa"/>
                  <w:right w:w="0" w:type="dxa"/>
                </w:tblCellMar>
              </w:tblPrEx>
              <w:trPr>
                <w:trHeight w:val="594" w:hRule="atLeast"/>
              </w:trPr>
              <w:tc>
                <w:tcPr>
                  <w:tcW w:w="839" w:type="pct"/>
                  <w:vMerge w:val="continue"/>
                  <w:tcBorders>
                    <w:tl2br w:val="nil"/>
                    <w:tr2bl w:val="nil"/>
                  </w:tcBorders>
                </w:tcPr>
                <w:p>
                  <w:pPr>
                    <w:pStyle w:val="50"/>
                    <w:spacing w:before="145"/>
                    <w:jc w:val="center"/>
                    <w:rPr>
                      <w:rFonts w:hint="eastAsia" w:ascii="仿宋" w:hAnsi="仿宋" w:eastAsia="仿宋" w:cs="仿宋"/>
                      <w:sz w:val="24"/>
                    </w:rPr>
                  </w:pPr>
                </w:p>
              </w:tc>
              <w:tc>
                <w:tcPr>
                  <w:tcW w:w="1049" w:type="pct"/>
                  <w:tcBorders>
                    <w:tl2br w:val="nil"/>
                    <w:tr2bl w:val="nil"/>
                  </w:tcBorders>
                  <w:vAlign w:val="center"/>
                </w:tcPr>
                <w:p>
                  <w:pPr>
                    <w:jc w:val="center"/>
                    <w:rPr>
                      <w:rFonts w:hint="eastAsia" w:ascii="仿宋" w:hAnsi="仿宋" w:eastAsia="仿宋" w:cs="仿宋"/>
                      <w:sz w:val="24"/>
                    </w:rPr>
                  </w:pPr>
                  <w:r>
                    <w:rPr>
                      <w:rFonts w:hint="eastAsia" w:ascii="仿宋" w:hAnsi="仿宋" w:eastAsia="仿宋" w:cs="仿宋"/>
                      <w:sz w:val="24"/>
                    </w:rPr>
                    <w:t>质量管理措施 (6.0分)</w:t>
                  </w:r>
                </w:p>
              </w:tc>
              <w:tc>
                <w:tcPr>
                  <w:tcW w:w="3111" w:type="pct"/>
                  <w:tcBorders>
                    <w:tl2br w:val="nil"/>
                    <w:tr2bl w:val="nil"/>
                  </w:tcBorders>
                  <w:vAlign w:val="center"/>
                </w:tcPr>
                <w:p>
                  <w:pPr>
                    <w:rPr>
                      <w:rFonts w:hint="eastAsia" w:ascii="仿宋" w:hAnsi="仿宋" w:eastAsia="仿宋" w:cs="仿宋"/>
                      <w:sz w:val="24"/>
                    </w:rPr>
                  </w:pPr>
                  <w:r>
                    <w:rPr>
                      <w:rFonts w:hint="eastAsia" w:ascii="仿宋" w:hAnsi="仿宋" w:eastAsia="仿宋" w:cs="仿宋"/>
                      <w:sz w:val="24"/>
                    </w:rPr>
                    <w:t>根据供应商针对本项目提供的质量管理措施进行评审，质量及安全管理体系与措施内容应包括但不限于：①质量控制计划；②材料质量保障措施；③施工过程控制及质量把控措施等。</w:t>
                  </w:r>
                </w:p>
                <w:p>
                  <w:pPr>
                    <w:rPr>
                      <w:rFonts w:hint="eastAsia" w:ascii="仿宋" w:hAnsi="仿宋" w:eastAsia="仿宋" w:cs="仿宋"/>
                    </w:rPr>
                  </w:pPr>
                  <w:r>
                    <w:rPr>
                      <w:rFonts w:hint="eastAsia" w:ascii="仿宋" w:hAnsi="仿宋" w:eastAsia="仿宋" w:cs="仿宋"/>
                      <w:sz w:val="24"/>
                    </w:rPr>
                    <w:t>针对以上3项内容进行评审，每项2分，最高得6分，每缺少一项内容扣2分，每项中每存在一处缺陷扣1分，最多扣2分。（注：“缺陷”指以下任意一种情形：内容不切合行业实际、不符合国家法规政策；或内容凭空编造，与实际情况不符存在偏差；或内容过于简略；或存在与项目无关的文字内容；或内容不适用项目实际情况；或内容逻辑漏洞或原理错误；或地点区域错误；或套用其他项目方案；或前后内容互相矛盾；或专业领域知识阐述有误。）</w:t>
                  </w: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CellMar>
                  <w:top w:w="0" w:type="dxa"/>
                  <w:left w:w="0" w:type="dxa"/>
                  <w:bottom w:w="0" w:type="dxa"/>
                  <w:right w:w="0" w:type="dxa"/>
                </w:tblCellMar>
              </w:tblPrEx>
              <w:trPr>
                <w:trHeight w:val="1430" w:hRule="atLeast"/>
              </w:trPr>
              <w:tc>
                <w:tcPr>
                  <w:tcW w:w="839" w:type="pct"/>
                  <w:vMerge w:val="continue"/>
                  <w:tcBorders>
                    <w:tl2br w:val="nil"/>
                    <w:tr2bl w:val="nil"/>
                  </w:tcBorders>
                </w:tcPr>
                <w:p>
                  <w:pPr>
                    <w:pStyle w:val="50"/>
                    <w:spacing w:before="145"/>
                    <w:jc w:val="center"/>
                    <w:rPr>
                      <w:rFonts w:hint="eastAsia" w:ascii="仿宋" w:hAnsi="仿宋" w:eastAsia="仿宋" w:cs="仿宋"/>
                      <w:sz w:val="24"/>
                    </w:rPr>
                  </w:pPr>
                </w:p>
              </w:tc>
              <w:tc>
                <w:tcPr>
                  <w:tcW w:w="1049" w:type="pct"/>
                  <w:tcBorders>
                    <w:tl2br w:val="nil"/>
                    <w:tr2bl w:val="nil"/>
                  </w:tcBorders>
                  <w:vAlign w:val="center"/>
                </w:tcPr>
                <w:p>
                  <w:pPr>
                    <w:jc w:val="center"/>
                    <w:rPr>
                      <w:rFonts w:hint="eastAsia" w:ascii="仿宋" w:hAnsi="仿宋" w:eastAsia="仿宋" w:cs="仿宋"/>
                      <w:sz w:val="24"/>
                    </w:rPr>
                  </w:pPr>
                  <w:r>
                    <w:rPr>
                      <w:rFonts w:hint="eastAsia" w:ascii="仿宋" w:hAnsi="仿宋" w:eastAsia="仿宋" w:cs="仿宋"/>
                      <w:sz w:val="24"/>
                    </w:rPr>
                    <w:t>环境管理体系与措施 (6.0分)</w:t>
                  </w:r>
                </w:p>
              </w:tc>
              <w:tc>
                <w:tcPr>
                  <w:tcW w:w="3111" w:type="pct"/>
                  <w:tcBorders>
                    <w:tl2br w:val="nil"/>
                    <w:tr2bl w:val="nil"/>
                  </w:tcBorders>
                  <w:vAlign w:val="center"/>
                </w:tcPr>
                <w:p>
                  <w:pPr>
                    <w:rPr>
                      <w:rFonts w:hint="eastAsia" w:ascii="仿宋" w:hAnsi="仿宋" w:eastAsia="仿宋" w:cs="仿宋"/>
                      <w:sz w:val="24"/>
                    </w:rPr>
                  </w:pPr>
                  <w:r>
                    <w:rPr>
                      <w:rFonts w:hint="eastAsia" w:ascii="仿宋" w:hAnsi="仿宋" w:eastAsia="仿宋" w:cs="仿宋"/>
                      <w:sz w:val="24"/>
                    </w:rPr>
                    <w:t>根据供应商针对本项目提供的环境管理体系与措施进行评审，环境管理体系与措施内容应包括但不限于：①环境保护管理体系；②污染物处理及排放符合国家及地方环境保护标准；③</w:t>
                  </w:r>
                  <w:r>
                    <w:rPr>
                      <w:rFonts w:hint="eastAsia" w:ascii="仿宋" w:hAnsi="仿宋" w:eastAsia="仿宋" w:cs="仿宋"/>
                      <w:sz w:val="24"/>
                      <w:lang w:val="en-US" w:eastAsia="zh-CN"/>
                    </w:rPr>
                    <w:t>垃圾清运</w:t>
                  </w:r>
                  <w:r>
                    <w:rPr>
                      <w:rFonts w:hint="eastAsia" w:ascii="仿宋" w:hAnsi="仿宋" w:eastAsia="仿宋" w:cs="仿宋"/>
                      <w:sz w:val="24"/>
                    </w:rPr>
                    <w:t>措施等。</w:t>
                  </w:r>
                </w:p>
                <w:p>
                  <w:pPr>
                    <w:pStyle w:val="2"/>
                    <w:ind w:firstLine="0" w:firstLineChars="0"/>
                    <w:rPr>
                      <w:rFonts w:hint="eastAsia" w:ascii="仿宋" w:hAnsi="仿宋" w:eastAsia="仿宋" w:cs="仿宋"/>
                    </w:rPr>
                  </w:pPr>
                  <w:r>
                    <w:rPr>
                      <w:rFonts w:hint="eastAsia" w:ascii="仿宋" w:hAnsi="仿宋" w:eastAsia="仿宋" w:cs="仿宋"/>
                      <w:sz w:val="24"/>
                    </w:rPr>
                    <w:t>针对以上3项内容进行评审，每项2分，最高得6分，每缺少一项内容扣2分，每项中每存在一处缺陷扣1分，最多扣2分。（注：“缺陷”指以下任意一种情形：内容不切合行业实际、不符合国家法规政策；或内容凭空编造，与实际情况不符存在偏差；或内容过于简略；或存在与项目无关的文字内容；或内容不适用项目实际情况；或内容逻辑漏洞或原理错误；或地点区域错误；或套用其他项目方案；或前后内容互相矛盾；或专业领域知识阐述有误。）</w:t>
                  </w: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CellMar>
                  <w:top w:w="0" w:type="dxa"/>
                  <w:left w:w="0" w:type="dxa"/>
                  <w:bottom w:w="0" w:type="dxa"/>
                  <w:right w:w="0" w:type="dxa"/>
                </w:tblCellMar>
              </w:tblPrEx>
              <w:trPr>
                <w:trHeight w:val="1430" w:hRule="atLeast"/>
              </w:trPr>
              <w:tc>
                <w:tcPr>
                  <w:tcW w:w="839" w:type="pct"/>
                  <w:vMerge w:val="continue"/>
                  <w:tcBorders>
                    <w:tl2br w:val="nil"/>
                    <w:tr2bl w:val="nil"/>
                  </w:tcBorders>
                </w:tcPr>
                <w:p>
                  <w:pPr>
                    <w:pStyle w:val="50"/>
                    <w:spacing w:before="145"/>
                    <w:jc w:val="center"/>
                    <w:rPr>
                      <w:rFonts w:hint="eastAsia" w:ascii="仿宋" w:hAnsi="仿宋" w:eastAsia="仿宋" w:cs="仿宋"/>
                      <w:sz w:val="24"/>
                    </w:rPr>
                  </w:pPr>
                </w:p>
              </w:tc>
              <w:tc>
                <w:tcPr>
                  <w:tcW w:w="1049" w:type="pct"/>
                  <w:tcBorders>
                    <w:tl2br w:val="nil"/>
                    <w:tr2bl w:val="nil"/>
                  </w:tcBorders>
                  <w:vAlign w:val="center"/>
                </w:tcPr>
                <w:p>
                  <w:pPr>
                    <w:jc w:val="center"/>
                    <w:rPr>
                      <w:rFonts w:hint="eastAsia" w:ascii="仿宋" w:hAnsi="仿宋" w:eastAsia="仿宋" w:cs="仿宋"/>
                      <w:sz w:val="24"/>
                    </w:rPr>
                  </w:pPr>
                  <w:r>
                    <w:rPr>
                      <w:rFonts w:hint="eastAsia" w:ascii="仿宋" w:hAnsi="仿宋" w:eastAsia="仿宋" w:cs="仿宋"/>
                      <w:sz w:val="24"/>
                    </w:rPr>
                    <w:t>节能环保技术措施 (6.0分)</w:t>
                  </w:r>
                </w:p>
              </w:tc>
              <w:tc>
                <w:tcPr>
                  <w:tcW w:w="3111" w:type="pct"/>
                  <w:tcBorders>
                    <w:tl2br w:val="nil"/>
                    <w:tr2bl w:val="nil"/>
                  </w:tcBorders>
                  <w:vAlign w:val="center"/>
                </w:tcPr>
                <w:p>
                  <w:pPr>
                    <w:rPr>
                      <w:rFonts w:hint="eastAsia" w:ascii="仿宋" w:hAnsi="仿宋" w:eastAsia="仿宋" w:cs="仿宋"/>
                      <w:sz w:val="24"/>
                    </w:rPr>
                  </w:pPr>
                  <w:r>
                    <w:rPr>
                      <w:rFonts w:hint="eastAsia" w:ascii="仿宋" w:hAnsi="仿宋" w:eastAsia="仿宋" w:cs="仿宋"/>
                      <w:sz w:val="24"/>
                    </w:rPr>
                    <w:t>根据供应商提供的节能环保管理措施进行评审，节能环保技术措施内容应包括但不限于：①节材与材料资源利用；②节水与水资源利用；③节能与能源利用；</w:t>
                  </w:r>
                </w:p>
                <w:p>
                  <w:pPr>
                    <w:rPr>
                      <w:rFonts w:hint="eastAsia" w:ascii="仿宋" w:hAnsi="仿宋" w:eastAsia="仿宋" w:cs="仿宋"/>
                    </w:rPr>
                  </w:pPr>
                  <w:r>
                    <w:rPr>
                      <w:rFonts w:hint="eastAsia" w:ascii="仿宋" w:hAnsi="仿宋" w:eastAsia="仿宋" w:cs="仿宋"/>
                      <w:sz w:val="24"/>
                    </w:rPr>
                    <w:t>针对以上3项内容进行评审，每项2分，最高得6分，每缺少一项内容扣2分，每项中每存在一处缺陷扣1分，最多扣2分。（注：“缺陷”指以下任意一种情形：内容不切合行业实际、不符合国家法规政策；或内容凭空编造，与实际情况不符存在偏差；或内容过于简略；或存在与项目无关的文字内容；或内容不适用项目实际情况；或内容逻辑漏洞或原理错误；或地点区域错误；或套用其他项目方案；或前后内容互相矛盾；或专业领域知识阐述有误。）</w:t>
                  </w: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CellMar>
                  <w:top w:w="0" w:type="dxa"/>
                  <w:left w:w="0" w:type="dxa"/>
                  <w:bottom w:w="0" w:type="dxa"/>
                  <w:right w:w="0" w:type="dxa"/>
                </w:tblCellMar>
              </w:tblPrEx>
              <w:trPr>
                <w:trHeight w:val="530" w:hRule="atLeast"/>
              </w:trPr>
              <w:tc>
                <w:tcPr>
                  <w:tcW w:w="839" w:type="pct"/>
                  <w:vMerge w:val="continue"/>
                  <w:tcBorders>
                    <w:tl2br w:val="nil"/>
                    <w:tr2bl w:val="nil"/>
                  </w:tcBorders>
                </w:tcPr>
                <w:p>
                  <w:pPr>
                    <w:pStyle w:val="50"/>
                    <w:spacing w:before="145"/>
                    <w:jc w:val="center"/>
                    <w:rPr>
                      <w:rFonts w:hint="eastAsia" w:ascii="仿宋" w:hAnsi="仿宋" w:eastAsia="仿宋" w:cs="仿宋"/>
                      <w:sz w:val="24"/>
                    </w:rPr>
                  </w:pPr>
                </w:p>
              </w:tc>
              <w:tc>
                <w:tcPr>
                  <w:tcW w:w="1049" w:type="pct"/>
                  <w:tcBorders>
                    <w:tl2br w:val="nil"/>
                    <w:tr2bl w:val="nil"/>
                  </w:tcBorders>
                  <w:vAlign w:val="center"/>
                </w:tcPr>
                <w:p>
                  <w:pPr>
                    <w:jc w:val="center"/>
                    <w:rPr>
                      <w:rFonts w:hint="eastAsia" w:ascii="仿宋" w:hAnsi="仿宋" w:eastAsia="仿宋" w:cs="仿宋"/>
                      <w:sz w:val="24"/>
                    </w:rPr>
                  </w:pPr>
                  <w:r>
                    <w:rPr>
                      <w:rFonts w:hint="eastAsia" w:ascii="仿宋" w:hAnsi="仿宋" w:eastAsia="仿宋" w:cs="仿宋"/>
                      <w:sz w:val="24"/>
                    </w:rPr>
                    <w:t>安全管理体系与措施</w:t>
                  </w:r>
                </w:p>
                <w:p>
                  <w:pPr>
                    <w:jc w:val="center"/>
                    <w:rPr>
                      <w:rFonts w:hint="eastAsia" w:ascii="仿宋" w:hAnsi="仿宋" w:eastAsia="仿宋" w:cs="仿宋"/>
                      <w:sz w:val="24"/>
                    </w:rPr>
                  </w:pPr>
                  <w:r>
                    <w:rPr>
                      <w:rFonts w:hint="eastAsia" w:ascii="仿宋" w:hAnsi="仿宋" w:eastAsia="仿宋" w:cs="仿宋"/>
                      <w:sz w:val="24"/>
                    </w:rPr>
                    <w:t>（7.0分）</w:t>
                  </w:r>
                </w:p>
              </w:tc>
              <w:tc>
                <w:tcPr>
                  <w:tcW w:w="3111" w:type="pct"/>
                  <w:tcBorders>
                    <w:tl2br w:val="nil"/>
                    <w:tr2bl w:val="nil"/>
                  </w:tcBorders>
                  <w:vAlign w:val="center"/>
                </w:tcPr>
                <w:p>
                  <w:pPr>
                    <w:rPr>
                      <w:rFonts w:hint="eastAsia" w:ascii="仿宋" w:hAnsi="仿宋" w:eastAsia="仿宋" w:cs="仿宋"/>
                      <w:sz w:val="24"/>
                    </w:rPr>
                  </w:pPr>
                  <w:r>
                    <w:rPr>
                      <w:rFonts w:hint="eastAsia" w:ascii="仿宋" w:hAnsi="仿宋" w:eastAsia="仿宋" w:cs="仿宋"/>
                      <w:sz w:val="24"/>
                    </w:rPr>
                    <w:t>根据供应商提供的安全管理体系与措施进行评审，安全管理体系与措施内容应包括但不限于：①安全管理体系；②安全施工制度；③安全防护措施；④安全管理目标；⑤安全文明施工保障措施；</w:t>
                  </w:r>
                </w:p>
                <w:p>
                  <w:pPr>
                    <w:rPr>
                      <w:rFonts w:hint="eastAsia" w:ascii="仿宋" w:hAnsi="仿宋" w:eastAsia="仿宋" w:cs="仿宋"/>
                      <w:sz w:val="24"/>
                    </w:rPr>
                  </w:pPr>
                  <w:r>
                    <w:rPr>
                      <w:rFonts w:hint="eastAsia" w:ascii="仿宋" w:hAnsi="仿宋" w:eastAsia="仿宋" w:cs="仿宋"/>
                      <w:sz w:val="24"/>
                    </w:rPr>
                    <w:t>针对以上5项内容进行评审，每项1.4分，最高得7分，每缺少一项内容扣1.4分，每项中每存在一处缺陷扣0.7分，最多扣1.4分。（注：“缺陷”指以下任意一种情形：内容不切合行业实际、不符合国家法规政策；或内容凭空编造，与实际情况不符存在偏差；或内容过于简略；或存在与项目无关的文字内容；或内容不适用项目实际情况；或内容逻辑漏洞或原理错误；或地点区域错误；或套用其他项目方案；或前后内容互相矛盾；或专业领域知识阐述有误。）</w:t>
                  </w: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CellMar>
                  <w:top w:w="0" w:type="dxa"/>
                  <w:left w:w="0" w:type="dxa"/>
                  <w:bottom w:w="0" w:type="dxa"/>
                  <w:right w:w="0" w:type="dxa"/>
                </w:tblCellMar>
              </w:tblPrEx>
              <w:trPr>
                <w:trHeight w:val="1713" w:hRule="atLeast"/>
              </w:trPr>
              <w:tc>
                <w:tcPr>
                  <w:tcW w:w="839" w:type="pct"/>
                  <w:vMerge w:val="restart"/>
                  <w:tcBorders>
                    <w:tl2br w:val="nil"/>
                    <w:tr2bl w:val="nil"/>
                  </w:tcBorders>
                  <w:vAlign w:val="center"/>
                </w:tcPr>
                <w:p>
                  <w:pPr>
                    <w:pStyle w:val="50"/>
                    <w:jc w:val="center"/>
                    <w:rPr>
                      <w:rFonts w:hint="eastAsia" w:ascii="仿宋" w:hAnsi="仿宋" w:eastAsia="仿宋" w:cs="仿宋"/>
                      <w:sz w:val="24"/>
                    </w:rPr>
                  </w:pPr>
                  <w:r>
                    <w:rPr>
                      <w:rFonts w:hint="eastAsia" w:ascii="仿宋" w:hAnsi="仿宋" w:eastAsia="仿宋" w:cs="仿宋"/>
                      <w:sz w:val="24"/>
                    </w:rPr>
                    <w:t>商务部分</w:t>
                  </w:r>
                </w:p>
                <w:p>
                  <w:pPr>
                    <w:pStyle w:val="50"/>
                    <w:jc w:val="center"/>
                    <w:rPr>
                      <w:rFonts w:hint="eastAsia" w:ascii="仿宋" w:hAnsi="仿宋" w:eastAsia="仿宋" w:cs="仿宋"/>
                      <w:sz w:val="24"/>
                    </w:rPr>
                  </w:pPr>
                  <w:r>
                    <w:rPr>
                      <w:rFonts w:hint="eastAsia" w:ascii="仿宋" w:hAnsi="仿宋" w:eastAsia="仿宋" w:cs="仿宋"/>
                      <w:sz w:val="24"/>
                    </w:rPr>
                    <w:t>（11分)</w:t>
                  </w:r>
                </w:p>
              </w:tc>
              <w:tc>
                <w:tcPr>
                  <w:tcW w:w="1049" w:type="pct"/>
                  <w:tcBorders>
                    <w:tl2br w:val="nil"/>
                    <w:tr2bl w:val="nil"/>
                  </w:tcBorders>
                  <w:vAlign w:val="center"/>
                </w:tcPr>
                <w:p>
                  <w:pPr>
                    <w:jc w:val="center"/>
                    <w:rPr>
                      <w:rFonts w:hint="eastAsia" w:ascii="仿宋" w:hAnsi="仿宋" w:eastAsia="仿宋" w:cs="仿宋"/>
                      <w:sz w:val="24"/>
                    </w:rPr>
                  </w:pPr>
                  <w:r>
                    <w:rPr>
                      <w:rFonts w:hint="eastAsia" w:ascii="仿宋" w:hAnsi="仿宋" w:eastAsia="仿宋" w:cs="仿宋"/>
                      <w:sz w:val="24"/>
                    </w:rPr>
                    <w:t>拟派项目管理机构人员（5分）</w:t>
                  </w:r>
                </w:p>
              </w:tc>
              <w:tc>
                <w:tcPr>
                  <w:tcW w:w="3111" w:type="pct"/>
                  <w:tcBorders>
                    <w:tl2br w:val="nil"/>
                    <w:tr2bl w:val="nil"/>
                  </w:tcBorders>
                  <w:vAlign w:val="center"/>
                </w:tcPr>
                <w:p>
                  <w:pPr>
                    <w:rPr>
                      <w:rFonts w:hint="eastAsia" w:ascii="仿宋" w:hAnsi="仿宋" w:eastAsia="仿宋" w:cs="仿宋"/>
                      <w:sz w:val="24"/>
                    </w:rPr>
                  </w:pPr>
                  <w:r>
                    <w:rPr>
                      <w:rFonts w:hint="eastAsia" w:ascii="仿宋" w:hAnsi="仿宋" w:eastAsia="仿宋" w:cs="仿宋"/>
                      <w:sz w:val="24"/>
                    </w:rPr>
                    <w:t>项目管理机构配备齐全合理，除项目负责人和技术负责人外，配备质量(检)员、安全员、施工员、资(材)料员、造价师(预算员)等岗位人员每个岗位人员得1分，最高得5分。（注:1.安全员须具有安全生产考核合格证，且在有效期内； 2.供应商须提供每个人员的岗位证书或证明材料及近1个月社保证明； 3.近1个月是指2025年1月至今任意1个月。）</w:t>
                  </w: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CellMar>
                  <w:top w:w="0" w:type="dxa"/>
                  <w:left w:w="0" w:type="dxa"/>
                  <w:bottom w:w="0" w:type="dxa"/>
                  <w:right w:w="0" w:type="dxa"/>
                </w:tblCellMar>
              </w:tblPrEx>
              <w:trPr>
                <w:trHeight w:val="1713" w:hRule="atLeast"/>
              </w:trPr>
              <w:tc>
                <w:tcPr>
                  <w:tcW w:w="839" w:type="pct"/>
                  <w:vMerge w:val="continue"/>
                  <w:tcBorders>
                    <w:tl2br w:val="nil"/>
                    <w:tr2bl w:val="nil"/>
                  </w:tcBorders>
                  <w:vAlign w:val="center"/>
                </w:tcPr>
                <w:p>
                  <w:pPr>
                    <w:pStyle w:val="50"/>
                    <w:jc w:val="center"/>
                    <w:rPr>
                      <w:rFonts w:hint="eastAsia" w:ascii="仿宋" w:hAnsi="仿宋" w:eastAsia="仿宋" w:cs="仿宋"/>
                      <w:sz w:val="24"/>
                    </w:rPr>
                  </w:pPr>
                </w:p>
              </w:tc>
              <w:tc>
                <w:tcPr>
                  <w:tcW w:w="1049" w:type="pct"/>
                  <w:tcBorders>
                    <w:tl2br w:val="nil"/>
                    <w:tr2bl w:val="nil"/>
                  </w:tcBorders>
                  <w:vAlign w:val="center"/>
                </w:tcPr>
                <w:p>
                  <w:pPr>
                    <w:jc w:val="center"/>
                    <w:rPr>
                      <w:rFonts w:hint="eastAsia" w:ascii="仿宋" w:hAnsi="仿宋" w:eastAsia="仿宋" w:cs="仿宋"/>
                      <w:sz w:val="24"/>
                    </w:rPr>
                  </w:pPr>
                  <w:r>
                    <w:rPr>
                      <w:rFonts w:hint="eastAsia" w:ascii="仿宋" w:hAnsi="仿宋" w:eastAsia="仿宋" w:cs="仿宋"/>
                      <w:sz w:val="24"/>
                    </w:rPr>
                    <w:t>业绩（6分）</w:t>
                  </w:r>
                </w:p>
              </w:tc>
              <w:tc>
                <w:tcPr>
                  <w:tcW w:w="3111" w:type="pct"/>
                  <w:tcBorders>
                    <w:tl2br w:val="nil"/>
                    <w:tr2bl w:val="nil"/>
                  </w:tcBorders>
                  <w:vAlign w:val="center"/>
                </w:tcPr>
                <w:p>
                  <w:pPr>
                    <w:rPr>
                      <w:rFonts w:hint="eastAsia" w:ascii="仿宋" w:hAnsi="仿宋" w:eastAsia="仿宋" w:cs="仿宋"/>
                      <w:sz w:val="24"/>
                    </w:rPr>
                  </w:pPr>
                  <w:r>
                    <w:rPr>
                      <w:rFonts w:hint="eastAsia" w:ascii="仿宋" w:hAnsi="仿宋" w:eastAsia="仿宋" w:cs="仿宋"/>
                      <w:sz w:val="24"/>
                    </w:rPr>
                    <w:t>供应商近三年（2022</w:t>
                  </w:r>
                  <w:r>
                    <w:rPr>
                      <w:rFonts w:hint="eastAsia" w:ascii="仿宋" w:hAnsi="仿宋" w:eastAsia="仿宋" w:cs="仿宋"/>
                      <w:sz w:val="24"/>
                      <w:highlight w:val="none"/>
                    </w:rPr>
                    <w:t>年</w:t>
                  </w:r>
                  <w:r>
                    <w:rPr>
                      <w:rFonts w:hint="eastAsia" w:ascii="仿宋" w:hAnsi="仿宋" w:eastAsia="仿宋" w:cs="仿宋"/>
                      <w:sz w:val="24"/>
                      <w:highlight w:val="none"/>
                      <w:lang w:val="en-US" w:eastAsia="zh-CN"/>
                    </w:rPr>
                    <w:t>10</w:t>
                  </w:r>
                  <w:r>
                    <w:rPr>
                      <w:rFonts w:hint="eastAsia" w:ascii="仿宋" w:hAnsi="仿宋" w:eastAsia="仿宋" w:cs="仿宋"/>
                      <w:sz w:val="24"/>
                      <w:highlight w:val="none"/>
                    </w:rPr>
                    <w:t>月1日</w:t>
                  </w:r>
                  <w:r>
                    <w:rPr>
                      <w:rFonts w:hint="eastAsia" w:ascii="仿宋" w:hAnsi="仿宋" w:eastAsia="仿宋" w:cs="仿宋"/>
                      <w:sz w:val="24"/>
                    </w:rPr>
                    <w:t>至今）类似项目业绩，每有一份得2分，最多得6分，提供施工合同，日期以施工合同签订日期为准，不提供不得分。</w:t>
                  </w:r>
                </w:p>
                <w:p>
                  <w:pPr>
                    <w:rPr>
                      <w:rFonts w:hint="eastAsia" w:ascii="仿宋" w:hAnsi="仿宋" w:eastAsia="仿宋" w:cs="仿宋"/>
                      <w:sz w:val="24"/>
                    </w:rPr>
                  </w:pPr>
                  <w:r>
                    <w:rPr>
                      <w:rFonts w:hint="eastAsia" w:ascii="仿宋" w:hAnsi="仿宋" w:eastAsia="仿宋" w:cs="仿宋"/>
                      <w:sz w:val="24"/>
                    </w:rPr>
                    <w:t>（注：须提供业绩合同复印件并加盖公章，否则不得分）</w:t>
                  </w: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CellMar>
                  <w:top w:w="0" w:type="dxa"/>
                  <w:left w:w="0" w:type="dxa"/>
                  <w:bottom w:w="0" w:type="dxa"/>
                  <w:right w:w="0" w:type="dxa"/>
                </w:tblCellMar>
              </w:tblPrEx>
              <w:trPr>
                <w:trHeight w:val="1153" w:hRule="atLeast"/>
              </w:trPr>
              <w:tc>
                <w:tcPr>
                  <w:tcW w:w="839" w:type="pct"/>
                  <w:tcBorders>
                    <w:tl2br w:val="nil"/>
                    <w:tr2bl w:val="nil"/>
                  </w:tcBorders>
                  <w:vAlign w:val="center"/>
                </w:tcPr>
                <w:p>
                  <w:pPr>
                    <w:pStyle w:val="50"/>
                    <w:jc w:val="center"/>
                    <w:rPr>
                      <w:rFonts w:hint="eastAsia" w:ascii="仿宋" w:hAnsi="仿宋" w:eastAsia="仿宋" w:cs="仿宋"/>
                      <w:sz w:val="24"/>
                    </w:rPr>
                  </w:pPr>
                  <w:r>
                    <w:rPr>
                      <w:rFonts w:hint="eastAsia" w:ascii="仿宋" w:hAnsi="仿宋" w:eastAsia="仿宋" w:cs="仿宋"/>
                      <w:sz w:val="24"/>
                    </w:rPr>
                    <w:t>报价</w:t>
                  </w:r>
                </w:p>
                <w:p>
                  <w:pPr>
                    <w:pStyle w:val="50"/>
                    <w:jc w:val="center"/>
                    <w:rPr>
                      <w:rFonts w:hint="eastAsia" w:ascii="仿宋" w:hAnsi="仿宋" w:eastAsia="仿宋" w:cs="仿宋"/>
                      <w:sz w:val="24"/>
                    </w:rPr>
                  </w:pPr>
                  <w:r>
                    <w:rPr>
                      <w:rFonts w:hint="eastAsia" w:ascii="仿宋" w:hAnsi="仿宋" w:eastAsia="仿宋" w:cs="仿宋"/>
                      <w:sz w:val="24"/>
                    </w:rPr>
                    <w:t>（30分)</w:t>
                  </w:r>
                </w:p>
              </w:tc>
              <w:tc>
                <w:tcPr>
                  <w:tcW w:w="1049" w:type="pct"/>
                  <w:tcBorders>
                    <w:tl2br w:val="nil"/>
                    <w:tr2bl w:val="nil"/>
                  </w:tcBorders>
                  <w:vAlign w:val="center"/>
                </w:tcPr>
                <w:p>
                  <w:pPr>
                    <w:pStyle w:val="50"/>
                    <w:ind w:left="64"/>
                    <w:jc w:val="center"/>
                    <w:rPr>
                      <w:rFonts w:hint="eastAsia" w:ascii="仿宋" w:hAnsi="仿宋" w:eastAsia="仿宋" w:cs="仿宋"/>
                      <w:sz w:val="24"/>
                    </w:rPr>
                  </w:pPr>
                  <w:r>
                    <w:rPr>
                      <w:rFonts w:hint="eastAsia" w:ascii="仿宋" w:hAnsi="仿宋" w:eastAsia="仿宋" w:cs="仿宋"/>
                      <w:sz w:val="24"/>
                    </w:rPr>
                    <w:t xml:space="preserve">报价得分 </w:t>
                  </w:r>
                </w:p>
                <w:p>
                  <w:pPr>
                    <w:pStyle w:val="50"/>
                    <w:ind w:left="64"/>
                    <w:jc w:val="center"/>
                    <w:rPr>
                      <w:rFonts w:hint="eastAsia" w:ascii="仿宋" w:hAnsi="仿宋" w:eastAsia="仿宋" w:cs="仿宋"/>
                      <w:sz w:val="24"/>
                    </w:rPr>
                  </w:pPr>
                  <w:r>
                    <w:rPr>
                      <w:rFonts w:hint="eastAsia" w:ascii="仿宋" w:hAnsi="仿宋" w:eastAsia="仿宋" w:cs="仿宋"/>
                      <w:sz w:val="24"/>
                    </w:rPr>
                    <w:t>(30分)</w:t>
                  </w:r>
                </w:p>
              </w:tc>
              <w:tc>
                <w:tcPr>
                  <w:tcW w:w="3111" w:type="pct"/>
                  <w:tcBorders>
                    <w:tl2br w:val="nil"/>
                    <w:tr2bl w:val="nil"/>
                  </w:tcBorders>
                  <w:vAlign w:val="center"/>
                </w:tcPr>
                <w:p>
                  <w:pPr>
                    <w:pStyle w:val="50"/>
                    <w:spacing w:before="11" w:line="288" w:lineRule="auto"/>
                    <w:ind w:left="63" w:right="135"/>
                    <w:rPr>
                      <w:rFonts w:hint="eastAsia" w:ascii="仿宋" w:hAnsi="仿宋" w:eastAsia="仿宋" w:cs="仿宋"/>
                      <w:sz w:val="24"/>
                      <w:lang w:val="zh-CN" w:bidi="zh-CN"/>
                    </w:rPr>
                  </w:pPr>
                  <w:r>
                    <w:rPr>
                      <w:rFonts w:hint="eastAsia" w:ascii="仿宋" w:hAnsi="仿宋" w:eastAsia="仿宋" w:cs="仿宋"/>
                      <w:sz w:val="24"/>
                      <w:lang w:val="zh-CN" w:bidi="zh-CN"/>
                    </w:rPr>
                    <w:t>报价得分=（</w:t>
                  </w:r>
                  <w:r>
                    <w:rPr>
                      <w:rFonts w:hint="eastAsia" w:ascii="仿宋" w:hAnsi="仿宋" w:eastAsia="仿宋" w:cs="仿宋"/>
                      <w:sz w:val="24"/>
                      <w:lang w:bidi="zh-CN"/>
                    </w:rPr>
                    <w:t>评审</w:t>
                  </w:r>
                  <w:r>
                    <w:rPr>
                      <w:rFonts w:hint="eastAsia" w:ascii="仿宋" w:hAnsi="仿宋" w:eastAsia="仿宋" w:cs="仿宋"/>
                      <w:sz w:val="24"/>
                      <w:lang w:val="zh-CN" w:bidi="zh-CN"/>
                    </w:rPr>
                    <w:t>基准价/</w:t>
                  </w:r>
                  <w:r>
                    <w:rPr>
                      <w:rFonts w:hint="eastAsia" w:ascii="仿宋" w:hAnsi="仿宋" w:eastAsia="仿宋" w:cs="仿宋"/>
                      <w:sz w:val="24"/>
                      <w:lang w:bidi="zh-CN"/>
                    </w:rPr>
                    <w:t>投标</w:t>
                  </w:r>
                  <w:r>
                    <w:rPr>
                      <w:rFonts w:hint="eastAsia" w:ascii="仿宋" w:hAnsi="仿宋" w:eastAsia="仿宋" w:cs="仿宋"/>
                      <w:sz w:val="24"/>
                      <w:lang w:val="zh-CN" w:bidi="zh-CN"/>
                    </w:rPr>
                    <w:t>报价）×价格权值×100</w:t>
                  </w:r>
                </w:p>
                <w:p>
                  <w:pPr>
                    <w:pStyle w:val="50"/>
                    <w:spacing w:before="11" w:line="288" w:lineRule="auto"/>
                    <w:ind w:left="63" w:right="135"/>
                    <w:rPr>
                      <w:rFonts w:hint="eastAsia" w:ascii="仿宋" w:hAnsi="仿宋" w:eastAsia="仿宋" w:cs="仿宋"/>
                      <w:sz w:val="24"/>
                    </w:rPr>
                  </w:pPr>
                  <w:r>
                    <w:rPr>
                      <w:rFonts w:hint="eastAsia" w:ascii="仿宋" w:hAnsi="仿宋" w:eastAsia="仿宋" w:cs="仿宋"/>
                      <w:sz w:val="24"/>
                      <w:lang w:val="zh-CN" w:bidi="zh-CN"/>
                    </w:rPr>
                    <w:t>（注：满足</w:t>
                  </w:r>
                  <w:r>
                    <w:rPr>
                      <w:rFonts w:hint="eastAsia" w:ascii="仿宋" w:hAnsi="仿宋" w:eastAsia="仿宋" w:cs="仿宋"/>
                      <w:sz w:val="24"/>
                      <w:lang w:bidi="zh-CN"/>
                    </w:rPr>
                    <w:t>比选</w:t>
                  </w:r>
                  <w:r>
                    <w:rPr>
                      <w:rFonts w:hint="eastAsia" w:ascii="仿宋" w:hAnsi="仿宋" w:eastAsia="仿宋" w:cs="仿宋"/>
                      <w:sz w:val="24"/>
                      <w:lang w:val="zh-CN" w:bidi="zh-CN"/>
                    </w:rPr>
                    <w:t>文件要求且报价最低的供应商的价格为</w:t>
                  </w:r>
                  <w:r>
                    <w:rPr>
                      <w:rFonts w:hint="eastAsia" w:ascii="仿宋" w:hAnsi="仿宋" w:eastAsia="仿宋" w:cs="仿宋"/>
                      <w:sz w:val="24"/>
                      <w:lang w:bidi="zh-CN"/>
                    </w:rPr>
                    <w:t>评审</w:t>
                  </w:r>
                  <w:r>
                    <w:rPr>
                      <w:rFonts w:hint="eastAsia" w:ascii="仿宋" w:hAnsi="仿宋" w:eastAsia="仿宋" w:cs="仿宋"/>
                      <w:sz w:val="24"/>
                      <w:lang w:val="zh-CN" w:bidi="zh-CN"/>
                    </w:rPr>
                    <w:t>基准价，其价格分为满分。）最低报价不是成交的唯一依据。</w:t>
                  </w:r>
                </w:p>
              </w:tc>
            </w:tr>
          </w:tbl>
          <w:p>
            <w:pPr>
              <w:spacing w:line="560" w:lineRule="exact"/>
              <w:jc w:val="left"/>
              <w:rPr>
                <w:rFonts w:asci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8" w:hRule="atLeast"/>
        </w:trPr>
        <w:tc>
          <w:tcPr>
            <w:tcW w:w="2198" w:type="dxa"/>
            <w:vAlign w:val="center"/>
          </w:tcPr>
          <w:p>
            <w:pPr>
              <w:spacing w:line="560" w:lineRule="exact"/>
              <w:jc w:val="center"/>
              <w:rPr>
                <w:rFonts w:ascii="方正仿宋_GBK" w:eastAsia="方正仿宋_GBK" w:cs="方正仿宋_GBK"/>
                <w:sz w:val="28"/>
                <w:szCs w:val="28"/>
              </w:rPr>
            </w:pPr>
            <w:r>
              <w:rPr>
                <w:rFonts w:hint="eastAsia" w:ascii="方正仿宋_GBK" w:eastAsia="方正仿宋_GBK" w:cs="方正仿宋_GBK"/>
                <w:sz w:val="28"/>
                <w:szCs w:val="28"/>
              </w:rPr>
              <w:t>其他因素</w:t>
            </w:r>
          </w:p>
        </w:tc>
        <w:tc>
          <w:tcPr>
            <w:tcW w:w="6862" w:type="dxa"/>
          </w:tcPr>
          <w:p>
            <w:pPr>
              <w:spacing w:line="400" w:lineRule="exact"/>
              <w:jc w:val="left"/>
              <w:rPr>
                <w:rFonts w:ascii="方正仿宋_GBK" w:eastAsia="方正仿宋_GBK" w:cs="方正仿宋_GBK"/>
                <w:sz w:val="28"/>
                <w:szCs w:val="28"/>
              </w:rPr>
            </w:pPr>
            <w:r>
              <w:rPr>
                <w:rFonts w:hint="eastAsia" w:ascii="方正仿宋_GBK" w:eastAsia="方正仿宋_GBK" w:cs="方正仿宋_GBK"/>
                <w:sz w:val="28"/>
                <w:szCs w:val="28"/>
              </w:rPr>
              <w:t>1、公告期限3个工作日。</w:t>
            </w:r>
          </w:p>
          <w:p>
            <w:pPr>
              <w:spacing w:line="400" w:lineRule="exact"/>
              <w:jc w:val="left"/>
              <w:rPr>
                <w:rFonts w:ascii="方正仿宋_GBK" w:eastAsia="方正仿宋_GBK" w:cs="方正仿宋_GBK"/>
                <w:sz w:val="28"/>
                <w:szCs w:val="28"/>
              </w:rPr>
            </w:pPr>
            <w:r>
              <w:rPr>
                <w:rFonts w:hint="eastAsia" w:ascii="方正仿宋_GBK" w:eastAsia="方正仿宋_GBK" w:cs="方正仿宋_GBK"/>
                <w:sz w:val="28"/>
                <w:szCs w:val="28"/>
              </w:rPr>
              <w:t>2、</w:t>
            </w:r>
            <w:r>
              <w:rPr>
                <w:rFonts w:hint="eastAsia" w:ascii="方正仿宋_GBK" w:eastAsia="方正仿宋_GBK" w:cs="方正仿宋_GBK"/>
                <w:sz w:val="28"/>
                <w:szCs w:val="28"/>
                <w:highlight w:val="none"/>
              </w:rPr>
              <w:t>响应文件份数</w:t>
            </w:r>
            <w:r>
              <w:rPr>
                <w:rFonts w:hint="eastAsia" w:ascii="方正仿宋_GBK" w:eastAsia="方正仿宋_GBK" w:cs="方正仿宋_GBK"/>
                <w:sz w:val="28"/>
                <w:szCs w:val="28"/>
                <w:highlight w:val="none"/>
                <w:lang w:eastAsia="zh-CN"/>
              </w:rPr>
              <w:t>：</w:t>
            </w:r>
            <w:r>
              <w:rPr>
                <w:rFonts w:hint="eastAsia" w:ascii="方正仿宋_GBK" w:eastAsia="方正仿宋_GBK" w:cs="方正仿宋_GBK"/>
                <w:sz w:val="28"/>
                <w:szCs w:val="28"/>
              </w:rPr>
              <w:t>响应文件正本1份、副本</w:t>
            </w:r>
            <w:r>
              <w:rPr>
                <w:rFonts w:hint="eastAsia" w:ascii="方正仿宋_GBK" w:eastAsia="方正仿宋_GBK" w:cs="方正仿宋_GBK"/>
                <w:sz w:val="28"/>
                <w:szCs w:val="28"/>
                <w:lang w:val="en-US" w:eastAsia="zh-CN"/>
              </w:rPr>
              <w:t>1</w:t>
            </w:r>
            <w:r>
              <w:rPr>
                <w:rFonts w:hint="eastAsia" w:ascii="方正仿宋_GBK" w:eastAsia="方正仿宋_GBK" w:cs="方正仿宋_GBK"/>
                <w:sz w:val="28"/>
                <w:szCs w:val="28"/>
              </w:rPr>
              <w:t>份，胶装装订成册，密封提交。</w:t>
            </w:r>
          </w:p>
        </w:tc>
      </w:tr>
    </w:tbl>
    <w:p>
      <w:pPr>
        <w:rPr>
          <w:rFonts w:ascii="方正仿宋_GBK" w:eastAsia="方正仿宋_GBK" w:cs="方正仿宋_GBK"/>
          <w:sz w:val="32"/>
          <w:szCs w:val="32"/>
        </w:rPr>
      </w:pPr>
    </w:p>
    <w:p>
      <w:pPr>
        <w:spacing w:line="560" w:lineRule="exact"/>
        <w:jc w:val="right"/>
        <w:rPr>
          <w:rFonts w:ascii="方正仿宋_GBK" w:eastAsia="方正仿宋_GBK" w:cs="方正仿宋_GBK"/>
          <w:sz w:val="32"/>
          <w:szCs w:val="32"/>
        </w:rPr>
      </w:pP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2000000000000000000"/>
    <w:charset w:val="86"/>
    <w:family w:val="script"/>
    <w:pitch w:val="default"/>
    <w:sig w:usb0="A00002BF" w:usb1="38CF7CFA" w:usb2="00082016" w:usb3="00000000" w:csb0="00040001" w:csb1="00000000"/>
    <w:embedRegular r:id="rId1" w:fontKey="{F40F4A4B-F530-4C7B-9646-EF2FF0CE8BB8}"/>
  </w:font>
  <w:font w:name="方正黑体_GBK">
    <w:panose1 w:val="02010600010101010101"/>
    <w:charset w:val="86"/>
    <w:family w:val="script"/>
    <w:pitch w:val="default"/>
    <w:sig w:usb0="00000001" w:usb1="080E0000" w:usb2="00000000" w:usb3="00000000" w:csb0="00040000" w:csb1="00000000"/>
    <w:embedRegular r:id="rId2" w:fontKey="{3DF6940C-4658-409C-B4E1-2FD9D548AFB5}"/>
  </w:font>
  <w:font w:name="方正小标宋_GBK">
    <w:panose1 w:val="02000000000000000000"/>
    <w:charset w:val="86"/>
    <w:family w:val="script"/>
    <w:pitch w:val="default"/>
    <w:sig w:usb0="A00002BF" w:usb1="38CF7CFA" w:usb2="00082016" w:usb3="00000000" w:csb0="00040001" w:csb1="00000000"/>
    <w:embedRegular r:id="rId3" w:fontKey="{C1DD6720-EDF7-48E7-8531-69B614E28E97}"/>
  </w:font>
  <w:font w:name="方正楷体_GBK">
    <w:panose1 w:val="02000000000000000000"/>
    <w:charset w:val="86"/>
    <w:family w:val="script"/>
    <w:pitch w:val="default"/>
    <w:sig w:usb0="800002BF" w:usb1="38CF7CFA" w:usb2="00000016" w:usb3="00000000" w:csb0="00040000" w:csb1="00000000"/>
    <w:embedRegular r:id="rId4" w:fontKey="{72A82617-C4C0-4A61-A75A-456EE46C2F78}"/>
  </w:font>
  <w:font w:name="Wingdings 2">
    <w:panose1 w:val="05020102010507070707"/>
    <w:charset w:val="02"/>
    <w:family w:val="roman"/>
    <w:pitch w:val="default"/>
    <w:sig w:usb0="00000000" w:usb1="00000000" w:usb2="00000000" w:usb3="00000000" w:csb0="80000000" w:csb1="00000000"/>
    <w:embedRegular r:id="rId5" w:fontKey="{0A1F1F34-2C1A-4A4F-A2C2-0536B044E6F0}"/>
  </w:font>
  <w:font w:name="仿宋">
    <w:panose1 w:val="02010609060101010101"/>
    <w:charset w:val="86"/>
    <w:family w:val="auto"/>
    <w:pitch w:val="default"/>
    <w:sig w:usb0="800002BF" w:usb1="38CF7CFA" w:usb2="00000016" w:usb3="00000000" w:csb0="00040001" w:csb1="00000000"/>
    <w:embedRegular r:id="rId6" w:fontKey="{A2FDD009-C5C8-4C8D-B9B2-A5EEB21EE5F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pPr>
    <w:r>
      <w:rPr>
        <w:rStyle w:val="11"/>
      </w:rPr>
      <w:fldChar w:fldCharType="begin"/>
    </w:r>
    <w:r>
      <w:rPr>
        <w:rStyle w:val="11"/>
      </w:rPr>
      <w:instrText xml:space="preserve">Page</w:instrText>
    </w:r>
    <w:r>
      <w:rPr>
        <w:rStyle w:val="11"/>
      </w:rPr>
      <w:fldChar w:fldCharType="separate"/>
    </w:r>
    <w:r>
      <w:rPr>
        <w:rStyle w:val="11"/>
      </w:rPr>
      <w:t>1</w:t>
    </w:r>
    <w:r>
      <w:rPr>
        <w:rStyle w:val="11"/>
      </w:rPr>
      <w:fldChar w:fldCharType="end"/>
    </w:r>
  </w:p>
  <w:p>
    <w:pPr>
      <w:pStyle w:val="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pPr>
    <w:r>
      <w:rPr>
        <w:rStyle w:val="11"/>
      </w:rPr>
      <w:fldChar w:fldCharType="begin"/>
    </w:r>
    <w:r>
      <w:rPr>
        <w:rStyle w:val="11"/>
      </w:rPr>
      <w:instrText xml:space="preserve">Page</w:instrText>
    </w:r>
    <w:r>
      <w:rPr>
        <w:rStyle w:val="11"/>
      </w:rPr>
      <w:fldChar w:fldCharType="separate"/>
    </w:r>
    <w:r>
      <w:rPr>
        <w:rStyle w:val="11"/>
      </w:rPr>
      <w:t>1</w:t>
    </w:r>
    <w:r>
      <w:rPr>
        <w:rStyle w:val="11"/>
      </w:rPr>
      <w:fldChar w:fldCharType="end"/>
    </w:r>
  </w:p>
  <w:p>
    <w:pPr>
      <w:pStyle w:val="4"/>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OWRlNmFjNTE0YmQzNDgwNGMxODI4OWJlYzRjMWE3MTcifQ=="/>
  </w:docVars>
  <w:rsids>
    <w:rsidRoot w:val="005446B4"/>
    <w:rsid w:val="00083FC3"/>
    <w:rsid w:val="000B6658"/>
    <w:rsid w:val="001945B7"/>
    <w:rsid w:val="00253B42"/>
    <w:rsid w:val="00381BC2"/>
    <w:rsid w:val="0049127A"/>
    <w:rsid w:val="005446B4"/>
    <w:rsid w:val="00573435"/>
    <w:rsid w:val="0059538D"/>
    <w:rsid w:val="00891DA1"/>
    <w:rsid w:val="008F1FCE"/>
    <w:rsid w:val="009701CF"/>
    <w:rsid w:val="00B13D9C"/>
    <w:rsid w:val="05B145C8"/>
    <w:rsid w:val="08471E20"/>
    <w:rsid w:val="0CC2416B"/>
    <w:rsid w:val="10C45D46"/>
    <w:rsid w:val="11477335"/>
    <w:rsid w:val="12D17035"/>
    <w:rsid w:val="186B1B5B"/>
    <w:rsid w:val="19AE61A3"/>
    <w:rsid w:val="2B141BDE"/>
    <w:rsid w:val="30896DF8"/>
    <w:rsid w:val="37427AD3"/>
    <w:rsid w:val="3B312338"/>
    <w:rsid w:val="3D1B6DFC"/>
    <w:rsid w:val="3D1D2B74"/>
    <w:rsid w:val="43CC2FC9"/>
    <w:rsid w:val="48777D12"/>
    <w:rsid w:val="4B7C7600"/>
    <w:rsid w:val="4EA937BE"/>
    <w:rsid w:val="4FF5172F"/>
    <w:rsid w:val="501B2499"/>
    <w:rsid w:val="52701540"/>
    <w:rsid w:val="54EF0E42"/>
    <w:rsid w:val="58310B12"/>
    <w:rsid w:val="59034004"/>
    <w:rsid w:val="59F44805"/>
    <w:rsid w:val="5D02548B"/>
    <w:rsid w:val="63AE011A"/>
    <w:rsid w:val="647C3D75"/>
    <w:rsid w:val="65C71C7C"/>
    <w:rsid w:val="6BC95AF1"/>
    <w:rsid w:val="6C027255"/>
    <w:rsid w:val="6E6B2E90"/>
    <w:rsid w:val="70C8281B"/>
    <w:rsid w:val="75644ADD"/>
    <w:rsid w:val="777C1998"/>
    <w:rsid w:val="77A56C97"/>
    <w:rsid w:val="78CE7DB2"/>
    <w:rsid w:val="7ED710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Arial"/>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0"/>
    <w:pPr>
      <w:ind w:firstLine="420" w:firstLineChars="200"/>
    </w:p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index heading"/>
    <w:basedOn w:val="1"/>
    <w:next w:val="7"/>
    <w:qFormat/>
    <w:uiPriority w:val="0"/>
    <w:rPr>
      <w:rFonts w:ascii="Arial" w:hAnsi="Arial"/>
      <w:b/>
    </w:rPr>
  </w:style>
  <w:style w:type="paragraph" w:styleId="7">
    <w:name w:val="index 1"/>
    <w:basedOn w:val="1"/>
    <w:next w:val="1"/>
    <w:qFormat/>
    <w:uiPriority w:val="0"/>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qFormat/>
    <w:uiPriority w:val="0"/>
  </w:style>
  <w:style w:type="paragraph" w:customStyle="1" w:styleId="12">
    <w:name w:val="样式 10 磅"/>
    <w:qFormat/>
    <w:uiPriority w:val="0"/>
    <w:pPr>
      <w:widowControl w:val="0"/>
      <w:jc w:val="both"/>
    </w:pPr>
    <w:rPr>
      <w:rFonts w:ascii="Calibri" w:hAnsi="Calibri" w:eastAsia="宋体" w:cs="Arial"/>
      <w:kern w:val="2"/>
      <w:sz w:val="21"/>
      <w:szCs w:val="24"/>
      <w:lang w:val="en-US" w:eastAsia="zh-CN" w:bidi="ar-SA"/>
    </w:rPr>
  </w:style>
  <w:style w:type="paragraph" w:customStyle="1" w:styleId="13">
    <w:name w:val="样式 1 10 磅"/>
    <w:qFormat/>
    <w:uiPriority w:val="0"/>
    <w:pPr>
      <w:widowControl w:val="0"/>
      <w:jc w:val="both"/>
    </w:pPr>
    <w:rPr>
      <w:rFonts w:ascii="Calibri" w:hAnsi="Calibri" w:eastAsia="宋体" w:cs="Arial"/>
      <w:kern w:val="2"/>
      <w:sz w:val="21"/>
      <w:szCs w:val="24"/>
      <w:lang w:val="en-US" w:eastAsia="zh-CN" w:bidi="ar-SA"/>
    </w:rPr>
  </w:style>
  <w:style w:type="paragraph" w:customStyle="1" w:styleId="14">
    <w:name w:val="样式 2 10 磅"/>
    <w:qFormat/>
    <w:uiPriority w:val="0"/>
    <w:pPr>
      <w:widowControl w:val="0"/>
      <w:jc w:val="both"/>
    </w:pPr>
    <w:rPr>
      <w:rFonts w:ascii="Calibri" w:hAnsi="Calibri" w:eastAsia="宋体" w:cs="Arial"/>
      <w:kern w:val="2"/>
      <w:sz w:val="21"/>
      <w:szCs w:val="24"/>
      <w:lang w:val="en-US" w:eastAsia="zh-CN" w:bidi="ar-SA"/>
    </w:rPr>
  </w:style>
  <w:style w:type="paragraph" w:customStyle="1" w:styleId="15">
    <w:name w:val="样式 3 10 磅"/>
    <w:qFormat/>
    <w:uiPriority w:val="0"/>
    <w:pPr>
      <w:widowControl w:val="0"/>
      <w:jc w:val="both"/>
    </w:pPr>
    <w:rPr>
      <w:rFonts w:ascii="Calibri" w:hAnsi="Calibri" w:eastAsia="宋体" w:cs="Arial"/>
      <w:kern w:val="2"/>
      <w:sz w:val="21"/>
      <w:szCs w:val="24"/>
      <w:lang w:val="en-US" w:eastAsia="zh-CN" w:bidi="ar-SA"/>
    </w:rPr>
  </w:style>
  <w:style w:type="paragraph" w:customStyle="1" w:styleId="16">
    <w:name w:val="样式 4 10 磅"/>
    <w:qFormat/>
    <w:uiPriority w:val="0"/>
    <w:pPr>
      <w:widowControl w:val="0"/>
      <w:jc w:val="both"/>
    </w:pPr>
    <w:rPr>
      <w:rFonts w:ascii="Calibri" w:hAnsi="Calibri" w:eastAsia="宋体" w:cs="Arial"/>
      <w:kern w:val="2"/>
      <w:sz w:val="21"/>
      <w:szCs w:val="24"/>
      <w:lang w:val="en-US" w:eastAsia="zh-CN" w:bidi="ar-SA"/>
    </w:rPr>
  </w:style>
  <w:style w:type="paragraph" w:customStyle="1" w:styleId="17">
    <w:name w:val="样式 5 10 磅"/>
    <w:qFormat/>
    <w:uiPriority w:val="0"/>
    <w:pPr>
      <w:widowControl w:val="0"/>
      <w:jc w:val="both"/>
    </w:pPr>
    <w:rPr>
      <w:rFonts w:ascii="Calibri" w:hAnsi="Calibri" w:eastAsia="宋体" w:cs="Arial"/>
      <w:kern w:val="2"/>
      <w:sz w:val="21"/>
      <w:szCs w:val="24"/>
      <w:lang w:val="en-US" w:eastAsia="zh-CN" w:bidi="ar-SA"/>
    </w:rPr>
  </w:style>
  <w:style w:type="paragraph" w:customStyle="1" w:styleId="18">
    <w:name w:val="样式 6 10 磅"/>
    <w:qFormat/>
    <w:uiPriority w:val="0"/>
    <w:pPr>
      <w:widowControl w:val="0"/>
      <w:jc w:val="both"/>
    </w:pPr>
    <w:rPr>
      <w:rFonts w:ascii="Calibri" w:hAnsi="Calibri" w:eastAsia="宋体" w:cs="Arial"/>
      <w:kern w:val="2"/>
      <w:sz w:val="21"/>
      <w:szCs w:val="24"/>
      <w:lang w:val="en-US" w:eastAsia="zh-CN" w:bidi="ar-SA"/>
    </w:rPr>
  </w:style>
  <w:style w:type="paragraph" w:customStyle="1" w:styleId="19">
    <w:name w:val="样式 7 10 磅"/>
    <w:qFormat/>
    <w:uiPriority w:val="0"/>
    <w:pPr>
      <w:widowControl w:val="0"/>
      <w:jc w:val="both"/>
    </w:pPr>
    <w:rPr>
      <w:rFonts w:ascii="Calibri" w:hAnsi="Calibri" w:eastAsia="宋体" w:cs="Arial"/>
      <w:kern w:val="2"/>
      <w:sz w:val="21"/>
      <w:szCs w:val="24"/>
      <w:lang w:val="en-US" w:eastAsia="zh-CN" w:bidi="ar-SA"/>
    </w:rPr>
  </w:style>
  <w:style w:type="paragraph" w:customStyle="1" w:styleId="20">
    <w:name w:val="样式 8 10 磅"/>
    <w:qFormat/>
    <w:uiPriority w:val="0"/>
    <w:pPr>
      <w:widowControl w:val="0"/>
      <w:jc w:val="both"/>
    </w:pPr>
    <w:rPr>
      <w:rFonts w:ascii="Calibri" w:hAnsi="Calibri" w:eastAsia="宋体" w:cs="Arial"/>
      <w:kern w:val="2"/>
      <w:sz w:val="21"/>
      <w:szCs w:val="24"/>
      <w:lang w:val="en-US" w:eastAsia="zh-CN" w:bidi="ar-SA"/>
    </w:rPr>
  </w:style>
  <w:style w:type="paragraph" w:customStyle="1" w:styleId="21">
    <w:name w:val="样式 9 10 磅"/>
    <w:qFormat/>
    <w:uiPriority w:val="0"/>
    <w:pPr>
      <w:widowControl w:val="0"/>
      <w:jc w:val="both"/>
    </w:pPr>
    <w:rPr>
      <w:rFonts w:ascii="Calibri" w:hAnsi="Calibri" w:eastAsia="宋体" w:cs="Arial"/>
      <w:kern w:val="2"/>
      <w:sz w:val="21"/>
      <w:szCs w:val="24"/>
      <w:lang w:val="en-US" w:eastAsia="zh-CN" w:bidi="ar-SA"/>
    </w:rPr>
  </w:style>
  <w:style w:type="paragraph" w:customStyle="1" w:styleId="22">
    <w:name w:val="样式 10 10 磅"/>
    <w:qFormat/>
    <w:uiPriority w:val="0"/>
    <w:pPr>
      <w:widowControl w:val="0"/>
      <w:jc w:val="both"/>
    </w:pPr>
    <w:rPr>
      <w:rFonts w:ascii="Calibri" w:hAnsi="Calibri" w:eastAsia="宋体" w:cs="Arial"/>
      <w:kern w:val="2"/>
      <w:sz w:val="21"/>
      <w:szCs w:val="24"/>
      <w:lang w:val="en-US" w:eastAsia="zh-CN" w:bidi="ar-SA"/>
    </w:rPr>
  </w:style>
  <w:style w:type="paragraph" w:customStyle="1" w:styleId="23">
    <w:name w:val="样式 11 10 磅"/>
    <w:qFormat/>
    <w:uiPriority w:val="0"/>
    <w:pPr>
      <w:widowControl w:val="0"/>
      <w:jc w:val="both"/>
    </w:pPr>
    <w:rPr>
      <w:rFonts w:ascii="Calibri" w:hAnsi="Calibri" w:eastAsia="宋体" w:cs="Arial"/>
      <w:kern w:val="2"/>
      <w:sz w:val="21"/>
      <w:szCs w:val="24"/>
      <w:lang w:val="en-US" w:eastAsia="zh-CN" w:bidi="ar-SA"/>
    </w:rPr>
  </w:style>
  <w:style w:type="paragraph" w:customStyle="1" w:styleId="24">
    <w:name w:val="样式 12 10 磅"/>
    <w:qFormat/>
    <w:uiPriority w:val="0"/>
    <w:pPr>
      <w:widowControl w:val="0"/>
      <w:jc w:val="both"/>
    </w:pPr>
    <w:rPr>
      <w:rFonts w:ascii="Calibri" w:hAnsi="Calibri" w:eastAsia="宋体" w:cs="Arial"/>
      <w:kern w:val="2"/>
      <w:sz w:val="21"/>
      <w:szCs w:val="24"/>
      <w:lang w:val="en-US" w:eastAsia="zh-CN" w:bidi="ar-SA"/>
    </w:rPr>
  </w:style>
  <w:style w:type="paragraph" w:customStyle="1" w:styleId="25">
    <w:name w:val="样式 13 10 磅"/>
    <w:qFormat/>
    <w:uiPriority w:val="0"/>
    <w:pPr>
      <w:widowControl w:val="0"/>
      <w:jc w:val="both"/>
    </w:pPr>
    <w:rPr>
      <w:rFonts w:ascii="Calibri" w:hAnsi="Calibri" w:eastAsia="宋体" w:cs="Arial"/>
      <w:kern w:val="2"/>
      <w:sz w:val="21"/>
      <w:szCs w:val="24"/>
      <w:lang w:val="en-US" w:eastAsia="zh-CN" w:bidi="ar-SA"/>
    </w:rPr>
  </w:style>
  <w:style w:type="paragraph" w:customStyle="1" w:styleId="26">
    <w:name w:val="样式 14 10 磅"/>
    <w:qFormat/>
    <w:uiPriority w:val="0"/>
    <w:pPr>
      <w:widowControl w:val="0"/>
      <w:jc w:val="both"/>
    </w:pPr>
    <w:rPr>
      <w:rFonts w:ascii="Calibri" w:hAnsi="Calibri" w:eastAsia="宋体" w:cs="Arial"/>
      <w:kern w:val="2"/>
      <w:sz w:val="21"/>
      <w:szCs w:val="24"/>
      <w:lang w:val="en-US" w:eastAsia="zh-CN" w:bidi="ar-SA"/>
    </w:rPr>
  </w:style>
  <w:style w:type="paragraph" w:customStyle="1" w:styleId="27">
    <w:name w:val="样式 15 10 磅"/>
    <w:qFormat/>
    <w:uiPriority w:val="0"/>
    <w:pPr>
      <w:widowControl w:val="0"/>
      <w:jc w:val="both"/>
    </w:pPr>
    <w:rPr>
      <w:rFonts w:ascii="Calibri" w:hAnsi="Calibri" w:eastAsia="宋体" w:cs="Arial"/>
      <w:kern w:val="2"/>
      <w:sz w:val="21"/>
      <w:szCs w:val="24"/>
      <w:lang w:val="en-US" w:eastAsia="zh-CN" w:bidi="ar-SA"/>
    </w:rPr>
  </w:style>
  <w:style w:type="paragraph" w:customStyle="1" w:styleId="28">
    <w:name w:val="样式 16 10 磅"/>
    <w:qFormat/>
    <w:uiPriority w:val="0"/>
    <w:pPr>
      <w:widowControl w:val="0"/>
      <w:jc w:val="both"/>
    </w:pPr>
    <w:rPr>
      <w:rFonts w:ascii="Calibri" w:hAnsi="Calibri" w:eastAsia="宋体" w:cs="Arial"/>
      <w:kern w:val="2"/>
      <w:sz w:val="21"/>
      <w:szCs w:val="24"/>
      <w:lang w:val="en-US" w:eastAsia="zh-CN" w:bidi="ar-SA"/>
    </w:rPr>
  </w:style>
  <w:style w:type="paragraph" w:customStyle="1" w:styleId="29">
    <w:name w:val="样式 17 10 磅"/>
    <w:qFormat/>
    <w:uiPriority w:val="0"/>
    <w:pPr>
      <w:widowControl w:val="0"/>
      <w:jc w:val="both"/>
    </w:pPr>
    <w:rPr>
      <w:rFonts w:ascii="Calibri" w:hAnsi="Calibri" w:eastAsia="宋体" w:cs="Arial"/>
      <w:kern w:val="2"/>
      <w:sz w:val="21"/>
      <w:szCs w:val="24"/>
      <w:lang w:val="en-US" w:eastAsia="zh-CN" w:bidi="ar-SA"/>
    </w:rPr>
  </w:style>
  <w:style w:type="paragraph" w:customStyle="1" w:styleId="30">
    <w:name w:val="样式 三号"/>
    <w:qFormat/>
    <w:uiPriority w:val="0"/>
    <w:pPr>
      <w:widowControl w:val="0"/>
      <w:spacing w:line="560" w:lineRule="exact"/>
      <w:jc w:val="both"/>
    </w:pPr>
    <w:rPr>
      <w:rFonts w:ascii="Times New Roman" w:hAnsi="Times New Roman" w:eastAsia="方正仿宋_GBK" w:cs="Times New Roman"/>
      <w:kern w:val="2"/>
      <w:sz w:val="32"/>
      <w:lang w:val="en-US" w:eastAsia="zh-CN" w:bidi="ar-SA"/>
    </w:rPr>
  </w:style>
  <w:style w:type="paragraph" w:customStyle="1" w:styleId="31">
    <w:name w:val="样式 1 三号"/>
    <w:qFormat/>
    <w:uiPriority w:val="0"/>
    <w:pPr>
      <w:widowControl w:val="0"/>
      <w:spacing w:line="560" w:lineRule="exact"/>
      <w:jc w:val="both"/>
    </w:pPr>
    <w:rPr>
      <w:rFonts w:ascii="Times New Roman" w:hAnsi="Times New Roman" w:eastAsia="方正仿宋_GBK" w:cs="Times New Roman"/>
      <w:kern w:val="2"/>
      <w:sz w:val="32"/>
      <w:lang w:val="en-US" w:eastAsia="zh-CN" w:bidi="ar-SA"/>
    </w:rPr>
  </w:style>
  <w:style w:type="paragraph" w:customStyle="1" w:styleId="32">
    <w:name w:val="样式 18 10 磅"/>
    <w:qFormat/>
    <w:uiPriority w:val="0"/>
    <w:pPr>
      <w:widowControl w:val="0"/>
      <w:jc w:val="both"/>
    </w:pPr>
    <w:rPr>
      <w:rFonts w:ascii="Calibri" w:hAnsi="Calibri" w:eastAsia="宋体" w:cs="Arial"/>
      <w:kern w:val="2"/>
      <w:sz w:val="21"/>
      <w:szCs w:val="24"/>
      <w:lang w:val="en-US" w:eastAsia="zh-CN" w:bidi="ar-SA"/>
    </w:rPr>
  </w:style>
  <w:style w:type="paragraph" w:customStyle="1" w:styleId="33">
    <w:name w:val="样式 19 10 磅"/>
    <w:qFormat/>
    <w:uiPriority w:val="0"/>
    <w:pPr>
      <w:widowControl w:val="0"/>
      <w:jc w:val="both"/>
    </w:pPr>
    <w:rPr>
      <w:rFonts w:ascii="Calibri" w:hAnsi="Calibri" w:eastAsia="宋体" w:cs="Arial"/>
      <w:kern w:val="2"/>
      <w:sz w:val="21"/>
      <w:szCs w:val="24"/>
      <w:lang w:val="en-US" w:eastAsia="zh-CN" w:bidi="ar-SA"/>
    </w:rPr>
  </w:style>
  <w:style w:type="paragraph" w:customStyle="1" w:styleId="34">
    <w:name w:val="样式 20 10 磅"/>
    <w:qFormat/>
    <w:uiPriority w:val="0"/>
    <w:pPr>
      <w:widowControl w:val="0"/>
      <w:jc w:val="both"/>
    </w:pPr>
    <w:rPr>
      <w:rFonts w:ascii="Calibri" w:hAnsi="Calibri" w:eastAsia="宋体" w:cs="Arial"/>
      <w:kern w:val="2"/>
      <w:sz w:val="21"/>
      <w:szCs w:val="24"/>
      <w:lang w:val="en-US" w:eastAsia="zh-CN" w:bidi="ar-SA"/>
    </w:rPr>
  </w:style>
  <w:style w:type="paragraph" w:customStyle="1" w:styleId="35">
    <w:name w:val="样式 21 10 磅"/>
    <w:qFormat/>
    <w:uiPriority w:val="0"/>
    <w:pPr>
      <w:widowControl w:val="0"/>
      <w:jc w:val="both"/>
    </w:pPr>
    <w:rPr>
      <w:rFonts w:ascii="Calibri" w:hAnsi="Calibri" w:eastAsia="宋体" w:cs="Arial"/>
      <w:kern w:val="2"/>
      <w:sz w:val="21"/>
      <w:szCs w:val="24"/>
      <w:lang w:val="en-US" w:eastAsia="zh-CN" w:bidi="ar-SA"/>
    </w:rPr>
  </w:style>
  <w:style w:type="paragraph" w:customStyle="1" w:styleId="36">
    <w:name w:val="样式 22 10 磅"/>
    <w:qFormat/>
    <w:uiPriority w:val="0"/>
    <w:pPr>
      <w:widowControl w:val="0"/>
      <w:jc w:val="both"/>
    </w:pPr>
    <w:rPr>
      <w:rFonts w:ascii="Calibri" w:hAnsi="Calibri" w:eastAsia="宋体" w:cs="Arial"/>
      <w:kern w:val="2"/>
      <w:sz w:val="21"/>
      <w:szCs w:val="24"/>
      <w:lang w:val="en-US" w:eastAsia="zh-CN" w:bidi="ar-SA"/>
    </w:rPr>
  </w:style>
  <w:style w:type="paragraph" w:customStyle="1" w:styleId="37">
    <w:name w:val="样式 小四"/>
    <w:qFormat/>
    <w:uiPriority w:val="0"/>
    <w:pPr>
      <w:widowControl w:val="0"/>
    </w:pPr>
    <w:rPr>
      <w:rFonts w:ascii="宋体" w:hAnsi="Times New Roman" w:eastAsia="宋体" w:cs="Times New Roman"/>
      <w:kern w:val="2"/>
      <w:sz w:val="24"/>
      <w:szCs w:val="21"/>
      <w:lang w:val="en-US" w:eastAsia="zh-CN" w:bidi="ar-SA"/>
    </w:rPr>
  </w:style>
  <w:style w:type="paragraph" w:customStyle="1" w:styleId="38">
    <w:name w:val="样式 23 10 磅"/>
    <w:qFormat/>
    <w:uiPriority w:val="0"/>
    <w:pPr>
      <w:widowControl w:val="0"/>
      <w:jc w:val="both"/>
    </w:pPr>
    <w:rPr>
      <w:rFonts w:ascii="Calibri" w:hAnsi="Calibri" w:eastAsia="宋体" w:cs="Arial"/>
      <w:kern w:val="2"/>
      <w:sz w:val="21"/>
      <w:szCs w:val="24"/>
      <w:lang w:val="en-US" w:eastAsia="zh-CN" w:bidi="ar-SA"/>
    </w:rPr>
  </w:style>
  <w:style w:type="paragraph" w:customStyle="1" w:styleId="39">
    <w:name w:val="样式 24 10 磅"/>
    <w:qFormat/>
    <w:uiPriority w:val="0"/>
    <w:pPr>
      <w:widowControl w:val="0"/>
      <w:jc w:val="both"/>
    </w:pPr>
    <w:rPr>
      <w:rFonts w:ascii="Calibri" w:hAnsi="Calibri" w:eastAsia="宋体" w:cs="Arial"/>
      <w:kern w:val="2"/>
      <w:sz w:val="21"/>
      <w:szCs w:val="24"/>
      <w:lang w:val="en-US" w:eastAsia="zh-CN" w:bidi="ar-SA"/>
    </w:rPr>
  </w:style>
  <w:style w:type="paragraph" w:customStyle="1" w:styleId="40">
    <w:name w:val="样式 2 三号"/>
    <w:qFormat/>
    <w:uiPriority w:val="0"/>
    <w:pPr>
      <w:widowControl w:val="0"/>
      <w:spacing w:line="560" w:lineRule="exact"/>
      <w:jc w:val="both"/>
    </w:pPr>
    <w:rPr>
      <w:rFonts w:ascii="Times New Roman" w:hAnsi="Times New Roman" w:eastAsia="方正仿宋_GBK" w:cs="Times New Roman"/>
      <w:kern w:val="2"/>
      <w:sz w:val="32"/>
      <w:lang w:val="en-US" w:eastAsia="zh-CN" w:bidi="ar-SA"/>
    </w:rPr>
  </w:style>
  <w:style w:type="paragraph" w:customStyle="1" w:styleId="41">
    <w:name w:val="样式 3 三号"/>
    <w:qFormat/>
    <w:uiPriority w:val="0"/>
    <w:pPr>
      <w:widowControl w:val="0"/>
      <w:spacing w:line="560" w:lineRule="exact"/>
      <w:jc w:val="both"/>
    </w:pPr>
    <w:rPr>
      <w:rFonts w:ascii="Times New Roman" w:hAnsi="Times New Roman" w:eastAsia="方正仿宋_GBK" w:cs="Times New Roman"/>
      <w:kern w:val="2"/>
      <w:sz w:val="32"/>
      <w:lang w:val="en-US" w:eastAsia="zh-CN" w:bidi="ar-SA"/>
    </w:rPr>
  </w:style>
  <w:style w:type="paragraph" w:customStyle="1" w:styleId="42">
    <w:name w:val="样式 25 10 磅"/>
    <w:qFormat/>
    <w:uiPriority w:val="0"/>
    <w:pPr>
      <w:widowControl w:val="0"/>
      <w:jc w:val="both"/>
    </w:pPr>
    <w:rPr>
      <w:rFonts w:ascii="Calibri" w:hAnsi="Calibri" w:eastAsia="宋体" w:cs="Arial"/>
      <w:kern w:val="2"/>
      <w:sz w:val="21"/>
      <w:szCs w:val="24"/>
      <w:lang w:val="en-US" w:eastAsia="zh-CN" w:bidi="ar-SA"/>
    </w:rPr>
  </w:style>
  <w:style w:type="paragraph" w:customStyle="1" w:styleId="43">
    <w:name w:val="样式 26 10 磅"/>
    <w:qFormat/>
    <w:uiPriority w:val="0"/>
    <w:pPr>
      <w:widowControl w:val="0"/>
      <w:jc w:val="both"/>
    </w:pPr>
    <w:rPr>
      <w:rFonts w:ascii="Calibri" w:hAnsi="Calibri" w:eastAsia="宋体" w:cs="Arial"/>
      <w:kern w:val="2"/>
      <w:sz w:val="21"/>
      <w:szCs w:val="24"/>
      <w:lang w:val="en-US" w:eastAsia="zh-CN" w:bidi="ar-SA"/>
    </w:rPr>
  </w:style>
  <w:style w:type="paragraph" w:customStyle="1" w:styleId="44">
    <w:name w:val="样式 27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45">
    <w:name w:val="样式 28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46">
    <w:name w:val="样式 29 10 磅"/>
    <w:qFormat/>
    <w:uiPriority w:val="0"/>
    <w:pPr>
      <w:widowControl w:val="0"/>
      <w:jc w:val="both"/>
    </w:pPr>
    <w:rPr>
      <w:rFonts w:ascii="Calibri" w:hAnsi="Calibri" w:eastAsia="宋体" w:cs="Arial"/>
      <w:kern w:val="2"/>
      <w:sz w:val="21"/>
      <w:szCs w:val="24"/>
      <w:lang w:val="en-US" w:eastAsia="zh-CN" w:bidi="ar-SA"/>
    </w:rPr>
  </w:style>
  <w:style w:type="paragraph" w:customStyle="1" w:styleId="47">
    <w:name w:val="样式 30 10 磅"/>
    <w:qFormat/>
    <w:uiPriority w:val="0"/>
    <w:pPr>
      <w:widowControl w:val="0"/>
      <w:jc w:val="both"/>
    </w:pPr>
    <w:rPr>
      <w:rFonts w:ascii="Calibri" w:hAnsi="Calibri" w:eastAsia="宋体" w:cs="Arial"/>
      <w:kern w:val="2"/>
      <w:sz w:val="21"/>
      <w:szCs w:val="24"/>
      <w:lang w:val="en-US" w:eastAsia="zh-CN" w:bidi="ar-SA"/>
    </w:rPr>
  </w:style>
  <w:style w:type="paragraph" w:customStyle="1" w:styleId="48">
    <w:name w:val="样式 31 10 磅"/>
    <w:qFormat/>
    <w:uiPriority w:val="0"/>
    <w:pPr>
      <w:widowControl w:val="0"/>
      <w:jc w:val="both"/>
    </w:pPr>
    <w:rPr>
      <w:rFonts w:ascii="Calibri" w:hAnsi="Calibri" w:eastAsia="宋体" w:cs="Arial"/>
      <w:kern w:val="2"/>
      <w:sz w:val="21"/>
      <w:szCs w:val="24"/>
      <w:lang w:val="en-US" w:eastAsia="zh-CN" w:bidi="ar-SA"/>
    </w:rPr>
  </w:style>
  <w:style w:type="paragraph" w:customStyle="1" w:styleId="49">
    <w:name w:val="样式 32 10 磅"/>
    <w:qFormat/>
    <w:uiPriority w:val="0"/>
    <w:pPr>
      <w:widowControl w:val="0"/>
      <w:jc w:val="both"/>
    </w:pPr>
    <w:rPr>
      <w:rFonts w:ascii="Calibri" w:hAnsi="Calibri" w:eastAsia="宋体" w:cs="Arial"/>
      <w:kern w:val="2"/>
      <w:sz w:val="21"/>
      <w:szCs w:val="24"/>
      <w:lang w:val="en-US" w:eastAsia="zh-CN" w:bidi="ar-SA"/>
    </w:rPr>
  </w:style>
  <w:style w:type="paragraph" w:customStyle="1" w:styleId="50">
    <w:name w:val="Table Paragraph"/>
    <w:basedOn w:val="1"/>
    <w:qFormat/>
    <w:uiPriority w:val="1"/>
  </w:style>
  <w:style w:type="paragraph" w:customStyle="1" w:styleId="51">
    <w:name w:val="Revision"/>
    <w:hidden/>
    <w:unhideWhenUsed/>
    <w:qFormat/>
    <w:uiPriority w:val="99"/>
    <w:rPr>
      <w:rFonts w:ascii="Calibri" w:hAnsi="Calibri" w:eastAsia="宋体" w:cs="Arial"/>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4154</Words>
  <Characters>4321</Characters>
  <Lines>37</Lines>
  <Paragraphs>10</Paragraphs>
  <TotalTime>5</TotalTime>
  <ScaleCrop>false</ScaleCrop>
  <LinksUpToDate>false</LinksUpToDate>
  <CharactersWithSpaces>4365</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2025-05-16T10:09:00Z</dcterms:created>
  <dc:creator>阿牧古龙</dc:creator>
  <cp:lastModifiedBy>Lenovo</cp:lastModifiedBy>
  <cp:lastPrinted>2025-07-02T10:14:00Z</cp:lastPrinted>
  <dcterms:modified xsi:type="dcterms:W3CDTF">2025-10-21T02:27:53Z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3FA31E80E7354BC0ADD03C1108829782_13</vt:lpwstr>
  </property>
  <property fmtid="{D5CDD505-2E9C-101B-9397-08002B2CF9AE}" pid="4" name="KSOTemplateDocerSaveRecord">
    <vt:lpwstr>eyJoZGlkIjoiMjc5Mzg0YzE0NDViOThmZjE5ODBiOGI4YTJhY2MwNWYiLCJ1c2VySWQiOiI0MjY0OTk3NDEifQ==</vt:lpwstr>
  </property>
</Properties>
</file>