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tbl>
      <w:tblPr>
        <w:tblpPr w:leftFromText="180" w:rightFromText="180" w:vertAnchor="text" w:horzAnchor="page" w:tblpX="1074" w:tblpY="1747"/>
        <w:tblOverlap w:val="never"/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780"/>
        <w:gridCol w:w="1224"/>
        <w:gridCol w:w="6690"/>
        <w:gridCol w:w="749"/>
      </w:tblGrid>
      <w:tr>
        <w:trPr>
          <w:trHeight w:val="500"/>
        </w:trPr>
        <w:tc>
          <w:tcPr>
            <w:tcW w:w="47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78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评审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因素</w:t>
            </w:r>
          </w:p>
        </w:tc>
        <w:tc>
          <w:tcPr>
            <w:tcW w:w="7914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评审标准</w:t>
            </w:r>
          </w:p>
        </w:tc>
        <w:tc>
          <w:tcPr>
            <w:tcW w:w="74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分值</w:t>
            </w:r>
          </w:p>
        </w:tc>
      </w:tr>
      <w:tr>
        <w:trPr>
          <w:trHeight w:val="932"/>
        </w:trPr>
        <w:tc>
          <w:tcPr>
            <w:tcW w:w="47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8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报价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10分</w:t>
            </w:r>
          </w:p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报价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得分</w:t>
            </w:r>
          </w:p>
        </w:tc>
        <w:tc>
          <w:tcPr>
            <w:tcW w:w="6690" w:type="dxa"/>
            <w:tcBorders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供应商报价得分＝（评审基准价/供应商报价）×价格分值【注：满足比选文件要求且供应商报价最低的投标报价为评审基准价。】最低报价不是中标的唯一依据。</w:t>
            </w:r>
          </w:p>
        </w:tc>
        <w:tc>
          <w:tcPr>
            <w:tcW w:w="749" w:type="dxa"/>
            <w:tcBorders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10分</w:t>
            </w:r>
          </w:p>
        </w:tc>
      </w:tr>
      <w:tr>
        <w:trPr>
          <w:trHeight w:val="1975"/>
        </w:trPr>
        <w:tc>
          <w:tcPr>
            <w:tcW w:w="47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80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商务部分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20分</w:t>
            </w:r>
          </w:p>
        </w:tc>
        <w:tc>
          <w:tcPr>
            <w:tcW w:w="1224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类似项目业绩</w:t>
            </w:r>
          </w:p>
        </w:tc>
        <w:tc>
          <w:tcPr>
            <w:tcW w:w="669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供应商提供</w:t>
            </w:r>
            <w:r>
              <w:rPr>
                <w:rFonts w:hint="eastAsia"/>
                <w:sz w:val="24"/>
                <w:highlight w:val="yellow"/>
              </w:rPr>
              <w:t>202</w:t>
            </w:r>
            <w:r>
              <w:rPr>
                <w:rFonts w:hint="eastAsia"/>
                <w:sz w:val="24"/>
                <w:lang w:val="en-US" w:eastAsia="zh-CN"/>
                <w:highlight w:val="yellow"/>
              </w:rPr>
              <w:t>3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月1日起至今（以合同签订日期为准）承担过的类似项目的检测业绩。</w:t>
            </w:r>
          </w:p>
          <w:p>
            <w:pPr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每提供1项有效业绩得5分，最高得20分。</w:t>
            </w:r>
          </w:p>
          <w:p>
            <w:pPr>
              <w:adjustRightInd w:val="0"/>
              <w:snapToGrid w:val="0"/>
              <w:spacing w:line="360" w:lineRule="exact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（提供合同首页、服务内容页、金额页、盖章页等关键页面）。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20分</w:t>
            </w:r>
          </w:p>
        </w:tc>
      </w:tr>
      <w:tr>
        <w:trPr>
          <w:trHeight w:val="686"/>
        </w:trPr>
        <w:tc>
          <w:tcPr>
            <w:tcW w:w="475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780" w:type="dxa"/>
            <w:vMerge w:val="restart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技术部分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70分</w:t>
            </w:r>
          </w:p>
        </w:tc>
        <w:tc>
          <w:tcPr>
            <w:tcW w:w="1224" w:type="dxa"/>
            <w:vAlign w:val="center"/>
          </w:tcPr>
          <w:p>
            <w:pPr>
              <w:snapToGrid w:val="0"/>
              <w:ind w:firstLineChars="2" w:firstLine="5"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服务方案</w:t>
            </w:r>
          </w:p>
        </w:tc>
        <w:tc>
          <w:tcPr>
            <w:tcW w:w="6690" w:type="dxa"/>
            <w:vAlign w:val="center"/>
          </w:tcPr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根据项目的工作内容及比选需求等因素，提供详细的服务方案。</w:t>
            </w:r>
          </w:p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服务方案流程详细、具体、合理、工作部署全面得10-20分（含）；</w:t>
            </w:r>
          </w:p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服务方案流程较为详细具体、工作部署一般得5-10分（含）；</w:t>
            </w:r>
          </w:p>
          <w:p>
            <w:pPr>
              <w:snapToGrid w:val="0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服务方案流程简单、不合理得0-5分（含）。</w:t>
            </w:r>
          </w:p>
        </w:tc>
        <w:tc>
          <w:tcPr>
            <w:tcW w:w="749" w:type="dxa"/>
            <w:tcBorders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20分</w:t>
            </w:r>
          </w:p>
        </w:tc>
      </w:tr>
      <w:tr>
        <w:trPr>
          <w:trHeight w:val="910"/>
        </w:trPr>
        <w:tc>
          <w:tcPr>
            <w:tcW w:w="475" w:type="dxa"/>
            <w:vMerge/>
            <w:vAlign w:val="center"/>
          </w:tcPr>
          <w:p/>
        </w:tc>
        <w:tc>
          <w:tcPr>
            <w:tcW w:w="780" w:type="dxa"/>
            <w:vMerge/>
            <w:vAlign w:val="center"/>
          </w:tcPr>
          <w:p/>
        </w:tc>
        <w:tc>
          <w:tcPr>
            <w:tcW w:w="1224" w:type="dxa"/>
            <w:tcBorders>
              <w:bottom w:val="single" w:sz="4" w:space="0" w:color="auto"/>
            </w:tcBorders>
            <w:vAlign w:val="center"/>
          </w:tcPr>
          <w:p>
            <w:pPr>
              <w:snapToGrid w:val="0"/>
              <w:ind w:firstLineChars="2" w:firstLine="5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拟投入设施、设备</w:t>
            </w:r>
          </w:p>
        </w:tc>
        <w:tc>
          <w:tcPr>
            <w:tcW w:w="6690" w:type="dxa"/>
            <w:tcBorders>
              <w:bottom w:val="single" w:sz="4" w:space="0" w:color="auto"/>
            </w:tcBorders>
            <w:vAlign w:val="center"/>
          </w:tcPr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根据项目拟投入设备齐全、配置全面合理得15-20分（含）；</w:t>
            </w:r>
          </w:p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拟投入设备基本齐全、配置比较全面合理得5-15分（含）；</w:t>
            </w:r>
          </w:p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拟投入设备不齐全、配置有欠缺得0-5分（含）。</w:t>
            </w:r>
          </w:p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/>
                <w:sz w:val="24"/>
              </w:rPr>
              <w:t>注：需提供设备清单及相应照片</w:t>
            </w:r>
          </w:p>
        </w:tc>
        <w:tc>
          <w:tcPr>
            <w:tcW w:w="749" w:type="dxa"/>
            <w:tcBorders>
              <w:bottom w:val="single" w:sz="4" w:space="0" w:color="auto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20分</w:t>
            </w:r>
          </w:p>
        </w:tc>
      </w:tr>
      <w:tr>
        <w:trPr>
          <w:trHeight w:val="1004"/>
        </w:trPr>
        <w:tc>
          <w:tcPr>
            <w:tcW w:w="475" w:type="dxa"/>
            <w:vMerge/>
            <w:vAlign w:val="center"/>
          </w:tcPr>
          <w:p/>
        </w:tc>
        <w:tc>
          <w:tcPr>
            <w:tcW w:w="780" w:type="dxa"/>
            <w:vMerge/>
            <w:vAlign w:val="center"/>
          </w:tcPr>
          <w:p/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ind w:firstLineChars="2" w:firstLine="5"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拟派项目组的组织框架结构</w:t>
            </w:r>
          </w:p>
        </w:tc>
        <w:tc>
          <w:tcPr>
            <w:tcW w:w="6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拟派人员职责分工明确，组织管理措施得当，对团队人员的稳定性的保证措施得当，得15-20分（含）；</w:t>
            </w:r>
          </w:p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拟派人员职责分工较为明确，组织管理措施较为得当，对团队人员的稳定性的保证措施基本得当，得5-15分（含）；</w:t>
            </w:r>
          </w:p>
          <w:p>
            <w:pPr>
              <w:snapToGrid w:val="0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拟派人员职责分工不明确，组织管理措施不当，对团队人员的稳定性的保证措施不当，得0-5分（含）。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20分</w:t>
            </w:r>
          </w:p>
        </w:tc>
      </w:tr>
      <w:tr>
        <w:trPr>
          <w:trHeight w:val="854"/>
        </w:trPr>
        <w:tc>
          <w:tcPr>
            <w:tcW w:w="475" w:type="dxa"/>
            <w:vMerge/>
            <w:vAlign w:val="center"/>
          </w:tcPr>
          <w:p/>
        </w:tc>
        <w:tc>
          <w:tcPr>
            <w:tcW w:w="780" w:type="dxa"/>
            <w:vMerge/>
            <w:vAlign w:val="center"/>
          </w:tcPr>
          <w:p/>
        </w:tc>
        <w:tc>
          <w:tcPr>
            <w:tcW w:w="12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保密措施及合理化建议</w:t>
            </w:r>
          </w:p>
        </w:tc>
        <w:tc>
          <w:tcPr>
            <w:tcW w:w="66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针对本项目采取的保密措施周密、提出的合理化建议针对性强，得5-10分（含）；</w:t>
            </w:r>
          </w:p>
          <w:p>
            <w:pPr>
              <w:snapToGrid w:val="0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针对本项目采取的保密措施符合要求、提出的合理化建议可行，得3-5分（含）；</w:t>
            </w:r>
          </w:p>
          <w:p>
            <w:pPr>
              <w:snapToGrid w:val="0"/>
              <w:rPr>
                <w:sz w:val="24"/>
              </w:rPr>
            </w:pPr>
            <w:r>
              <w:rPr>
                <w:rFonts w:hint="eastAsia"/>
                <w:bCs/>
                <w:sz w:val="24"/>
              </w:rPr>
              <w:t>针对本项目采取的保密措施不完善、提出的合理化建议可行性一般，得0-3分（含）。</w:t>
            </w:r>
          </w:p>
        </w:tc>
        <w:tc>
          <w:tcPr>
            <w:tcW w:w="7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10分</w:t>
            </w:r>
          </w:p>
        </w:tc>
      </w:tr>
    </w:tbl>
    <w:p>
      <w:pPr>
        <w:pStyle w:val="17"/>
        <w:ind w:firstLineChars="0" w:firstLine="0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附件2</w:t>
      </w:r>
    </w:p>
    <w:p>
      <w:pPr>
        <w:ind w:firstLine="0"/>
        <w:jc w:val="center"/>
        <w:rPr>
          <w:sz w:val="44"/>
          <w:szCs w:val="44"/>
        </w:rPr>
      </w:pPr>
      <w:r>
        <w:rPr>
          <w:rFonts w:ascii="宋体" w:eastAsia="宋体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44"/>
          <w:szCs w:val="44"/>
          <w:u w:val="none"/>
          <w:shd w:val="clear" w:color="auto" w:fill="FFFFFF"/>
        </w:rPr>
        <w:t>01包</w:t>
      </w:r>
      <w:r>
        <w:rPr>
          <w:rFonts w:ascii="宋体" w:eastAsia="宋体" w:hint="eastAsia"/>
          <w:b w:val="0"/>
          <w:bCs w:val="0"/>
          <w:i w:val="0"/>
          <w:iCs w:val="0"/>
          <w:caps w:val="0"/>
          <w:smallCaps w:val="0"/>
          <w:strike w:val="0"/>
          <w:dstrike w:val="0"/>
          <w:color w:val="000000"/>
          <w:spacing w:val="0"/>
          <w:sz w:val="44"/>
          <w:szCs w:val="44"/>
          <w:u w:val="none"/>
          <w:shd w:val="clear" w:color="auto" w:fill="FFFFFF"/>
        </w:rPr>
        <w:t>综合评分法评审原则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Arial">
    <w:panose1 w:val="020B0604020202020204"/>
    <w:charset w:val="01"/>
    <w:family w:val="swiss"/>
    <w:pitch w:val="variable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2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doNotUseIndentAsNumberingTabStop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Normal Indent"/>
    <w:basedOn w:val="0"/>
    <w:pPr>
      <w:ind w:firstLineChars="200" w:firstLine="200"/>
    </w:pPr>
  </w:style>
  <w:style w:type="paragraph" w:styleId="16">
    <w:name w:val="annotation text"/>
    <w:basedOn w:val="0"/>
    <w:pPr>
      <w:jc w:val="left"/>
    </w:pPr>
  </w:style>
  <w:style w:type="paragraph" w:customStyle="1" w:styleId="17">
    <w:name w:val="NormalIndent"/>
    <w:next w:val="0"/>
    <w:pPr>
      <w:widowControl w:val="0"/>
      <w:ind w:firstLineChars="200" w:firstLine="20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character" w:styleId="18">
    <w:name w:val="Hyperlink"/>
    <w:rPr>
      <w:color w:val="0000FF"/>
      <w:u w:val="single"/>
    </w:rPr>
  </w:style>
  <w:style w:type="paragraph" w:customStyle="1" w:styleId="19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27</TotalTime>
  <Application>Yozo_Office</Application>
  <Pages>1</Pages>
  <Words>3</Words>
  <Characters>4</Characters>
  <Lines>1</Lines>
  <Paragraphs>0</Paragraphs>
  <CharactersWithSpaces>4</CharactersWithSpaces>
  <Company>Administrator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办公账号</dc:creator>
  <cp:lastModifiedBy>李雪俊</cp:lastModifiedBy>
  <cp:revision>9</cp:revision>
  <dcterms:created xsi:type="dcterms:W3CDTF">2025-03-30T09:20:00Z</dcterms:created>
  <dcterms:modified xsi:type="dcterms:W3CDTF">2025-10-28T08:09:21Z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2052-12.1.0.20784</vt:lpwstr>
  </property>
  <property fmtid="{D5CDD505-2E9C-101B-9397-08002B2CF9AE}" pid="3" name="ICV">
    <vt:lpwstr>607D06DF293B40B782BDE7797CB46394_11</vt:lpwstr>
  </property>
  <property fmtid="{D5CDD505-2E9C-101B-9397-08002B2CF9AE}" pid="4" name="KSOTemplateDocerSaveRecord">
    <vt:lpwstr>eyJoZGlkIjoiMzBhMzE5N2M3MDRlNGY1YWRjODhhZjI2MmExYmU0NDIifQ==</vt:lpwstr>
  </property>
</Properties>
</file>