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方正黑体_GBK" w:eastAsia="方正黑体_GBK" w:hint="eastAsia"/>
          <w:color w:val="auto"/>
          <w:sz w:val="32"/>
          <w:szCs w:val="32"/>
          <w:highlight w:val="auto"/>
        </w:rPr>
      </w:pPr>
      <w:r>
        <w:rPr>
          <w:rFonts w:ascii="方正黑体_GBK" w:eastAsia="方正黑体_GBK" w:hint="eastAsia"/>
          <w:color w:val="auto"/>
          <w:sz w:val="32"/>
          <w:szCs w:val="32"/>
          <w:highlight w:val="auto"/>
        </w:rPr>
        <w:t>附件5</w:t>
      </w:r>
    </w:p>
    <w:p>
      <w:pPr>
        <w:pStyle w:val="2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44"/>
          <w:szCs w:val="44"/>
          <w:u w:val="none"/>
          <w:shd w:val="clear" w:color="auto" w:fill="FFFFFF"/>
        </w:rPr>
        <w:t>02包综合评分法评审原则</w:t>
      </w:r>
    </w:p>
    <w:tbl>
      <w:tblPr>
        <w:tblpPr w:leftFromText="180" w:rightFromText="180" w:vertAnchor="text" w:horzAnchor="page" w:tblpX="1814" w:tblpY="135"/>
        <w:tblOverlap w:val="never"/>
        <w:tblW w:w="4994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6520"/>
        <w:gridCol w:w="696"/>
      </w:tblGrid>
      <w:tr>
        <w:trPr>
          <w:cantSplit/>
          <w:trHeight w:val="408"/>
        </w:trPr>
        <w:tc>
          <w:tcPr>
            <w:tcW w:w="894" w:type="pct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auto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auto"/>
              </w:rPr>
              <w:t>评分因素</w:t>
            </w:r>
          </w:p>
        </w:tc>
        <w:tc>
          <w:tcPr>
            <w:tcW w:w="3590" w:type="pct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highlight w:val="auto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auto"/>
              </w:rPr>
              <w:t>评  分  标  准</w:t>
            </w:r>
          </w:p>
        </w:tc>
        <w:tc>
          <w:tcPr>
            <w:tcW w:w="515" w:type="pct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auto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auto"/>
              </w:rPr>
              <w:t>分值</w:t>
            </w:r>
          </w:p>
        </w:tc>
      </w:tr>
      <w:tr>
        <w:trPr>
          <w:cantSplit/>
          <w:trHeight w:val="409"/>
        </w:trPr>
        <w:tc>
          <w:tcPr>
            <w:tcW w:w="894" w:type="pct"/>
            <w:vMerge/>
            <w:noWrap/>
            <w:vAlign w:val="center"/>
          </w:tcPr>
          <w:p/>
        </w:tc>
        <w:tc>
          <w:tcPr>
            <w:tcW w:w="3590" w:type="pct"/>
            <w:vMerge/>
            <w:noWrap/>
            <w:vAlign w:val="center"/>
          </w:tcPr>
          <w:p/>
        </w:tc>
        <w:tc>
          <w:tcPr>
            <w:tcW w:w="515" w:type="pct"/>
            <w:vMerge/>
            <w:noWrap/>
            <w:vAlign w:val="center"/>
          </w:tcPr>
          <w:p/>
        </w:tc>
      </w:tr>
      <w:tr>
        <w:trPr>
          <w:cantSplit/>
          <w:trHeight w:val="460"/>
        </w:trPr>
        <w:tc>
          <w:tcPr>
            <w:tcW w:w="894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auto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auto"/>
              </w:rPr>
              <w:t xml:space="preserve">投标报价 </w:t>
            </w:r>
          </w:p>
        </w:tc>
        <w:tc>
          <w:tcPr>
            <w:tcW w:w="359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eastAsia="宋体" w:cs="宋体" w:hint="eastAsia"/>
                <w:color w:val="auto"/>
                <w:sz w:val="24"/>
                <w:szCs w:val="24"/>
                <w:highlight w:val="auto"/>
              </w:rPr>
            </w:pPr>
            <w:r>
              <w:rPr>
                <w:rFonts w:ascii="Times New Roman" w:eastAsia="宋体" w:cs="Times New Roman" w:hAnsi="Times New Roman" w:hint="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供应商报价得分＝（评审基准价/供应商报价）×价格分值【注：满足比选文件要求且供应商报价最低的投标报价为评审基准价。】最低报价不是中标的唯一依据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highlight w:val="auto"/>
              </w:rPr>
              <w:t>。</w:t>
            </w:r>
          </w:p>
        </w:tc>
        <w:tc>
          <w:tcPr>
            <w:tcW w:w="515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eastAsia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  <w:highlight w:val="auto"/>
              </w:rPr>
              <w:t>10</w:t>
            </w:r>
          </w:p>
        </w:tc>
      </w:tr>
      <w:tr>
        <w:trPr>
          <w:cantSplit/>
          <w:trHeight w:val="6074"/>
        </w:trPr>
        <w:tc>
          <w:tcPr>
            <w:tcW w:w="894" w:type="pct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auto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auto"/>
              </w:rPr>
              <w:t>技术部分</w:t>
            </w:r>
          </w:p>
        </w:tc>
        <w:tc>
          <w:tcPr>
            <w:tcW w:w="359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整体服务方案（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30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分）：根据投标人针对本项目提供的整体服务方案进行评审：①日常维保计划；②服务工作流程；③巡检方案；④重要零部件的维修与更换；⑤专业技术能力；⑥维护保养难点的阐述及解决措施；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针对以上6项内容进行评审 ，每项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5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分，最高得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30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分。每缺少一项内容扣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5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分，每项中每存在一处缺陷扣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分，最多扣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5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分。（注：“缺陷”指以下任意一种情形：内</w:t>
            </w:r>
            <w:bookmarkStart w:id="0" w:name="_GoBack"/>
            <w:bookmarkEnd w:id="0"/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515" w:type="pct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eastAsia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  <w:highlight w:val="auto"/>
              </w:rPr>
              <w:t>75</w:t>
            </w:r>
          </w:p>
        </w:tc>
      </w:tr>
      <w:tr>
        <w:trPr>
          <w:cantSplit/>
          <w:trHeight w:val="599"/>
        </w:trPr>
        <w:tc>
          <w:tcPr>
            <w:tcW w:w="894" w:type="pct"/>
            <w:vMerge/>
            <w:noWrap/>
            <w:vAlign w:val="center"/>
          </w:tcPr>
          <w:p/>
        </w:tc>
        <w:tc>
          <w:tcPr>
            <w:tcW w:w="3590" w:type="pct"/>
            <w:shd w:val="clear" w:color="auto" w:fill="auto"/>
            <w:noWrap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Chars="0" w:firstLine="0"/>
              <w:textAlignment w:val="auto"/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根据投标人针对本项目提供的安全作业保障方案进行评审：①安全管理措施；②安全文明措施；③安全维护；④现场秩序保障；</w:t>
            </w:r>
          </w:p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Chars="0" w:firstLine="0"/>
              <w:textAlignment w:val="auto"/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针对以上4项内容进行评审 ，每项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5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分，最高得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20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分。每缺少一项内容扣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5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分，每项中每存在一处缺陷扣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1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分，最多扣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5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 w:bidi="ar-SA"/>
                <w:highlight w:val="auto"/>
              </w:rPr>
              <w:t>分。（注：“缺陷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515" w:type="pct"/>
            <w:vMerge/>
            <w:noWrap/>
            <w:vAlign w:val="center"/>
          </w:tcPr>
          <w:p/>
        </w:tc>
      </w:tr>
      <w:tr>
        <w:trPr>
          <w:cantSplit/>
          <w:trHeight w:val="1208"/>
        </w:trPr>
        <w:tc>
          <w:tcPr>
            <w:tcW w:w="894" w:type="pct"/>
            <w:vMerge/>
            <w:noWrap/>
            <w:vAlign w:val="center"/>
          </w:tcPr>
          <w:p/>
        </w:tc>
        <w:tc>
          <w:tcPr>
            <w:tcW w:w="3590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根据投标人针对本项目提供的服务质量控制方案进行评审：①服务质量保证方案；②服务标准；③质量控制流程；④技术支撑能力保障；⑤服务响应与处理方案。</w:t>
            </w:r>
          </w:p>
          <w:p>
            <w:pPr>
              <w:spacing w:line="360" w:lineRule="auto"/>
              <w:rPr>
                <w:rFonts w:ascii="宋体" w:eastAsia="宋体" w:cs="宋体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针对以上5项内容进行评审 ，每项3分，最高得15分。每缺少一项内容扣3分，每项中每存在一处缺陷扣1分，最多扣3分。 （注：“缺陷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515" w:type="pct"/>
            <w:vMerge/>
            <w:noWrap/>
            <w:vAlign w:val="center"/>
          </w:tcPr>
          <w:p/>
        </w:tc>
      </w:tr>
      <w:tr>
        <w:trPr>
          <w:cantSplit/>
          <w:trHeight w:val="1208"/>
        </w:trPr>
        <w:tc>
          <w:tcPr>
            <w:tcW w:w="894" w:type="pct"/>
            <w:vMerge/>
            <w:noWrap/>
            <w:vAlign w:val="center"/>
          </w:tcPr>
          <w:p/>
        </w:tc>
        <w:tc>
          <w:tcPr>
            <w:tcW w:w="359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根据投标人针对本项目提供的项目管理机构进行评审：①人员配备；②工作岗位分工、职责、班次安排；③业务范围和工作内容；④服务团队专业能力；⑤工作标准、工作记录及档案管理；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eastAsia="宋体" w:cs="宋体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针对以上5项内容进行评审 ，每项2分，最高得10分。每缺少一项内容扣2分，每项中每存在一处缺陷扣1分，最多扣2分。 （注：“缺陷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515" w:type="pct"/>
            <w:vMerge/>
            <w:noWrap/>
            <w:vAlign w:val="center"/>
          </w:tcPr>
          <w:p/>
        </w:tc>
      </w:tr>
      <w:tr>
        <w:trPr>
          <w:cantSplit/>
          <w:trHeight w:val="1650"/>
        </w:trPr>
        <w:tc>
          <w:tcPr>
            <w:tcW w:w="894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auto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auto"/>
              </w:rPr>
              <w:t>商务部分</w:t>
            </w:r>
          </w:p>
        </w:tc>
        <w:tc>
          <w:tcPr>
            <w:tcW w:w="359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eastAsia="宋体" w:cs="宋体" w:hint="eastAsia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业绩：投标人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提供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yellow"/>
              </w:rPr>
              <w:t>202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/>
                <w:highlight w:val="yellow"/>
              </w:rPr>
              <w:t>3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年</w:t>
            </w:r>
            <w:r>
              <w:rPr>
                <w:rFonts w:ascii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</w:t>
            </w:r>
            <w:r>
              <w:rPr>
                <w:rFonts w:ascii="宋体" w:eastAsia="宋体"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 xml:space="preserve">月1日至今同类项目业绩（提供合同复印件并加盖公章，应至少提供合同首页、合同关键内容页、签字盖章页，否则不得分，以合同签订日期为准)每提供一份得5分， 满分15分。 </w:t>
            </w:r>
          </w:p>
        </w:tc>
        <w:tc>
          <w:tcPr>
            <w:tcW w:w="515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eastAsia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  <w:highlight w:val="auto"/>
              </w:rPr>
              <w:t>15</w:t>
            </w:r>
          </w:p>
        </w:tc>
      </w:tr>
      <w:tr>
        <w:trPr>
          <w:cantSplit/>
          <w:trHeight w:val="460"/>
        </w:trPr>
        <w:tc>
          <w:tcPr>
            <w:tcW w:w="5000" w:type="pct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auto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auto"/>
              </w:rPr>
              <w:t>最后得分（满分100）</w:t>
            </w:r>
          </w:p>
        </w:tc>
      </w:tr>
    </w:tbl>
    <w:p/>
    <w:p>
      <w:pPr>
        <w:pStyle w:val="17"/>
        <w:ind w:left="0" w:firstLineChars="0" w:firstLine="0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2"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2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</w:style>
  <w:style w:type="paragraph" w:styleId="16">
    <w:name w:val="annotation text"/>
    <w:basedOn w:val="0"/>
    <w:pPr>
      <w:jc w:val="left"/>
    </w:pPr>
  </w:style>
  <w:style w:type="paragraph" w:customStyle="1" w:styleId="17">
    <w:name w:val="NormalIndent"/>
    <w:next w:val="0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styleId="86">
    <w:name w:val="Hyperlink"/>
    <w:rPr>
      <w:color w:val="0000FF"/>
      <w:u w:val="single"/>
    </w:rPr>
  </w:style>
  <w:style w:type="paragraph" w:customStyle="1" w:styleId="124">
    <w:name w:val="样式 小四"/>
    <w:pPr>
      <w:widowControl w:val="0"/>
      <w:spacing w:line="240" w:lineRule="auto"/>
      <w:jc w:val="left"/>
    </w:pPr>
    <w:rPr>
      <w:rFonts w:ascii="宋体" w:eastAsia="宋体"/>
      <w:kern w:val="2"/>
      <w:sz w:val="24"/>
      <w:szCs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3</Pages>
  <Words>1322</Words>
  <Characters>1337</Characters>
  <Lines>66</Lines>
  <Paragraphs>22</Paragraphs>
  <CharactersWithSpaces>1352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办公账号</dc:creator>
  <cp:lastModifiedBy>李雪俊</cp:lastModifiedBy>
  <cp:revision>1</cp:revision>
  <dcterms:created xsi:type="dcterms:W3CDTF">2025-03-30T09:20:00Z</dcterms:created>
  <dcterms:modified xsi:type="dcterms:W3CDTF">2025-10-28T08:08:37Z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1352B03B8DBC47E4A62720F87B1804F8_13</vt:lpwstr>
  </property>
  <property fmtid="{D5CDD505-2E9C-101B-9397-08002B2CF9AE}" pid="4" name="KSOTemplateDocerSaveRecord">
    <vt:lpwstr>eyJoZGlkIjoiYWU5OGI4MmI0NzAwMTkzNjYzYTBhYzYyNWYzZTc0ZTkiLCJ1c2VySWQiOiI3NjY4NTA5MDcifQ==</vt:lpwstr>
  </property>
</Properties>
</file>