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方正黑体_GBK" w:eastAsia="方正黑体_GBK" w:cs="方正小标宋_GBK" w:hint="eastAsia"/>
          <w:sz w:val="32"/>
          <w:szCs w:val="32"/>
        </w:rPr>
      </w:pPr>
      <w:r>
        <w:rPr>
          <w:rFonts w:ascii="方正黑体_GBK" w:eastAsia="方正黑体_GBK" w:cs="方正小标宋_GBK" w:hint="eastAsia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  <w:r>
        <w:rPr>
          <w:rFonts w:ascii="方正小标宋_GBK" w:eastAsia="方正小标宋_GBK" w:cs="方正小标宋_GBK"/>
          <w:sz w:val="44"/>
          <w:szCs w:val="44"/>
        </w:rPr>
        <w:t>表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bookmarkEnd w:id="0"/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二连海关缉私分局打击走私综合治理宣传视频</w:t>
            </w:r>
          </w:p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采购项目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二连海关缉私分局办公室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44000.00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√最低价法</w:t>
            </w:r>
          </w:p>
          <w:p>
            <w:pPr>
              <w:spacing w:line="3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3821"/>
        </w:trPr>
        <w:tc>
          <w:tcPr>
            <w:tcW w:w="2198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3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2.具有良好商业信誉和健全的财务会计制度。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3.具有履行合同所必需的设备和专业技术能力。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4.有依法缴纳税收和社会保障资金的良好记录。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5.参加政府采购前三年内，在经营中没有重大违法记录。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6.具有视频音像制作资质。</w:t>
            </w:r>
          </w:p>
          <w:p>
            <w:pPr>
              <w:spacing w:line="3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7.未被列入失信被执行人、税收违法黑名单、政府采购严重违法失信行为记录名单和法律、行政法规规定的其他条件。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1.工期：4天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2.其他要求：详见打击走私综合治理宣传视频制作要求（需现场获取，因工作要求不能进行互联网公示）</w:t>
            </w:r>
          </w:p>
        </w:tc>
      </w:tr>
      <w:tr>
        <w:trPr>
          <w:trHeight w:val="485"/>
        </w:trPr>
        <w:tc>
          <w:tcPr>
            <w:tcW w:w="2198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评审方法按照最低价法。</w:t>
            </w:r>
          </w:p>
        </w:tc>
      </w:tr>
    </w:tbl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315</TotalTime>
  <Application>Yozo_Office</Application>
  <Pages>1</Pages>
  <Words>8</Words>
  <Characters>8</Characters>
  <Lines>1</Lines>
  <Paragraphs>1</Paragraphs>
  <CharactersWithSpaces>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2025-11-10T09:23:47Z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