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left"/>
        <w:rPr>
          <w:rFonts w:ascii="方正黑体_GBK" w:eastAsia="方正黑体_GBK" w:cs="方正小标宋_GBK" w:hint="eastAsia"/>
          <w:sz w:val="32"/>
          <w:szCs w:val="32"/>
        </w:rPr>
      </w:pPr>
      <w:bookmarkStart w:id="0" w:name="_GoBack"/>
      <w:r>
        <w:rPr>
          <w:rFonts w:ascii="方正黑体_GBK" w:eastAsia="方正黑体_GBK" w:cs="方正小标宋_GBK" w:hint="eastAsia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bookmarkEnd w:id="0"/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6852"/>
      </w:tblGrid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楷体_GBK" w:cs="方正楷体_GBK" w:hAnsi="Times New Roman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项目名称</w:t>
            </w:r>
          </w:p>
        </w:tc>
        <w:tc>
          <w:tcPr>
            <w:tcW w:w="685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二连海关网站运维项目</w:t>
            </w:r>
          </w:p>
        </w:tc>
      </w:tr>
      <w:t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采购预算</w:t>
            </w:r>
          </w:p>
        </w:tc>
        <w:tc>
          <w:tcPr>
            <w:tcW w:w="685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50,000.00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评审方法</w:t>
            </w:r>
          </w:p>
        </w:tc>
        <w:tc>
          <w:tcPr>
            <w:tcW w:w="6852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sym w:font="Wingdings 2" w:char="52"/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最低价法</w:t>
            </w:r>
          </w:p>
          <w:p>
            <w:pPr>
              <w:spacing w:line="40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sym w:font="Wingdings 2" w:char="A3"/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综合评分法</w:t>
            </w:r>
          </w:p>
        </w:tc>
      </w:tr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楷体_GBK" w:cs="方正楷体_GBK" w:hAnsi="Times New Roman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1551"/>
        </w:trP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说明</w:t>
            </w:r>
          </w:p>
        </w:tc>
        <w:tc>
          <w:tcPr>
            <w:tcW w:w="685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</w:tc>
      </w:tr>
      <w:tr>
        <w:trPr>
          <w:trHeight w:val="2337"/>
        </w:trP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资格条件</w:t>
            </w:r>
          </w:p>
        </w:tc>
        <w:tc>
          <w:tcPr>
            <w:tcW w:w="6852" w:type="dxa"/>
          </w:tcPr>
          <w:p>
            <w:pPr>
              <w:spacing w:line="400" w:lineRule="exac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</w:p>
          <w:p>
            <w:pPr>
              <w:pStyle w:val="61"/>
              <w:spacing w:line="400" w:lineRule="exact"/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1.具有独立法人资格，能够承担本项目实施；</w:t>
            </w:r>
          </w:p>
          <w:p>
            <w:pPr>
              <w:spacing w:line="400" w:lineRule="exac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2.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提供其他书面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资质证明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材料，包括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：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工商营业执照或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三合一证照复印件、法人授权书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、具备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独立承担本项目实施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能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力承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诺书。</w:t>
            </w:r>
          </w:p>
        </w:tc>
      </w:tr>
      <w:tr>
        <w:trPr>
          <w:trHeight w:val="4045"/>
        </w:trP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实质性需求</w:t>
            </w:r>
          </w:p>
        </w:tc>
        <w:tc>
          <w:tcPr>
            <w:tcW w:w="6852" w:type="dxa"/>
          </w:tcPr>
          <w:p>
            <w:pPr>
              <w:spacing w:line="400" w:lineRule="exact"/>
              <w:ind w:left="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bCs/>
                <w:sz w:val="28"/>
                <w:szCs w:val="28"/>
              </w:rPr>
              <w:t>【</w:t>
            </w:r>
            <w:r>
              <w:rPr>
                <w:rFonts w:ascii="方正仿宋_GBK" w:eastAsia="方正仿宋_GBK" w:cs="方正仿宋_GBK" w:hint="eastAsia"/>
                <w:bCs/>
                <w:sz w:val="28"/>
                <w:szCs w:val="28"/>
                <w:lang w:val="en-US" w:eastAsia="zh-CN"/>
              </w:rPr>
              <w:t>以下内容需</w:t>
            </w:r>
            <w:r>
              <w:rPr>
                <w:rFonts w:ascii="方正仿宋_GBK" w:eastAsia="方正仿宋_GBK" w:cs="方正仿宋_GBK"/>
                <w:bCs/>
                <w:sz w:val="28"/>
                <w:szCs w:val="28"/>
              </w:rPr>
              <w:t>提供承诺函</w:t>
            </w:r>
            <w:r>
              <w:rPr>
                <w:rFonts w:ascii="方正仿宋_GBK" w:eastAsia="方正仿宋_GBK" w:cs="方正仿宋_GBK" w:hint="eastAsia"/>
                <w:bCs/>
                <w:sz w:val="28"/>
                <w:szCs w:val="28"/>
                <w:lang w:eastAsia="zh-CN"/>
              </w:rPr>
              <w:t>、</w:t>
            </w:r>
            <w:r>
              <w:rPr>
                <w:rFonts w:ascii="方正仿宋_GBK" w:eastAsia="方正仿宋_GBK" w:cs="方正仿宋_GBK" w:hint="eastAsia"/>
                <w:bCs/>
                <w:sz w:val="28"/>
                <w:szCs w:val="28"/>
                <w:lang w:val="en-US" w:eastAsia="zh-CN"/>
              </w:rPr>
              <w:t>安全承诺书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并加盖单位公章</w:t>
            </w:r>
            <w:r>
              <w:rPr>
                <w:rFonts w:ascii="方正仿宋_GBK" w:eastAsia="方正仿宋_GBK" w:cs="方正仿宋_GBK"/>
                <w:bCs/>
                <w:sz w:val="28"/>
                <w:szCs w:val="28"/>
              </w:rPr>
              <w:t>】</w:t>
            </w:r>
          </w:p>
          <w:p>
            <w:pPr>
              <w:spacing w:line="400" w:lineRule="exact"/>
              <w:ind w:left="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1.</w:t>
            </w: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  <w:lang w:val="en-US" w:eastAsia="zh-CN"/>
              </w:rPr>
              <w:t>二连海关管理网官</w:t>
            </w: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站日常监控与维护</w:t>
            </w:r>
          </w:p>
          <w:p>
            <w:pPr>
              <w:numPr>
                <w:ilvl w:val="0"/>
                <w:numId w:val="1"/>
              </w:numPr>
              <w:spacing w:line="400" w:lineRule="exact"/>
              <w:ind w:left="420" w:hanging="42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7×24小时实时监控网站运行状态</w:t>
            </w:r>
          </w:p>
          <w:p>
            <w:pPr>
              <w:numPr>
                <w:ilvl w:val="0"/>
                <w:numId w:val="1"/>
              </w:numPr>
              <w:spacing w:line="400" w:lineRule="exact"/>
              <w:ind w:left="420" w:hanging="42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每日进行系统健康检查并提交报告</w:t>
            </w:r>
          </w:p>
          <w:p>
            <w:pPr>
              <w:numPr>
                <w:ilvl w:val="0"/>
                <w:numId w:val="1"/>
              </w:numPr>
              <w:spacing w:line="400" w:lineRule="exact"/>
              <w:ind w:left="420" w:hanging="42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及时处理各类告警信息，响应时间不超过15分钟</w:t>
            </w:r>
          </w:p>
          <w:p>
            <w:pPr>
              <w:numPr>
                <w:ilvl w:val="0"/>
                <w:numId w:val="1"/>
              </w:numPr>
              <w:spacing w:line="400" w:lineRule="exact"/>
              <w:ind w:left="420" w:hanging="42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提供每周不少于2次系统检查服务</w:t>
            </w:r>
          </w:p>
          <w:p>
            <w:pPr>
              <w:numPr>
                <w:ilvl w:val="0"/>
                <w:numId w:val="1"/>
              </w:numPr>
              <w:spacing w:line="400" w:lineRule="exact"/>
              <w:ind w:left="420" w:hanging="42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对后台进行缓存清理，确保系统运行顺畅</w:t>
            </w:r>
          </w:p>
          <w:p>
            <w:pPr>
              <w:spacing w:line="400" w:lineRule="exact"/>
              <w:ind w:left="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2.技术支持与故障处理</w:t>
            </w:r>
          </w:p>
          <w:p>
            <w:pPr>
              <w:numPr>
                <w:ilvl w:val="0"/>
                <w:numId w:val="1"/>
              </w:numPr>
              <w:spacing w:line="400" w:lineRule="exact"/>
              <w:ind w:left="420" w:hanging="42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提供7×24小时技术支持热线</w:t>
            </w:r>
          </w:p>
          <w:p>
            <w:pPr>
              <w:numPr>
                <w:ilvl w:val="0"/>
                <w:numId w:val="1"/>
              </w:numPr>
              <w:spacing w:line="400" w:lineRule="exact"/>
              <w:ind w:left="420" w:hanging="42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一般故障修复时间不超过2小时</w:t>
            </w:r>
          </w:p>
          <w:p>
            <w:pPr>
              <w:numPr>
                <w:ilvl w:val="0"/>
                <w:numId w:val="1"/>
              </w:numPr>
              <w:spacing w:line="400" w:lineRule="exact"/>
              <w:ind w:left="420" w:hanging="42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重大故障需在30分钟内到场处理</w:t>
            </w:r>
          </w:p>
          <w:p>
            <w:pPr>
              <w:numPr>
                <w:ilvl w:val="0"/>
                <w:numId w:val="1"/>
              </w:numPr>
              <w:spacing w:line="400" w:lineRule="exact"/>
              <w:ind w:left="420" w:hanging="42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  <w:lang w:val="en-US" w:eastAsia="zh-CN"/>
              </w:rPr>
              <w:t xml:space="preserve">  对服务器进行能效评估，必要情况要在完成备份的情况下，将平台迁移到更适合的服务器上</w:t>
            </w:r>
          </w:p>
          <w:p>
            <w:pPr>
              <w:numPr>
                <w:ilvl w:val="0"/>
                <w:numId w:val="1"/>
              </w:numPr>
              <w:spacing w:line="400" w:lineRule="exact"/>
              <w:ind w:left="420" w:hanging="42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  <w:lang w:val="en-US" w:eastAsia="zh-CN"/>
              </w:rPr>
              <w:t xml:space="preserve">  根据需要，对网站页面UI进行升级优化，删减冗余代码；</w:t>
            </w:r>
          </w:p>
          <w:p>
            <w:pPr>
              <w:numPr>
                <w:ilvl w:val="0"/>
                <w:numId w:val="1"/>
              </w:numPr>
              <w:spacing w:line="400" w:lineRule="exact"/>
              <w:ind w:left="420" w:hanging="42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  <w:lang w:val="en-US" w:eastAsia="zh-CN"/>
              </w:rPr>
              <w:t xml:space="preserve">  运维期间根据实际工作需要，增加相应模块和页面，并实现各类功能，对数据库结构进行优化调整。</w:t>
            </w:r>
          </w:p>
          <w:p>
            <w:pPr>
              <w:spacing w:line="400" w:lineRule="exact"/>
              <w:ind w:left="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3.安全防护</w:t>
            </w:r>
          </w:p>
          <w:p>
            <w:pPr>
              <w:numPr>
                <w:ilvl w:val="0"/>
                <w:numId w:val="1"/>
              </w:numPr>
              <w:spacing w:line="400" w:lineRule="exact"/>
              <w:ind w:left="420" w:hanging="42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定期进行安全漏洞扫描和修复</w:t>
            </w:r>
          </w:p>
          <w:p>
            <w:pPr>
              <w:numPr>
                <w:ilvl w:val="0"/>
                <w:numId w:val="1"/>
              </w:numPr>
              <w:spacing w:line="400" w:lineRule="exact"/>
              <w:ind w:left="420" w:hanging="42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实施数据备份策略，确保数据安全</w:t>
            </w:r>
          </w:p>
          <w:p>
            <w:pPr>
              <w:spacing w:line="400" w:lineRule="exact"/>
              <w:ind w:left="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4.</w:t>
            </w: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  <w:lang w:val="en-US" w:eastAsia="zh-CN"/>
              </w:rPr>
              <w:t>人员</w:t>
            </w: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要求</w:t>
            </w:r>
          </w:p>
          <w:p>
            <w:pPr>
              <w:spacing w:line="400" w:lineRule="exact"/>
              <w:ind w:left="0" w:firstLineChars="200" w:firstLine="56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由于网站建立在海关内网，按照网络安全相关要求，无法通过远程连接服务器。要求在二连浩特有技术团队，网站出现问题时可以随时到场解决。</w:t>
            </w:r>
          </w:p>
          <w:p>
            <w:pPr>
              <w:spacing w:line="400" w:lineRule="exact"/>
              <w:ind w:left="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5.服务质量要求</w:t>
            </w:r>
          </w:p>
          <w:p>
            <w:pPr>
              <w:numPr>
                <w:ilvl w:val="0"/>
                <w:numId w:val="1"/>
              </w:numPr>
              <w:spacing w:line="400" w:lineRule="exact"/>
              <w:ind w:left="420" w:hanging="42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系统可用性保证达到99.9%</w:t>
            </w:r>
          </w:p>
          <w:p>
            <w:pPr>
              <w:numPr>
                <w:ilvl w:val="0"/>
                <w:numId w:val="1"/>
              </w:numPr>
              <w:spacing w:line="400" w:lineRule="exact"/>
              <w:ind w:left="420" w:hanging="42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用户问题解决率达到98%以上</w:t>
            </w:r>
          </w:p>
          <w:p>
            <w:pPr>
              <w:numPr>
                <w:ilvl w:val="0"/>
                <w:numId w:val="1"/>
              </w:numPr>
              <w:spacing w:line="400" w:lineRule="exact"/>
              <w:ind w:left="420" w:hanging="42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定期提交运维分析报告</w:t>
            </w:r>
          </w:p>
          <w:p>
            <w:pPr>
              <w:numPr>
                <w:ilvl w:val="0"/>
                <w:numId w:val="1"/>
              </w:numPr>
              <w:spacing w:line="400" w:lineRule="exact"/>
              <w:ind w:left="420" w:hanging="42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建立完善的应急预案体系</w:t>
            </w:r>
          </w:p>
          <w:p>
            <w:pPr>
              <w:spacing w:line="400" w:lineRule="exact"/>
              <w:ind w:left="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6.交付要求</w:t>
            </w:r>
          </w:p>
          <w:p>
            <w:pPr>
              <w:numPr>
                <w:ilvl w:val="0"/>
                <w:numId w:val="1"/>
              </w:numPr>
              <w:spacing w:line="400" w:lineRule="exact"/>
              <w:ind w:left="420" w:hanging="42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建立完整的运维台账</w:t>
            </w:r>
          </w:p>
          <w:p>
            <w:pPr>
              <w:numPr>
                <w:ilvl w:val="0"/>
                <w:numId w:val="1"/>
              </w:numPr>
              <w:spacing w:line="400" w:lineRule="exact"/>
              <w:ind w:left="420" w:hanging="420"/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定期进行服务评估和优化</w:t>
            </w:r>
          </w:p>
          <w:p>
            <w:pPr>
              <w:spacing w:line="400" w:lineRule="exact"/>
              <w:ind w:left="0"/>
              <w:rPr>
                <w:rFonts w:ascii="Times New Roman" w:eastAsia="方正仿宋_GBK" w:cs="方正仿宋_GBK" w:hAnsi="Times New Roman"/>
                <w:bCs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  <w:lang w:val="en-US" w:eastAsia="zh-CN"/>
              </w:rPr>
              <w:t>7.</w:t>
            </w:r>
            <w:r>
              <w:rPr>
                <w:rFonts w:ascii="Times New Roman" w:eastAsia="方正仿宋_GBK" w:cs="方正仿宋_GBK" w:hAnsi="Times New Roman" w:hint="eastAsia"/>
                <w:bCs/>
                <w:sz w:val="28"/>
                <w:szCs w:val="28"/>
              </w:rPr>
              <w:t>维保服务期</w:t>
            </w:r>
            <w:r>
              <w:rPr>
                <w:rFonts w:ascii="Times New Roman" w:eastAsia="方正仿宋_GBK" w:cs="方正仿宋_GBK" w:hAnsi="Times New Roman"/>
                <w:bCs/>
                <w:sz w:val="28"/>
                <w:szCs w:val="28"/>
              </w:rPr>
              <w:t>1年</w:t>
            </w:r>
          </w:p>
          <w:p>
            <w:pPr>
              <w:spacing w:line="400" w:lineRule="exact"/>
              <w:ind w:left="0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  <w:t>8.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付款方式</w:t>
            </w:r>
          </w:p>
          <w:p>
            <w:pPr>
              <w:spacing w:line="400" w:lineRule="exact"/>
              <w:ind w:left="0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（1）在采购合同签字盖章并提交下列单据之日起15个工作日内，甲方向乙方支付合同总价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  <w:t>9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0%的合同款。</w:t>
            </w:r>
          </w:p>
          <w:p>
            <w:pPr>
              <w:spacing w:line="400" w:lineRule="exact"/>
              <w:ind w:left="0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（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  <w:t>2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）一年运维服务期满后，乙方的服务质量达到甲方的要求，乙方向甲方提交下列单据之日起15个工作日内，甲方向乙方支付合同总价10%的合同款，乙方的服务质量未达到甲方的要求，甲方有权扣除相应款项。</w:t>
            </w:r>
          </w:p>
        </w:tc>
      </w:tr>
      <w:tr>
        <w:trPr>
          <w:trHeight w:val="1863"/>
        </w:trP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评审因素</w:t>
            </w:r>
          </w:p>
        </w:tc>
        <w:tc>
          <w:tcPr>
            <w:tcW w:w="6852" w:type="dxa"/>
          </w:tcPr>
          <w:p>
            <w:pPr>
              <w:spacing w:line="56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评审方法按照最低价法。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variable"/>
    <w:sig w:usb0="00000000" w:usb1="00000000" w:usb2="00000000" w:usb3="00000000" w:csb0="80000000" w:csb1="0000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Wingdings">
    <w:panose1 w:val="05000000000000000000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5B0CBABF"/>
    <w:multiLevelType w:val="singleLevel"/>
    <w:tmpl w:val="5B0CBABF"/>
    <w:lvl w:ilvl="0">
      <w:start w:val="1"/>
      <w:numFmt w:val="bullet"/>
      <w:lvlRestart w:val="0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42A1E69F"/>
    <w:multiLevelType w:val="singleLevel"/>
    <w:tmpl w:val="0FFFFF81"/>
    <w:lvl w:ilvl="0">
      <w:start w:val="1"/>
      <w:numFmt w:val="bullet"/>
      <w:lvlRestart w:val="0"/>
      <w:pStyle w:val="15"/>
      <w:lvlText w:val=""/>
      <w:lvlJc w:val="left"/>
      <w:pPr>
        <w:ind w:left="16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List Bullet 4"/>
    <w:basedOn w:val="0"/>
    <w:pPr>
      <w:numPr>
        <w:ilvl w:val="0"/>
        <w:numId w:val="2"/>
      </w:numPr>
    </w:pPr>
  </w:style>
  <w:style w:type="paragraph" w:styleId="16">
    <w:name w:val="index 8"/>
    <w:basedOn w:val="0"/>
    <w:autoRedefine/>
    <w:next w:val="0"/>
    <w:pPr>
      <w:ind w:left="2940"/>
    </w:pPr>
  </w:style>
  <w:style w:type="paragraph" w:styleId="17">
    <w:name w:val="Normal Indent"/>
    <w:basedOn w:val="0"/>
    <w:pPr>
      <w:ind w:firstLine="420"/>
    </w:p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1"/>
    <w:basedOn w:val="0"/>
    <w:autoRedefine/>
    <w:next w:val="0"/>
  </w:style>
  <w:style w:type="character" w:styleId="21">
    <w:name w:val="line number"/>
    <w:basedOn w:val="10"/>
  </w:style>
  <w:style w:type="paragraph" w:customStyle="1" w:styleId="22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1 10 磅"/>
    <w:next w:val="18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1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2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20 10 磅"/>
    <w:next w:val="27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5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2 10 磅"/>
    <w:next w:val="28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7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8">
    <w:name w:val="样式 23 10 磅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9">
    <w:name w:val="样式 24 10 磅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0">
    <w:name w:val="样式 25 10 磅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1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3">
    <w:name w:val="样式 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1 10 磅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7">
    <w:name w:val="样式 32 10 磅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8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9">
    <w:name w:val="样式 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0">
    <w:name w:val="List Paragraph"/>
    <w:next w:val="18"/>
    <w:pPr>
      <w:widowControl w:val="0"/>
      <w:ind w:firstLineChars="200" w:firstLine="20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1">
    <w:name w:val="样式 36 10 磅"/>
    <w:next w:val="47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2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4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45 10 磅"/>
    <w:next w:val="17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8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41 10 磅"/>
    <w:pPr>
      <w:widowControl w:val="0"/>
      <w:ind w:firstLineChars="200" w:firstLine="20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70">
    <w:name w:val="样式 70 10 磅"/>
    <w:next w:val="15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</TotalTime>
  <Application>Yozo_Office</Application>
  <Pages>1</Pages>
  <Words>3</Words>
  <Characters>3</Characters>
  <Lines>1</Lines>
  <Paragraphs>1</Paragraphs>
  <CharactersWithSpaces>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黄晓旭</cp:lastModifiedBy>
  <cp:revision>2</cp:revision>
  <dcterms:created xsi:type="dcterms:W3CDTF">2025-05-16T02:09:00Z</dcterms:created>
  <dcterms:modified xsi:type="dcterms:W3CDTF">2025-11-19T07:54:13Z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EF76E0BDB2544E8F9771448A820EA54F_13</vt:lpwstr>
  </property>
  <property fmtid="{D5CDD505-2E9C-101B-9397-08002B2CF9AE}" pid="4" name="KSOTemplateDocerSaveRecord">
    <vt:lpwstr>eyJoZGlkIjoiYzg4ZWUzYzA3MTJjZTQ5MGFhMzMwM2QyYzVlZjlmODAiLCJ1c2VySWQiOiIyMDk5NTQ3MTIifQ==</vt:lpwstr>
  </property>
</Properties>
</file>