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方正黑体_GBK" w:eastAsia="方正黑体_GBK" w:cs="方正小标宋_GBK" w:hint="eastAsia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小标宋_GBK" w:hint="eastAsia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6852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楷体_GBK" w:cs="方正楷体_GBK" w:hAnsi="Times New Roman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项目名称</w:t>
            </w:r>
          </w:p>
        </w:tc>
        <w:tc>
          <w:tcPr>
            <w:tcW w:w="68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二连海关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拍摄视频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项目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采购预算</w:t>
            </w:r>
          </w:p>
        </w:tc>
        <w:tc>
          <w:tcPr>
            <w:tcW w:w="68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60,000.00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评审方法</w:t>
            </w:r>
          </w:p>
        </w:tc>
        <w:tc>
          <w:tcPr>
            <w:tcW w:w="6852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sym w:font="Wingdings 2" w:char="52"/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sym w:font="Wingdings 2" w:char="A3"/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综合评分法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楷体_GBK" w:cs="方正楷体_GBK" w:hAnsi="Times New Roman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1551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说明</w:t>
            </w:r>
          </w:p>
        </w:tc>
        <w:tc>
          <w:tcPr>
            <w:tcW w:w="685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2337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52" w:type="dxa"/>
          </w:tcPr>
          <w:p>
            <w:pPr>
              <w:spacing w:line="40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</w:p>
          <w:p>
            <w:pPr>
              <w:pStyle w:val="61"/>
              <w:spacing w:line="400" w:lineRule="exact"/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1.具有独立法人资格，能够承担本项目实施；</w:t>
            </w:r>
          </w:p>
          <w:p>
            <w:pPr>
              <w:spacing w:line="400" w:lineRule="exac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提供其他书面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资质证明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材料，包括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：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工商营业执照或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三合一证照复印件、法人授权书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、具备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独立承担本项目实施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能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力承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诺书。</w:t>
            </w:r>
          </w:p>
        </w:tc>
      </w:tr>
      <w:tr>
        <w:trPr>
          <w:trHeight w:val="4045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实质性需求</w:t>
            </w:r>
          </w:p>
        </w:tc>
        <w:tc>
          <w:tcPr>
            <w:tcW w:w="6852" w:type="dxa"/>
          </w:tcPr>
          <w:p>
            <w:pPr>
              <w:spacing w:line="560" w:lineRule="exact"/>
              <w:ind w:left="0"/>
              <w:rPr>
                <w:rFonts w:ascii="方正仿宋_GBK" w:eastAsia="方正仿宋_GBK" w:cs="方正仿宋_GBK" w:hint="eastAsia"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Cs/>
                <w:sz w:val="28"/>
                <w:szCs w:val="28"/>
              </w:rPr>
              <w:t>【</w:t>
            </w:r>
            <w:r>
              <w:rPr>
                <w:rFonts w:ascii="方正仿宋_GBK" w:eastAsia="方正仿宋_GBK" w:cs="方正仿宋_GBK" w:hint="eastAsia"/>
                <w:bCs/>
                <w:sz w:val="28"/>
                <w:szCs w:val="28"/>
                <w:lang w:val="en-US" w:eastAsia="zh-CN"/>
              </w:rPr>
              <w:t>以下内容需</w:t>
            </w:r>
            <w:r>
              <w:rPr>
                <w:rFonts w:ascii="方正仿宋_GBK" w:eastAsia="方正仿宋_GBK" w:cs="方正仿宋_GBK" w:hint="eastAsia"/>
                <w:bCs/>
                <w:sz w:val="28"/>
                <w:szCs w:val="28"/>
              </w:rPr>
              <w:t>提供承诺函</w:t>
            </w:r>
            <w:r>
              <w:rPr>
                <w:rFonts w:ascii="方正仿宋_GBK" w:eastAsia="方正仿宋_GBK" w:cs="方正仿宋_GBK" w:hint="eastAsia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ascii="方正仿宋_GBK" w:eastAsia="方正仿宋_GBK" w:cs="方正仿宋_GBK" w:hint="eastAsia"/>
                <w:bCs/>
                <w:sz w:val="28"/>
                <w:szCs w:val="28"/>
                <w:lang w:val="en-US" w:eastAsia="zh-CN"/>
              </w:rPr>
              <w:t>安全承诺书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并加盖单位公章</w:t>
            </w:r>
            <w:r>
              <w:rPr>
                <w:rFonts w:ascii="方正仿宋_GBK" w:eastAsia="方正仿宋_GBK" w:cs="方正仿宋_GBK" w:hint="eastAsia"/>
                <w:bCs/>
                <w:sz w:val="28"/>
                <w:szCs w:val="28"/>
              </w:rPr>
              <w:t>】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一、核心定位与核心目标（锚定海关属性，彰显职能特色）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（一）核心定位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以 “守国门・优服务・促联通・显担当” 为核心，打造一部兼具 “政务庄重感、执法专业性、服务温度感、边疆辨识度” 的高端政务宣传片，既是二连海关对外展示 “国门卫士” 形象、履职成效、服务举措的官方名片，也是对内凝聚队伍向心力、传递海关精神、强化使命担当的精神纽带，同时适配 “政企对接、公众宣传、内部教育、跨关区交流” 多场景，兼顾政务严谨性与大众可读性，凸显二连海关 “地处中蒙边境、守护北疆国门、服务一带一路” 的独特价值。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（二）核心目标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对外：向国家海关总署、地方政府部门展现履职成效与规范化建设成果；向进出口企业、跨境物流从业者展现 “高效监管、精准服务” 的核心优势，优化营商环境；向社会公众传递 “守护国门安全、服务民生发展” 的责任担当，提升海关公信力与社会认可度。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对内：强化全体关员对 “海关精神、岗位职责、发展使命” 的认知，展现关员职业成长与队伍风貌，激发归属感与使命感，助力准军事化纪律部队建设与人才队伍凝聚。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传播：适配 “官方汇报、展会宣传、短视频传播、口岸展示” 等多渠道，实现 “一片多用、分段适配”，兼顾长版本的完整性与短版本的传播性，突出二连海关 “边境海关” 的差异化特色。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二、影片整体规格（细化政务质感，保障规范适配）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影片时长：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·完整版：20 分钟（全面呈现履职成效，适配总署汇报、内部大会、重大政务活动）；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·精简版：5-10 分钟（核心亮点提炼，适配政企对接、口岸展示、公众号推送）；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片段版：3 个 1 分钟以内高光片段（分别聚焦 “国门监管、便民服务、边疆担当”，适配短视频平台、朋友圈传播）。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画质与分辨率：4K 超高清（3840×2160），16:9 宽屏比例，画面色调以 “海关蓝、政务灰、边疆金” 为主，贴合海关系统，确保画面庄重、清晰、细腻，适配政务大屏与移动设备。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帧率与制式：25fps，PAL 制式，动态画面（如查验流程、通关现场）流畅不卡顿，快速转场无拖影，保障执法场景的专业性呈现。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4. 音频规格：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·配音：采用专业男声配音（沉稳庄重、语速适中，200-210 字 / 分钟），咬字清晰、语气严谨，兼顾政务严肃性与情感温度，关键政策表述、职能介绍需精准无偏差；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背景音乐：原创或授权商用政务类音乐，基调大气庄重、舒缓有力，不同段落适配调性（执法监管段落：节奏感强、凸显威严；服务便民段落：舒缓温情、体现温度；边疆守护段落：开阔雄浑、彰显担当），音量适配，不盖过人声与现场音效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·现场音效：保留关键场景原生音效（如查验设备运行声、通关引导声、边境风声、升旗仪式声），增强真实感，无杂音干扰，音效与画面同步，凸显海关工作的场景感。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5. 字幕规范：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·中文简体字幕，字体统一（微软雅黑），字号适中（适配 4K 大屏远距离读取），颜色采用 “白色 + 深蓝色描边”，确保与画面对比度高、无遮挡；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·关键信息（如政策名称、监管数据、荣誉称号、通关时效、核心职能）字幕加粗，涉及海关专业术语、政策条文的，需标注规范表述，避免歧义；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·配套英文字幕（适配中蒙跨境交流场景），英文翻译严格遵循海关官方译法，无语法错误，与中文字幕同步。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6. 格式要求：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·最终交付格式：MP4（高清版 + 压缩版）、MOV（无损原版，用于政务汇报修改）；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·配套交付：字幕文件（SRT 格式，含中英文）、背景音乐原文件、拍摄素材备份（精选执法、服务、队伍场景素材，规避敏感画面）、海关规范适配说明。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三、内容结构与核心呈现（紧扣海关职能，凸显二连特色）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（一）开篇序章—— 国门开篇，奠定基调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视觉呈现：以二连浩特口岸全景（国门大楼、界碑、跨境铁路 / 公路）为开篇，搭配晨光破晓或落日余晖的光影效果，镜头从口岸全景缓缓切入二连海关 LOGO 与 “中华人民共和国二连海关” 全称，LOGO 呈现简洁庄重，融入 “长城、橄榄枝” 等海关元素，避免过度花哨。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内容核心：以定制 Slogan“守北疆国门・通中蒙商道・践初心使命” 引出主题，搭配简短旁白，概括二连海关 “成立背景（依托二连浩特口岸优势）、核心职能（监管、征税、缉私、统计、检疫）、区位价值（中蒙边境核心口岸海关、一带一路重要节点）”，凸显 “边疆海关” 的独特定位。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音效搭配：大气庄重的背景音乐渐入，搭配边境风声、火车鸣笛声（轻微），增强边疆国门的氛围感，结尾处音乐稍作停顿，自然过渡到下一章节。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（二）第一章：关情溯源・厚植北疆—— 彰显底蕴，传递传承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核心内容：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·发展历程：以 “时间轴” 形式呈现关键节点（成立时间、机构沿革、重大职能调整、口岸升级配套举措、抗击疫情 / 防汛等重大任务响应），搭配历史照片 / 影像资料（高清修复），重点突出 “里程碑式成就”（如 “首次实现中蒙跨境货物无纸化通关”“获评全国海关系统先进集体”“圆满完成重大口岸保障任务”），规避流水账，凸显 “边疆坚守” 的传承。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·机构设置与职能布局：以动态扁平化架构图，呈现 “监管一科、综合业务科、缉私分局、技术科” 等核心科室，搭配简短说明，体现 “监管精准、服务高效、协同联动” 的工作机制，重点突出 “中蒙跨境监管、口岸检疫、通关服务” 等特色职能。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·资质荣誉与规范化建设：集中展示 “全国海关系统先进集体”“文明单位”“执法规范化示范单位” 等荣誉奖项，以及 “ISO9001 质量管理体系认证”“口岸监管标准化建设成果”，采用 “特写 + 动态陈列” 方式，突出政务严谨性与权威性，同步呈现准军事化纪律部队建设成效（队列训练、内务规范画面）。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·区位与规模：呈现二连海关管辖范围（二连浩特口岸全域、跨境通道）、队伍规模（现有关员 XX 人，其中党员 XX 人、高级职称 XX 人、蒙汉双语人才 XX 人），用数据凸显 “专业化、多元化” 队伍优势，体现 “守土有责、守土尽责” 的边疆担当。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视觉要求：画面色调以海关蓝为主，历史资料与现代场景自然衔接（如老关员工作照片与现代关员执法画面叠化），突出 “传承与发展”，避免生硬切换。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旁白调性：沉稳、客观，语速稍缓，重点信息加重语气，传递 “底蕴深厚、坚守初心” 的政务气质。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（三）第二章：履职担当・守好国门—— 硬核执法，凸显专业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核心内容（按海关核心职能划分，突出二连边境口岸特色）：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·板块 1：精准监管・筑牢防线（核心职能）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·核心逻辑：阐述 “口岸监管全流程”（货物通关、人员出入境、运输工具监管），突出 “智能化、精准化” 监管举措（如 “智慧海关” 系统应用、X 光机查验、无人机巡查、跨境视频监控），用三维动画演示 “申报 - 查验 - 放行” 流程，让企业与公众清晰了解监管规范。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·核心优势：突出 “中蒙跨境监管协同”（与蒙古海关的合作联动、跨境风险联防联控）、“重点商品监管”（危化品、生鲜农产品、特种设备等）、“风险精准研判”（大数据分析排查风险隐患），搭配数据支撑（如 “年均监管进出口货物 XX 万吨、人员 XX 万人次，监管零重大差错”）。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·典型案例：选取 1-2 个典型监管案例（如 “精准查获走私濒危物种案件”“高效处置跨境运输工具违规情况”“严防外来物种入侵查验案例”），呈现 “发现线索→精准查验→依法处置” 全流程，采用 “现场画面 + 旁白解读”，凸显执法专业性与权威性，规避敏感画面过度展示。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·板块 2：卫生检疫・守护民生（特色职能）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·核心逻辑：阐述 “口岸卫生检疫” 全流程（入境人员体温监测、交通工具消毒、货物检疫、传染病防控），突出 “常态化防控与应急处置相结合”，尤其凸显 “中蒙跨境传染病联防联控”“外来物种入侵防控” 举措。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·核心优势：突出 “智能化检疫设备应用”（红外测温仪、核酸检测实验室）、“专业检疫队伍”（医护人员、检疫专家）、“应急处置能力”（突发传染病快速响应、疑似病例处置），搭配疫情防控、重大检疫任务等画面，体现 “守护公众健康” 的责任。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视觉要求：每个板块采用 “海关蓝 + 专业灰” 色调，动态演示、执法现场、设备运行画面穿插呈现，重点突出 “执法规范、流程严谨”，人物画面突出关员 “着装规范、神情专注” 的执法形象。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音效搭配：背景音乐节奏感强，凸显执法威严，插入查验设备运行声、执法指令声等原生音效，增强现场感，避免过度渲染紧张氛围。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（四）第三章：精准服务・赋能发展—— 彰显温度，优化营商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核心内容：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·板块 1：便民利企・提升效能（服务举措）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·核心逻辑：阐述 “优化营商环境” 的具体举措（如 “通关便利化改革”“无纸化申报”“预约通关”“企业信用管理”“AEO 认证培育”），突出 “减环节、减时限、降成本”，用数据对比（如 “通关时效较上年提升 XX%，企业申报时间压缩 XX 分钟”）体现服务成效。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·核心优势：聚焦 “中蒙跨境便利化”（跨境货物快速通关、人民币结算便捷服务、蒙汉双语服务）、“重点企业精准服务”（一对一帮扶、政策上门宣讲）、“特殊时期纾困举措”（疫情期间 “绿色通道”、企业困难帮扶），体现 “服务型海关” 建设。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·企业反馈：选取 2-3 家不同类型企业（大型进出口企业、中小微外贸企业、跨境电商企业），拍摄简短采访（10 秒 / 家），内容聚焦 “通关便利化体验、海关服务满意度”，语言真实自然，体现企业获得感。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·板块 2：政策宣讲・精准赋能（服务延伸）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·核心逻辑：阐述 “海关政策宣传” 举措（如 “政策宣讲会、企业走访、线上直播解读、蒙汉双语宣传手册”），突出 “政策落地最后一公里”，确保企业精准掌握关税减免、原产地规则、跨境贸易便利化等政策。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·典型场景：拍摄 “政策宣讲会现场”“关员上门为企业解读政策”“线上直播互动” 等画面，凸显 “精准宣讲、贴心服务”，体现海关 “助企纾困、赋能发展” 的责任。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·板块 3：统计分析・助力决策（职能延伸）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·核心逻辑：阐述 “海关统计” 职能，突出 “数据精准分析、跨境贸易趋势研判”，为地方政府制定外贸发展政策、企业调整经营策略提供数据支撑，呈现 “统计报表、数据可视化图表” 等画面，体现专业性。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视觉要求：画面色调温暖柔和（海关蓝搭配浅橙色），多采用自然光拍摄，重点突出 “关员与企业人员高效沟通、企业顺利通关” 的场景，捕捉 “微笑服务、耐心解答” 的细节，体现服务温度。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旁白调性：温和、亲切，语速适中，传递 “便民利企、精准赋能” 的服务理念，避免过于严肃。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（五）第四章：队伍建设・凝心铸魂—— 彰显风貌，传递精神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核心内容：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·领导班子风采：拍摄领导班子 “专题会议、一线调研、廉政谈话” 等场景，搭配简短访谈（10 秒），内容聚焦 “履职理念、队伍建设思路、服务发展决心”，凸显 “务实担当、廉洁自律” 的领导形象。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·关员队伍风采：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·分层呈现：覆盖 “一线执法关员、缉私民警、行政管理人员、青年关员、老关员”，拍摄真实工作场景（查验现场、窗口服务、深夜值守、跨境巡查），避免摆拍，突出 “敬业奉献、专业严谨、坚守边疆” 的工作风貌。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·关员访谈：选取 3-5 位不同岗位、不同工龄的关员（如 “坚守边疆 30 年的老关员、青年业务骨干、蒙汉双语服务关员、缉私民警”），访谈内容聚焦 “入职初心、边疆坚守感悟、岗位成长、服务群众心得”，语言真实自然，凸显 “国门卫士” 的使命担当。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·准军事化建设：呈现 “队列训练、内务整理、业务技能比武、廉政教育” 等场景，突出 “政治坚定、业务精通、作风过硬、纪律严明” 的准军事化纪律部队形象。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·人才培养与文化建设：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·人才培养：阐述 “引才、育才、留才” 机制（内部培训、外部深造、师徒结对、业务技能竞赛），搭配 “培训课堂、技能比武、青年关员拜师” 等画面，体现 “队伍专业化建设”。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·文化建设：呈现 “党建活动（主题党日、党史学习）、文体活动（运动会、文艺汇演）、暖心举措（职工关怀、困难帮扶）”，突出 “党建引领、文化凝心”，体现 “队伍凝聚力与向心力”。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视觉要求：画面色调温暖庄重，人物特写突出 “关员坚守、敬业、微笑” 的表情，团队场景采用 “全景 + 抓拍”，呈现自然的协作氛围，准军事化场景突出 “整齐规范、纪律严明”。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音效搭配：舒缓有力的背景音乐，搭配关员工作的原生音效（如巡查脚步声、窗口服务声），增强代入感，传递 “坚守与奉献” 的精神。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（六）第六章：未来规划・逐梦北疆—— 展望未来，传递信心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核心内容：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·发展愿景：明确 “未来 3-5 年发展目标”（如 “打造‘智慧海关、效能海关、服务海关、廉洁海关’标杆，构建中蒙跨境监管服务新高地，助力二连浩特口岸打造‘一带一路’核心节点”），贴合海关总署部署与地方发展规划。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·核心规划：围绕 “四个维度” 展开 ——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监管提质：深化 “智慧海关” 建设，完善智能化监管设备，强化中蒙跨境监管协同，筑牢国门防线；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服务增效：持续优化通关便利化举措，深化营商环境优化，精准赋能外贸企业发展；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队伍强基：加强准军事化纪律部队建设，完善人才培养体系，打造 “专业化、多元化、高素质” 海关队伍；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4. 担当延伸：深化乡村振兴帮扶，扩大普法与公益覆盖范围，助力边疆高质量发展与民族团结。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·价值宣言：以 “二连海关全体关员重温海关誓词” 或 “核心领导班子表态” 的形式，呼应开篇 Slogan，传递 “不忘初心、牢记使命、守好国门、服务发展” 的信念，增强感染力。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视觉要求：画面色调大气开阔（二连口岸全景、北疆草原、蓝天），搭配 “智慧海关” 未来场景模拟（智能化查验、跨境协同平台）、队伍奋进画面，突出 “前瞻性、责任感”。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音效搭配：背景音乐渐强，回归大气庄重的调性，搭配轻微的鼓点节奏，传递 “奋进、向上” 的力量，结尾处音乐推向高潮，自然过渡到结尾。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（七）结尾收官—— 总结升华，强化记忆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视觉呈现：快速回顾影片核心亮点（监管执法、便民服务、队伍风采、社会责任、未来规划的关键画面混剪），最后定格在 “二连海关 LOGO + 全称 + 官方联系方式（办公地址、咨询电话、官网、微信公众号）+ 海关总署标识”，联系方式清晰，便于企业与公众咨询；画面结尾加入 “守国门・优服务・促联通” 核心口号与 “感谢观看” 字样，简洁庄重。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内容核心：以简短旁白总结 “二连海关‘守北疆、通商道、践初心’的核心价值”，再次强调 “守护国门安全、服务外贸发展、助力边疆振兴” 的使命，语言精炼，直击人心。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音效搭配：背景音乐保持高潮部分的大气调性，逐渐减弱，最后以 LOGO 呈现时，加入轻微的 “庄重音效”（如钟声），强化记忆点，结尾音乐自然收尾，无突兀中断。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四、拍摄与制作要求（紧扣政务规范，规避敏感风险）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（一）拍摄要求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拍摄团队：要求配备政务宣传片专业拍摄团队（至少包含 1 名具备海关 / 政府单位宣传片拍摄经验的导演、2 名资深摄影师、1 名灯光师、1 名录音师、1 名场务），需提供过往 3-5 部政务类（尤其是海关、口岸相关）作品供审核。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拍摄设备：采用专业 4K 摄像机（如索尼 FX6、佳能 C70），搭配专业镜头（广角、长焦、微距）；灯光设备采用电影级柔光灯光（避免强光直射、阴影过重，凸显政务庄重感）；录音设备采用无线领夹麦 + 手持录音笔，确保关员访谈、执法指令声清晰无杂音。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场景拍摄（严格遵循海关保密与规范要求）：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·内景拍摄：覆盖二连海关办公大楼（全景、大堂、指挥中心、查验大厅、报关窗口、缉私办案区、党员活动室、职工之家），拍摄时需避开涉密区域（如涉密机房、核心数据中心），保持场景整洁，突出 “规范化、智能化”；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·外景拍摄：覆盖二连浩特口岸（国门、界碑、跨境铁路 / 公路、货物堆场、查验现场）、乡村振兴帮扶点、普法宣传现场、生态巡查区域，拍摄前需办理相关拍摄许可，严格遵守口岸管理规定，避免拍摄敏感设施与场景；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·人物拍摄：关员着装严格遵循《海关关员着装管理规定》（规范穿着关服、佩戴肩章标识），妆容淡雅（女性关员），发型整洁；拍摄时捕捉 “自然执法、贴心服务” 的动作与表情，避免摆拍；访谈场景背景采用 “海关 LOGO 墙、简洁办公背景”，避免涉密元素；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·敏感场景把控：缉私、查验等场景，避免拍摄暴力、血腥、涉密画面，聚焦 “规范执法、流程严谨”。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4. 素材要求：拍摄素材需 “多机位、多角度”，确保后期剪辑有足够选择；素材格式为 RAW 格式，便于后期调色；避免拍摄模糊、抖动、曝光过度 / 不足的素材，所有素材需经过二连海关专人审核，规避敏感内容。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（二）后期制作要求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剪辑：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·节奏把控：完整版前期（概况、执法）节奏稍缓，突出 “严谨、专业”；中期（服务、队伍）节奏适中，突出 “温暖、真实”；后期（未来、结尾）节奏渐快，突出 “奋进、大气”；精简版需紧凑明快，每 10 秒有一个亮点，避免拖沓。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·转场设计：采用 “自然转场”（淡入淡出、叠化、滑动），避免过度花哨的转场特效；不同章节之间的转场需有 “逻辑衔接”（如从查验现场转场到服务窗口，可通过 “关员从查验区前往服务大厅” 的画面过渡）。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·素材筛选：筛选 “高清、有代表性、无敏感内容” 的素材，避免冗余；历史资料需高清修复，确保画面清晰无瑕疵。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调色：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·整体色调：保持 “海关蓝为主、庄重统一” 的调性，以 “低饱和、高对比” 为主，避免过于艳丽；不同章节可根据调性微调（服务章节偏温暖，执法章节偏严谨），但整体差异不大。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·细节调色：人物肤色自然，关服颜色准确（符合海关规范）；场景色调贴合章节主题，避免出现 “色调断层”。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特效与动画：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·三维动画：用于 “智慧海关” 流程、监管流程、机构架构演示，动画风格简洁庄重，贴合政务调性，避免过度卡通化；动画与实景画面自然衔接，不突兀。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文字特效：核心数据、政策名称、荣誉称号等文字呈现可加入轻微特效（渐显、放大），增强视觉冲击力，但避免过度花哨；字幕位置固定（底部居中），避免遮挡画面关键信息。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4. 审核与修改：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·提供 3 次修改机会（初稿、二稿、终稿），修改周期明确（初稿交付后 3 个工作日内反馈修改意见，修改后 5 个工作日内交付二稿）；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·终稿交付前，需经二连海关多级审核（科室负责人、分管领导、主要领导），确认无误后再交付最终版本，确保内容合规、无敏感问题。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五、传播与适配要求（贴合海关场景，实现一片多用）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渠道适配：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·政务渠道（总署汇报、地方政府交流、跨关区学习）：完整版，需提供适配政务大屏的格式（无黑边、分辨率适配），可搭配 PPT 汇报材料同步使用；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·口岸与服务渠道（口岸展示屏、报关大厅、政务服务中心）：精简版，循环播放，适配大屏与触摸屏；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·官方传播渠道（海关官网、微信公众号、视频号、抖音）：精简版 + 片段版，片段版需适配短视频平台规则（可选竖屏 9:16 比例，突出 “便民服务、国门守护” 亮点）；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·企业与公众渠道（政策宣讲会、企业走访、公益活动）：精简版 + 服务板块片段，便于快速传递核心服务举措。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衍生内容：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·同步制作 “宣传片核心亮点图文稿”（适配公众号推送，搭配宣传片截图，突出政策举措与服务成效）；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·提供 “无旁白版本”（仅保留背景音乐与音效），适配口岸循环播放、内部培训等场景；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·制作 “英汉双语字幕版本”，适配中蒙跨境交流场景（如蒙古企业拜访、跨境展会）。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版权与保密要求：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·拍摄素材、背景音乐、字体、图片等均需具备 “合法版权”，避免侵权；涉及海关 LOGO、标识的，严格遵循海关规范；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·二连海关拥有宣传片的 “完整使用权”，拍摄团队不得擅自泄露拍摄素材、样片及成品，不得用于其他商业用途；涉及涉密内容的素材，需按海关保密规定销毁或返还。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六、时间规划（明确节点，适配海关工作节奏）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前期筹备阶段（5天）：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1-2 天：拍摄团队出具《拍摄脚本》《分镜设计图》《拍摄场景清单》《访谈提纲》，标注 “敏感场景规避说明”，二连海关审核确认（需经分管领导签字）；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3-5 天：拍摄团队完成设备调试、场景踩点（提前对接口岸管理部门、缉私分局等），二连海关配合完成拍摄场地布置、关员协调、访谈对象确认（优先选取业务骨干、无涉密岗位关员）；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拍摄阶段（7 天）：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1-2 天：完成内景拍摄（办公区、指挥中心、报关窗口、党员活动室等）；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3-4 天：完成口岸外景拍摄（国门、查验现场、跨境通道等），严格遵守口岸管理规定，避开通关高峰；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5 天：完成关员访谈拍摄、准军事化训练场景拍摄；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6 天：完成公益帮扶、普法宣传等场景拍摄；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7 天：素材整理、筛选，二连海关专人审核拍摄素材（规避敏感内容），确认无遗漏。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后期制作阶段（15 天）：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1-3 天：素材剪辑、粗剪版本制作，标注 “敏感内容审核点”；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4-6 天：精剪、调色、字幕添加（含英汉双语）、背景音乐搭配；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7-9 天：特效、动画制作（智慧海关流程等），音频优化；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10 天：初稿交付，二连海关办公室牵头审核，反馈修改意见；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11-13 天：根据修改意见完成二稿、终稿制作，经科室负责人、分管领导、主要领导逐级审核；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14 天：终稿审核确认，拍摄团队交付最终版本及配套素材；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·第 15 天：拍摄团队按规定返还涉密素材，销毁多余敏感素材，完成收尾。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4. 应急调整：如遇口岸重大保障任务、恶劣天气等突发情况，二连海关提前 24 小时告知拍摄团队，协商调整拍摄计划，确保不影响海关核心工作，整体进度不延迟超过 3 天。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七、二连海关配合事项（明确责任，高效协同）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需求对接：指定 1 名办公室专职对接人，负责全程沟通需求、审核脚本、确认素材、反馈修改意见，协调各科室（监管科、缉私分局、综合业务科等）配合拍摄，避免多渠道沟通偏差。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资源提供：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·提供相关资料（单位历史照片 / 影像、荣誉证书、监管数据、典型案例资料等），确保资料真实、合规，涉密资料需提前标注并审核；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·协调拍摄场地（含口岸查验现场、帮扶点等）、人员（领导班子、访谈关员、团队成员），确保拍摄期间不影响正常执法与服务工作；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·协助办理口岸拍摄许可、跨部门场景拍摄授权（如边检、地方政府帮扶点）；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·提供海关系统规范（LOGO、标准色、字体），确保宣传片视觉与海关整体形象统一。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审核确认：严格按照时间节点审核脚本、素材、样片，反馈修改意见需具体、明确（如 “某段监管流程表述需调整为官方规范表述”），涉及执法流程、政策表述的，需经业务科室审核确认，确保内容准确合规。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4. 其他配合：负责拍摄期间的安全保障（尤其是口岸、缉私场景），告知拍摄团队海关保密规定与工作纪律；协助协调企业、帮扶对象等拍摄对象，获取拍摄授权与肖像权使用协议。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八、验收标准（紧扣海关规范，规避争议）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内容验收（核心标准）：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·核心信息准确无误（单位名称、职能、政策表述、数据、案例等无错误，符合海关官方规范）；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·内容符合需求说明书要求，无遗漏核心板块（监管、服务、队伍、社会责任等），突出二连海关 “边疆海关” 特色；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·无虚假宣传、夸大表述，所有案例、数据均有真实依据，执法场景呈现符合海关规范，规避敏感内容与违规表述；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·政策表述精准，专业术语使用规范，无歧义，符合海关总署最新政策要求。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画质验收：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·画面清晰，4K 分辨率达标，无模糊、抖动、曝光过度 / 不足、色彩失真等问题；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·剪辑流畅，转场自然，无卡顿、跳帧、画面断层等问题；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·特效、动画制作精良，与实景画面衔接自然，符合政务调性，不突兀。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音频验收：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·配音清晰，无杂音、回音，政策表述、职能介绍精准无偏差，语气贴合政务调性；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·背景音乐适配章节调性，音量适中，不盖过人声与现场音效；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·现场音效真实，与画面同步，无杂音干扰，凸显海关工作场景感。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4. 格式与版权验收：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·最终交付格式、配套素材齐全（如 MP4、MOV、字幕文件、背景音乐等），符合需求说明书要求；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·衍生内容（图文稿、无旁白版本、蒙汉双语版本）达标，可直接用于传播；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·所有素材、音乐、字体均具备合法版权，提供版权授权证明，无侵权风险。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5. 验收流程：拍摄团队交付终稿后，二连海关在 5 个工作日内完成逐级验收（办公室→业务科室→分管领导→主要领导），如无异议，视为验收通过；如有异议，书面提出具体修改意见，拍摄团队在约定时间内完成修改，直至验收通过。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九、其他补充条款（贴合海关属性，保障双方权益）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1. 版权归属：宣传片的完整版权归二连海关所有，拍摄团队仅保留 “拍摄作品署名权”（可在宣传片片尾标注 “拍摄制作：XX 公司”），不得擅自使用宣传片进行商业宣传、参赛等活动。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2. 违约责任：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·拍摄团队未按时间节点交付作品，每延迟 1 天，需向二连海关支付合同总金额的 1% 作为违约金；延迟超过 7 天，二连海关有权解除合同，拍摄团队需退还已支付款项，并赔偿相应损失。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·拍摄团队交付的作品不符合验收标准（尤其是内容合规性），经 2 次修改后仍未达标，二连海关有权解除合同，拍摄团队需退还已支付款项，并赔偿相应损失。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·拍摄团队泄露涉密素材或违规使用宣传片，需承担相应法律责任，赔偿二连海关损失。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·二连海关未按约定提供配合事项（如资料、人员、场地），导致拍摄或制作延迟，责任由二连海关承担，拍摄团队不承担违约责任，拍摄周期相应顺延。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3. 争议解决：双方因本需求说明书产生的争议，优先协商解决；协商不成，提交二连浩特市人民法院诉讼解决。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4. 未尽事宜：本需求说明书未尽事宜，双方可另行协商，签订补充协议，补充协议与本需求说明书具有同等法律效力；涉及海关政策调整的，二连海关可提前告知拍摄团队，协商调整内容。</w:t>
            </w:r>
          </w:p>
          <w:p>
            <w:pPr>
              <w:pStyle w:val="73"/>
              <w:spacing w:line="560" w:lineRule="exact"/>
              <w:jc w:val="left"/>
              <w:rPr>
                <w:rFonts w:ascii="方正仿宋_GBK" w:eastAsia="方正仿宋_GBK" w:hint="eastAsia"/>
                <w:sz w:val="28"/>
                <w:szCs w:val="28"/>
              </w:rPr>
            </w:pPr>
          </w:p>
          <w:p>
            <w:pPr>
              <w:spacing w:line="560" w:lineRule="exact"/>
              <w:ind w:left="0"/>
              <w:rPr>
                <w:rFonts w:ascii="方正仿宋_GBK" w:eastAsia="方正仿宋_GBK" w:cs="Times New Roman" w:hint="eastAsia"/>
                <w:sz w:val="28"/>
                <w:szCs w:val="28"/>
              </w:rPr>
            </w:pPr>
          </w:p>
        </w:tc>
      </w:tr>
      <w:tr>
        <w:trPr>
          <w:trHeight w:val="1863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评审因素</w:t>
            </w:r>
          </w:p>
        </w:tc>
        <w:tc>
          <w:tcPr>
            <w:tcW w:w="6852" w:type="dxa"/>
          </w:tcPr>
          <w:p>
            <w:pPr>
              <w:spacing w:line="56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013276D7"/>
    <w:multiLevelType w:val="singleLevel"/>
    <w:tmpl w:val="0FFFFF81"/>
    <w:lvl w:ilvl="0">
      <w:start w:val="1"/>
      <w:numFmt w:val="bullet"/>
      <w:lvlRestart w:val="0"/>
      <w:pStyle w:val="15"/>
      <w:lvlText w:val=""/>
      <w:lvlJc w:val="left"/>
      <w:pPr>
        <w:ind w:left="16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2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List Bullet 4"/>
    <w:basedOn w:val="0"/>
    <w:pPr>
      <w:numPr>
        <w:ilvl w:val="0"/>
        <w:numId w:val="1"/>
      </w:numPr>
    </w:pPr>
  </w:style>
  <w:style w:type="paragraph" w:styleId="16">
    <w:name w:val="index 8"/>
    <w:basedOn w:val="0"/>
    <w:autoRedefine/>
    <w:next w:val="0"/>
    <w:pPr>
      <w:ind w:left="2940"/>
    </w:pPr>
  </w:style>
  <w:style w:type="paragraph" w:styleId="17">
    <w:name w:val="Normal Indent"/>
    <w:basedOn w:val="0"/>
    <w:pPr>
      <w:ind w:firstLine="420"/>
    </w:p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0"/>
    <w:autoRedefine/>
    <w:next w:val="0"/>
  </w:style>
  <w:style w:type="character" w:styleId="21">
    <w:name w:val="line number"/>
    <w:basedOn w:val="10"/>
  </w:style>
  <w:style w:type="paragraph" w:customStyle="1" w:styleId="22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1 10 磅"/>
    <w:next w:val="1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1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2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20 10 磅"/>
    <w:next w:val="27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5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2 10 磅"/>
    <w:next w:val="28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7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8">
    <w:name w:val="样式 23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9">
    <w:name w:val="样式 24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0">
    <w:name w:val="样式 25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1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1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7">
    <w:name w:val="样式 32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8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">
    <w:name w:val="List Paragraph"/>
    <w:next w:val="18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1">
    <w:name w:val="样式 36 10 磅"/>
    <w:next w:val="47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5 10 磅"/>
    <w:next w:val="17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41 10 磅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0">
    <w:name w:val="样式 70 10 磅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71">
    <w:name w:val="Title"/>
    <w:basedOn w:val="0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paragraph" w:styleId="72">
    <w:name w:val="Body Text"/>
    <w:basedOn w:val="0"/>
    <w:pPr>
      <w:spacing w:after="120"/>
    </w:pPr>
  </w:style>
  <w:style w:type="paragraph" w:customStyle="1" w:styleId="73">
    <w:name w:val="样式 1 小四"/>
    <w:pPr>
      <w:widowControl w:val="0"/>
      <w:spacing w:line="240" w:lineRule="auto"/>
      <w:jc w:val="both"/>
    </w:pPr>
    <w:rPr>
      <w:rFonts w:ascii="宋体" w:eastAsia="宋体" w:cs="宋体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26</TotalTime>
  <Application>Yozo_Office</Application>
  <Pages>22</Pages>
  <Words>10033</Words>
  <Characters>10279</Characters>
  <Lines>35</Lines>
  <Paragraphs>204</Paragraphs>
  <CharactersWithSpaces>10738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李雪俊</cp:lastModifiedBy>
  <cp:revision>2</cp:revision>
  <dcterms:created xsi:type="dcterms:W3CDTF">2025-05-16T02:09:00Z</dcterms:created>
  <dcterms:modified xsi:type="dcterms:W3CDTF">2025-11-27T03:35:42Z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EF76E0BDB2544E8F9771448A820EA54F_13</vt:lpwstr>
  </property>
  <property fmtid="{D5CDD505-2E9C-101B-9397-08002B2CF9AE}" pid="4" name="KSOTemplateDocerSaveRecord">
    <vt:lpwstr>eyJoZGlkIjoiYzg4ZWUzYzA3MTJjZTQ5MGFhMzMwM2QyYzVlZjlmODAiLCJ1c2VySWQiOiIyMDk5NTQ3MTIifQ==</vt:lpwstr>
  </property>
</Properties>
</file>