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firstLine="0"/>
        <w:rPr>
          <w:rFonts w:ascii="方正黑体_GBK" w:eastAsia="方正黑体_GBK" w:cs="方正黑体_GBK"/>
          <w:sz w:val="32"/>
          <w:szCs w:val="32"/>
        </w:rPr>
      </w:pPr>
      <w:bookmarkStart w:id="0" w:name="_GoBack"/>
      <w:bookmarkEnd w:id="0"/>
      <w:r>
        <w:rPr>
          <w:rFonts w:ascii="方正黑体_GBK" w:eastAsia="方正黑体_GBK" w:cs="方正黑体_GBK" w:hint="eastAsia"/>
          <w:sz w:val="32"/>
          <w:szCs w:val="32"/>
        </w:rPr>
        <w:t>附件1</w:t>
      </w:r>
    </w:p>
    <w:p>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tbl>
      <w:tblPr>
        <w:jc w:val="left"/>
        <w:tblInd w:w="0" w:type="dx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98"/>
        <w:gridCol w:w="6862"/>
      </w:tblGrid>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包头海关综合技术服务中心大楼维修窗户胶条</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需求部门</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综合技术服务中心</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20000.00</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审批文件</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bdr w:val="none" w:sz="0" w:space="0" w:color="auto"/>
              </w:rPr>
              <w:t>包关中心签</w:t>
            </w:r>
            <w:r>
              <w:rPr>
                <w:rFonts w:ascii="方正仿宋_GBK" w:eastAsia="方正仿宋_GBK" w:cs="方正仿宋_GBK" w:hint="eastAsia"/>
                <w:sz w:val="28"/>
                <w:szCs w:val="28"/>
              </w:rPr>
              <w:t>〔 </w:t>
            </w:r>
            <w:r>
              <w:rPr>
                <w:rFonts w:ascii="方正仿宋_GBK" w:eastAsia="方正仿宋_GBK" w:cs="方正仿宋_GBK"/>
                <w:sz w:val="28"/>
                <w:szCs w:val="28"/>
              </w:rPr>
              <w:t>2025</w:t>
            </w:r>
            <w:r>
              <w:rPr>
                <w:rFonts w:ascii="方正仿宋_GBK" w:eastAsia="方正仿宋_GBK" w:cs="方正仿宋_GBK" w:hint="eastAsia"/>
                <w:sz w:val="28"/>
                <w:szCs w:val="28"/>
              </w:rPr>
              <w:t> 〕 </w:t>
            </w:r>
            <w:r>
              <w:rPr>
                <w:rFonts w:ascii="方正仿宋_GBK" w:eastAsia="方正仿宋_GBK" w:cs="方正仿宋_GBK"/>
                <w:sz w:val="28"/>
                <w:szCs w:val="28"/>
              </w:rPr>
              <w:t>29</w:t>
            </w:r>
            <w:r>
              <w:rPr>
                <w:rFonts w:ascii="方正仿宋_GBK" w:eastAsia="方正仿宋_GBK" w:cs="方正仿宋_GBK" w:hint="eastAsia"/>
                <w:sz w:val="28"/>
                <w:szCs w:val="28"/>
              </w:rPr>
              <w:t>号</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经费来源</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海关资产运维专项</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62" w:type="dxa"/>
            <w:vAlign w:val="center"/>
          </w:tcPr>
          <w:p>
            <w:pPr>
              <w:spacing w:line="400" w:lineRule="exact"/>
              <w:jc w:val="left"/>
              <w:rPr>
                <w:rFonts w:ascii="方正仿宋_GBK" w:eastAsia="方正仿宋_GBK" w:cs="方正仿宋_GBK"/>
                <w:sz w:val="28"/>
                <w:szCs w:val="28"/>
              </w:rPr>
            </w:pPr>
            <w:r>
              <w:rPr>
                <w:rFonts w:ascii="方正仿宋_GBK" w:eastAsia="方正仿宋_GBK" w:cs="方正仿宋_GBK"/>
                <w:sz w:val="28"/>
                <w:szCs w:val="28"/>
              </w:rPr>
              <w:sym w:font="Wingdings 2" w:char="F052"/>
            </w:r>
            <w:r>
              <w:rPr>
                <w:rFonts w:ascii="方正仿宋_GBK" w:eastAsia="方正仿宋_GBK" w:cs="方正仿宋_GBK" w:hint="eastAsia"/>
                <w:sz w:val="28"/>
                <w:szCs w:val="28"/>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综合评分法（权重：价格XX%、评审因素XX%）</w:t>
            </w:r>
          </w:p>
        </w:tc>
      </w:tr>
      <w:tr>
        <w:trPr>
          <w:trHeight w:val="567"/>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编制人</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包文斌</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复核人</w:t>
            </w:r>
          </w:p>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（科室负责人）</w:t>
            </w:r>
          </w:p>
        </w:tc>
        <w:tc>
          <w:tcPr>
            <w:tcW w:w="6862" w:type="dxa"/>
            <w:vAlign w:val="center"/>
          </w:tcPr>
          <w:p>
            <w:pPr>
              <w:spacing w:line="560" w:lineRule="exact"/>
              <w:jc w:val="center"/>
              <w:rPr>
                <w:rFonts w:ascii="方正仿宋_GBK" w:eastAsia="方正仿宋_GBK" w:cs="方正仿宋_GBK"/>
                <w:sz w:val="28"/>
                <w:szCs w:val="28"/>
              </w:rPr>
            </w:pPr>
          </w:p>
        </w:tc>
      </w:tr>
      <w:tr>
        <w:trPr>
          <w:trHeight w:val="1449"/>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审核人</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r>
              <w:rPr>
                <w:rFonts w:ascii="方正仿宋_GBK" w:eastAsia="方正仿宋_GBK" w:cs="方正仿宋_GBK"/>
                <w:sz w:val="28"/>
                <w:szCs w:val="28"/>
              </w:rPr>
              <w:t>主管关领导</w:t>
            </w:r>
            <w:r>
              <w:rPr>
                <w:rFonts w:ascii="方正仿宋_GBK" w:eastAsia="方正仿宋_GBK" w:cs="方正仿宋_GBK" w:hint="eastAsia"/>
                <w:sz w:val="28"/>
                <w:szCs w:val="28"/>
              </w:rPr>
              <w:t>）</w:t>
            </w:r>
          </w:p>
        </w:tc>
        <w:tc>
          <w:tcPr>
            <w:tcW w:w="6862" w:type="dxa"/>
            <w:vAlign w:val="center"/>
          </w:tcPr>
          <w:p>
            <w:pPr>
              <w:spacing w:line="560" w:lineRule="exact"/>
              <w:jc w:val="center"/>
              <w:rPr>
                <w:rFonts w:ascii="方正仿宋_GBK" w:eastAsia="方正仿宋_GBK" w:cs="方正仿宋_GBK"/>
                <w:sz w:val="28"/>
                <w:szCs w:val="28"/>
              </w:rPr>
            </w:pPr>
          </w:p>
        </w:tc>
      </w:tr>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2078"/>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62"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trPr>
          <w:trHeight w:val="2329"/>
        </w:trPr>
        <w:tc>
          <w:tcPr>
            <w:tcW w:w="2198" w:type="dxa"/>
            <w:vAlign w:val="center"/>
          </w:tcPr>
          <w:p>
            <w:pPr>
              <w:spacing w:line="560" w:lineRule="exact"/>
              <w:jc w:val="center"/>
              <w:rPr>
                <w:rFonts w:ascii="Times New Roman" w:eastAsia="方正仿宋_GBK" w:cs="Times New Roman" w:hAnsi="Times New Roman" w:hint="eastAsia"/>
                <w:sz w:val="28"/>
                <w:szCs w:val="28"/>
              </w:rPr>
            </w:pPr>
            <w:r>
              <w:rPr>
                <w:rFonts w:ascii="Times New Roman" w:eastAsia="方正仿宋_GBK" w:cs="Times New Roman" w:hAnsi="Times New Roman" w:hint="eastAsia"/>
                <w:sz w:val="28"/>
                <w:szCs w:val="28"/>
              </w:rPr>
              <w:t>资格条件</w:t>
            </w:r>
          </w:p>
        </w:tc>
        <w:tc>
          <w:tcPr>
            <w:tcW w:w="6862"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1.具有独立承担民事责任的能力。</w:t>
            </w:r>
          </w:p>
          <w:p>
            <w:pPr>
              <w:spacing w:line="400" w:lineRule="exact"/>
              <w:rPr>
                <w:rFonts w:ascii="方正仿宋_GBK" w:eastAsia="方正仿宋_GBK" w:cs="方正仿宋_GBK"/>
                <w:sz w:val="28"/>
                <w:szCs w:val="28"/>
              </w:rPr>
            </w:pPr>
            <w:r>
              <w:rPr>
                <w:rFonts w:ascii="Times New Roman" w:eastAsia="方正仿宋_GBK" w:cs="Times New Roman" w:hAnsi="Times New Roman" w:hint="eastAsia"/>
                <w:sz w:val="28"/>
                <w:szCs w:val="28"/>
              </w:rPr>
              <w:t>2.</w:t>
            </w:r>
            <w:r>
              <w:rPr>
                <w:rFonts w:ascii="Times New Roman" w:eastAsia="方正仿宋_GBK" w:cs="Times New Roman" w:hAnsi="Times New Roman"/>
                <w:sz w:val="28"/>
                <w:szCs w:val="28"/>
              </w:rPr>
              <w:t>相关营业执照、法人身份证复印件</w:t>
            </w:r>
          </w:p>
        </w:tc>
      </w:tr>
      <w:tr>
        <w:trPr>
          <w:trHeight w:val="1082"/>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6862" w:type="dxa"/>
          </w:tcPr>
          <w:p>
            <w:pPr>
              <w:spacing w:line="400" w:lineRule="exact"/>
              <w:ind w:firstLine="0"/>
              <w:rPr>
                <w:rFonts w:ascii="Times New Roman" w:eastAsia="方正仿宋_GBK" w:cs="Times New Roman" w:hAnsi="Times New Roman"/>
                <w:sz w:val="28"/>
                <w:szCs w:val="28"/>
              </w:rPr>
            </w:pPr>
            <w:r>
              <w:rPr>
                <w:rFonts w:ascii="Times New Roman" w:eastAsia="方正仿宋_GBK" w:cs="Times New Roman" w:hAnsi="Times New Roman"/>
                <w:sz w:val="28"/>
                <w:szCs w:val="28"/>
              </w:rPr>
              <w:t>一、工程项目：1.工期：10个自然日</w:t>
            </w:r>
          </w:p>
          <w:p>
            <w:pPr>
              <w:spacing w:line="400" w:lineRule="exact"/>
              <w:ind w:left="0" w:firstLineChars="250" w:firstLine="700"/>
              <w:rPr>
                <w:rFonts w:ascii="Times New Roman" w:eastAsia="方正仿宋_GBK" w:cs="Times New Roman" w:hAnsi="Times New Roman"/>
                <w:sz w:val="28"/>
                <w:szCs w:val="28"/>
              </w:rPr>
            </w:pPr>
            <w:r>
              <w:rPr>
                <w:rFonts w:ascii="Times New Roman" w:eastAsia="方正仿宋_GBK" w:cs="Times New Roman" w:hAnsi="Times New Roman"/>
                <w:sz w:val="28"/>
                <w:szCs w:val="28"/>
              </w:rPr>
              <w:t>2.支付方式：施工方按照合同约定完成包头海关综合技术服务中心大楼窗户修缮项目工作，经验收合格后施工方开具全款有效发票，我方收到发票后支付施工方合同金额</w:t>
            </w:r>
          </w:p>
          <w:p>
            <w:pPr>
              <w:pStyle w:val="24"/>
              <w:spacing w:line="560" w:lineRule="exact"/>
              <w:ind w:firstLineChars="200" w:firstLine="560"/>
              <w:rPr>
                <w:rFonts w:ascii="Times New Roman" w:eastAsia="方正仿宋_GBK" w:cs="Times New Roman" w:hAnsi="Times New Roman"/>
                <w:sz w:val="28"/>
                <w:szCs w:val="28"/>
              </w:rPr>
            </w:pPr>
            <w:r>
              <w:rPr>
                <w:rFonts w:ascii="Times New Roman" w:eastAsia="方正仿宋_GBK" w:cs="Times New Roman" w:hAnsi="Times New Roman"/>
                <w:sz w:val="28"/>
                <w:szCs w:val="28"/>
              </w:rPr>
              <w:t xml:space="preserve"> 3.质量要求：本项目所有材料、设备及施工工艺符合国家现行标准规范，并满足以下具体要求</w:t>
            </w:r>
          </w:p>
          <w:p>
            <w:pPr>
              <w:pStyle w:val="24"/>
              <w:spacing w:line="560" w:lineRule="exact"/>
              <w:ind w:firstLineChars="200" w:firstLine="560"/>
              <w:rPr>
                <w:rFonts w:ascii="Times New Roman" w:eastAsia="方正仿宋_GBK" w:cs="Times New Roman" w:hAnsi="Times New Roman"/>
                <w:sz w:val="28"/>
                <w:szCs w:val="28"/>
              </w:rPr>
            </w:pPr>
            <w:r>
              <w:rPr>
                <w:rFonts w:ascii="Times New Roman" w:eastAsia="方正仿宋_GBK" w:cs="Times New Roman" w:hAnsi="Times New Roman"/>
                <w:sz w:val="28"/>
                <w:szCs w:val="28"/>
              </w:rPr>
              <w:t>需将旧胶条完全铲除、窗框槽口及接触面需彻底清洁，确保无灰尘、油污、、残留胶体及任何松动颗粒物。</w:t>
            </w:r>
          </w:p>
          <w:p>
            <w:pPr>
              <w:spacing w:line="560" w:lineRule="exact"/>
              <w:ind w:firstLineChars="200" w:firstLine="560"/>
              <w:rPr>
                <w:rFonts w:ascii="Times New Roman" w:eastAsia="方正仿宋_GBK" w:cs="Times New Roman" w:hAnsi="Times New Roman"/>
                <w:sz w:val="28"/>
                <w:szCs w:val="28"/>
              </w:rPr>
            </w:pPr>
            <w:r>
              <w:rPr>
                <w:rFonts w:ascii="Times New Roman" w:eastAsia="方正仿宋_GBK" w:cs="Times New Roman" w:hAnsi="Times New Roman"/>
                <w:sz w:val="28"/>
                <w:szCs w:val="28"/>
              </w:rPr>
              <w:t xml:space="preserve">新胶均需为全新、合格优质产品，确保胶体与基层结合紧密，无脱落、空鼓现象，确保无漏风、渗水隐患。胶缝顺直、平滑、无色差、毛边等 </w:t>
            </w:r>
          </w:p>
          <w:p>
            <w:pPr>
              <w:spacing w:line="400" w:lineRule="exact"/>
              <w:ind w:left="0" w:firstLineChars="300" w:firstLine="840"/>
              <w:rPr>
                <w:rFonts w:ascii="Times New Roman" w:eastAsia="方正仿宋_GBK" w:cs="Times New Roman" w:hAnsi="Times New Roman"/>
                <w:sz w:val="28"/>
                <w:szCs w:val="28"/>
              </w:rPr>
            </w:pPr>
            <w:r>
              <w:rPr>
                <w:rFonts w:ascii="Times New Roman" w:eastAsia="方正仿宋_GBK" w:cs="Times New Roman" w:hAnsi="Times New Roman"/>
                <w:sz w:val="28"/>
                <w:szCs w:val="28"/>
              </w:rPr>
              <w:t>4.安全要求：确保安全文明施工，执行国家现行相关规定</w:t>
            </w:r>
          </w:p>
          <w:p>
            <w:pPr>
              <w:spacing w:line="400" w:lineRule="exact"/>
              <w:ind w:left="0" w:firstLineChars="300" w:firstLine="840"/>
              <w:rPr>
                <w:rFonts w:ascii="Times New Roman" w:eastAsia="方正仿宋_GBK" w:cs="Times New Roman" w:hAnsi="Times New Roman"/>
                <w:sz w:val="28"/>
                <w:szCs w:val="28"/>
              </w:rPr>
            </w:pPr>
            <w:r>
              <w:rPr>
                <w:rFonts w:ascii="Times New Roman" w:eastAsia="方正仿宋_GBK" w:cs="Times New Roman" w:hAnsi="Times New Roman"/>
                <w:sz w:val="28"/>
                <w:szCs w:val="28"/>
              </w:rPr>
              <w:t xml:space="preserve">5.施工数量：170面窗户内侧面旧胶条拆除、基面清理及重新打胶 </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 xml:space="preserve">      6.资质条件：符合国家要求的施工资质</w:t>
            </w:r>
          </w:p>
          <w:p>
            <w:pPr>
              <w:spacing w:line="400" w:lineRule="exact"/>
              <w:ind w:firstLineChars="300" w:firstLine="840"/>
              <w:rPr>
                <w:rFonts w:ascii="Times New Roman" w:eastAsia="方正仿宋_GBK" w:cs="Times New Roman" w:hAnsi="Times New Roman"/>
                <w:sz w:val="28"/>
                <w:szCs w:val="28"/>
              </w:rPr>
            </w:pPr>
            <w:r>
              <w:rPr>
                <w:rFonts w:ascii="Times New Roman" w:eastAsia="方正仿宋_GBK" w:cs="Times New Roman" w:hAnsi="Times New Roman"/>
                <w:sz w:val="28"/>
                <w:szCs w:val="28"/>
              </w:rPr>
              <w:t>7.报价表</w:t>
            </w:r>
          </w:p>
        </w:tc>
      </w:tr>
      <w:tr>
        <w:trPr>
          <w:trHeight w:val="1643"/>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862" w:type="dxa"/>
          </w:tcPr>
          <w:p>
            <w:pPr>
              <w:spacing w:line="560" w:lineRule="exact"/>
              <w:jc w:val="left"/>
              <w:rPr>
                <w:rFonts w:ascii="方正仿宋_GBK" w:eastAsia="方正仿宋_GBK" w:cs="方正仿宋_GBK"/>
                <w:sz w:val="28"/>
                <w:szCs w:val="28"/>
              </w:rPr>
            </w:pPr>
          </w:p>
        </w:tc>
      </w:tr>
      <w:tr>
        <w:trPr>
          <w:trHeight w:val="1940"/>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其他因素</w:t>
            </w:r>
          </w:p>
        </w:tc>
        <w:tc>
          <w:tcPr>
            <w:tcW w:w="6862" w:type="dxa"/>
          </w:tcPr>
          <w:p>
            <w:pPr>
              <w:spacing w:line="400" w:lineRule="exact"/>
              <w:jc w:val="left"/>
              <w:rPr>
                <w:rFonts w:ascii="方正仿宋_GBK" w:eastAsia="方正仿宋_GBK" w:cs="方正仿宋_GBK"/>
                <w:sz w:val="28"/>
                <w:szCs w:val="28"/>
              </w:rPr>
            </w:pPr>
            <w:r>
              <w:rPr>
                <w:rFonts w:ascii="方正仿宋_GBK" w:eastAsia="方正仿宋_GBK" w:cs="方正仿宋_GBK"/>
                <w:sz w:val="28"/>
                <w:szCs w:val="28"/>
              </w:rPr>
              <w:t>响应文件两份</w:t>
            </w:r>
          </w:p>
        </w:tc>
      </w:tr>
    </w:tbl>
    <w:p>
      <w:pPr>
        <w:spacing w:line="240" w:lineRule="auto"/>
        <w:rPr>
          <w:rFonts w:ascii="方正仿宋_GBK" w:eastAsia="方正仿宋_GBK" w:cs="方正仿宋_GBK"/>
          <w:sz w:val="32"/>
          <w:szCs w:val="32"/>
        </w:rPr>
      </w:pPr>
    </w:p>
    <w:p>
      <w:pPr>
        <w:spacing w:line="560" w:lineRule="exact"/>
        <w:jc w:val="right"/>
        <w:rPr>
          <w:rFonts w:ascii="方正仿宋_GBK" w:eastAsia="方正仿宋_GBK" w:cs="方正仿宋_GBK"/>
          <w:sz w:val="32"/>
          <w:szCs w:val="32"/>
        </w:rPr>
      </w:pPr>
    </w:p>
    <w:p>
      <w:pPr>
        <w:rPr>
          <w:rFonts w:ascii="宋体"/>
        </w:rPr>
      </w:pPr>
    </w:p>
    <w:sectPr>
      <w:footerReference w:type="default" r:id="rId2"/>
      <w:footerReference w:type="even" r:id="rId3"/>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Wingdings 2">
    <w:panose1 w:val="05020102010507070707"/>
    <w:charset w:val="02"/>
    <w:family w:val="auto"/>
    <w:pitch w:val="variable"/>
    <w:sig w:usb0="00000000" w:usb1="00000000" w:usb2="00000000" w:usb3="00000000" w:csb0="8000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080E0000" w:usb2="00000000" w:usb3="00000000" w:csb0="00040001" w:csb1="00000000"/>
  </w:font>
  <w:font w:name="Calibri">
    <w:panose1 w:val="020F0502020204030204"/>
    <w:charset w:val="00"/>
    <w:family w:val="auto"/>
    <w:pitch w:val="variable"/>
    <w:sig w:usb0="E00002FF" w:usb1="4000ACFF" w:usb2="00000001" w:usb3="00000000" w:csb0="2000019F" w:csb1="00000000"/>
  </w:font>
  <w:font w:name="Arial">
    <w:altName w:val="Times New Roman"/>
    <w:panose1 w:val="020B0604020202020204"/>
    <w:charset w:val="01"/>
    <w:family w:val="swiss"/>
    <w:pitch w:val="variable"/>
    <w:sig w:usb0="E0002AFF" w:usb1="C0007843" w:usb2="00000009" w:usb3="00000000" w:csb0="400001FF" w:csb1="FFFF0000"/>
  </w:font>
  <w:font w:name="黑体">
    <w:panose1 w:val="02010600030101010101"/>
    <w:charset w:val="86"/>
    <w:family w:val="auto"/>
    <w:pitch w:val="variable"/>
    <w:sig w:usb0="00000001" w:usb1="080E0000" w:usb2="0000000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17"/>
      </w:rPr>
      <w:fldChar w:fldCharType="begin"/>
    </w:r>
    <w:r>
      <w:rPr>
        <w:rStyle w:val="17"/>
      </w:rPr>
      <w:instrText>Page</w:instrText>
    </w:r>
    <w:r>
      <w:rPr>
        <w:rStyle w:val="17"/>
      </w:rPr>
      <w:fldChar w:fldCharType="separate"/>
    </w:r>
    <w:r>
      <w:rPr>
        <w:rStyle w:val="17"/>
      </w:rPr>
      <w:t>1</w:t>
    </w:r>
    <w:r>
      <w:rPr>
        <w:rStyle w:val="17"/>
      </w:rPr>
      <w:fldChar w:fldCharType="end"/>
    </w:r>
  </w:p>
  <w:p>
    <w:pPr>
      <w:pStyle w:val="20"/>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17"/>
      </w:rPr>
      <w:fldChar w:fldCharType="begin"/>
    </w:r>
    <w:r>
      <w:rPr>
        <w:rStyle w:val="17"/>
      </w:rPr>
      <w:instrText>Page</w:instrText>
    </w:r>
    <w:r>
      <w:rPr>
        <w:rStyle w:val="17"/>
      </w:rPr>
      <w:fldChar w:fldCharType="separate"/>
    </w:r>
    <w:r>
      <w:rPr>
        <w:rStyle w:val="17"/>
      </w:rPr>
      <w:t>1</w:t>
    </w:r>
    <w:r>
      <w:rPr>
        <w:rStyle w:val="17"/>
      </w:rPr>
      <w:fldChar w:fldCharType="end"/>
    </w:r>
  </w:p>
  <w:p>
    <w:pPr>
      <w:pStyle w:val="16"/>
      <w:tabs>
        <w:tab w:val="center" w:pos="4153"/>
        <w:tab w:val="right" w:pos="8306"/>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index 6"/>
    <w:basedOn w:val="0"/>
    <w:autoRedefine/>
    <w:next w:val="0"/>
    <w:pPr>
      <w:ind w:left="2100"/>
    </w:pPr>
  </w:style>
  <w:style w:type="paragraph" w:styleId="16">
    <w:name w:val="footer"/>
    <w:next w:val="15"/>
    <w:pPr>
      <w:widowControl w:val="0"/>
      <w:tabs>
        <w:tab w:val="center" w:pos="4153"/>
        <w:tab w:val="right" w:pos="8306"/>
      </w:tabs>
      <w:snapToGrid w:val="0"/>
      <w:jc w:val="left"/>
    </w:pPr>
    <w:rPr>
      <w:rFonts w:ascii="Calibri" w:eastAsia="宋体" w:cs="Arial" w:hAnsi="Calibri"/>
      <w:kern w:val="2"/>
      <w:sz w:val="18"/>
      <w:szCs w:val="18"/>
      <w:lang w:val="en-US" w:eastAsia="zh-CN" w:bidi="ar-SA"/>
    </w:rPr>
  </w:style>
  <w:style w:type="character" w:styleId="17">
    <w:name w:val="page number"/>
  </w:style>
  <w:style w:type="character" w:styleId="18">
    <w:name w:val="endnote reference"/>
    <w:basedOn w:val="10"/>
    <w:rPr>
      <w:vertAlign w:val="superscript"/>
    </w:rPr>
  </w:style>
  <w:style w:type="paragraph" w:customStyle="1" w:styleId="19">
    <w:name w:val="样式 22 10 磅"/>
    <w:next w:val="18"/>
    <w:pPr>
      <w:widowControl w:val="0"/>
      <w:jc w:val="both"/>
    </w:pPr>
    <w:rPr>
      <w:rFonts w:ascii="Calibri" w:eastAsia="宋体" w:cs="Arial" w:hAnsi="Calibri"/>
      <w:kern w:val="2"/>
      <w:sz w:val="21"/>
      <w:szCs w:val="24"/>
      <w:lang w:val="en-US" w:eastAsia="zh-CN" w:bidi="ar-SA"/>
    </w:rPr>
  </w:style>
  <w:style w:type="paragraph" w:customStyle="1" w:styleId="20">
    <w:name w:val="样式 小五"/>
    <w:pPr>
      <w:widowControl w:val="0"/>
      <w:tabs>
        <w:tab w:val="center" w:pos="4153"/>
        <w:tab w:val="right" w:pos="8306"/>
      </w:tabs>
      <w:snapToGrid w:val="0"/>
      <w:jc w:val="left"/>
    </w:pPr>
    <w:rPr>
      <w:rFonts w:ascii="Calibri" w:eastAsia="宋体" w:cs="Arial" w:hAnsi="Calibri"/>
      <w:kern w:val="2"/>
      <w:sz w:val="18"/>
      <w:szCs w:val="18"/>
      <w:lang w:val="en-US" w:eastAsia="zh-CN" w:bidi="ar-SA"/>
    </w:rPr>
  </w:style>
  <w:style w:type="paragraph" w:customStyle="1" w:styleId="21">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22">
    <w:name w:val="样式 10 磅"/>
    <w:pPr>
      <w:widowControl w:val="0"/>
      <w:jc w:val="both"/>
    </w:pPr>
    <w:rPr>
      <w:rFonts w:ascii="Calibri" w:eastAsia="宋体" w:cs="Arial" w:hAnsi="Calibri"/>
      <w:kern w:val="2"/>
      <w:sz w:val="21"/>
      <w:szCs w:val="24"/>
      <w:lang w:val="en-US" w:eastAsia="zh-CN" w:bidi="ar-SA"/>
    </w:rPr>
  </w:style>
  <w:style w:type="paragraph" w:customStyle="1" w:styleId="23">
    <w:name w:val="样式 1 10 磅"/>
    <w:pPr>
      <w:widowControl w:val="0"/>
      <w:jc w:val="both"/>
    </w:pPr>
    <w:rPr>
      <w:rFonts w:ascii="Calibri" w:eastAsia="宋体" w:cs="Arial" w:hAnsi="Calibri"/>
      <w:kern w:val="2"/>
      <w:sz w:val="21"/>
      <w:szCs w:val="24"/>
      <w:lang w:val="en-US" w:eastAsia="zh-CN" w:bidi="ar-SA"/>
    </w:rPr>
  </w:style>
  <w:style w:type="paragraph" w:customStyle="1" w:styleId="24">
    <w:name w:val="样式 2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326</TotalTime>
  <Application>Yozo_Office</Application>
  <Pages>2</Pages>
  <Words>585</Words>
  <Characters>615</Characters>
  <Lines>58</Lines>
  <Paragraphs>43</Paragraphs>
  <CharactersWithSpaces>627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冯强</dc:creator>
  <cp:lastModifiedBy>李紫萌</cp:lastModifiedBy>
  <cp:revision>0</cp:revision>
  <dcterms:created xsi:type="dcterms:W3CDTF">2025-07-16T06:21:43Z</dcterms:created>
  <dcterms:modified xsi:type="dcterms:W3CDTF">2025-12-04T11:53:53Z</dcterms:modified>
</cp:coreProperties>
</file>