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7"/>
        <w:ind w:firstLine="0"/>
        <w:rPr>
          <w:rFonts w:ascii="Times New Roman" w:eastAsia="方正黑体_GBK" w:cs="Times New Roman" w:hAnsi="Times New Roman"/>
          <w:sz w:val="32"/>
          <w:szCs w:val="32"/>
          <w:lang w:bidi="ar-SA"/>
        </w:rPr>
      </w:pPr>
      <w:bookmarkStart w:id="0" w:name="_GoBack"/>
      <w:bookmarkEnd w:id="0"/>
      <w:r>
        <w:rPr>
          <w:rFonts w:ascii="Times New Roman" w:eastAsia="方正黑体_GBK" w:cs="Times New Roman" w:hAnsi="Times New Roman"/>
          <w:sz w:val="32"/>
          <w:szCs w:val="32"/>
          <w:lang w:bidi="ar-SA"/>
        </w:rPr>
        <w:t>附件1</w:t>
      </w:r>
    </w:p>
    <w:p>
      <w:pPr>
        <w:pStyle w:val="17"/>
        <w:spacing w:line="560" w:lineRule="exact"/>
        <w:jc w:val="center"/>
        <w:rPr>
          <w:rFonts w:ascii="Times New Roman" w:eastAsia="方正小标宋_GBK" w:cs="Times New Roman" w:hAnsi="Times New Roman"/>
          <w:sz w:val="44"/>
          <w:szCs w:val="44"/>
          <w:lang w:bidi="ar-SA"/>
        </w:rPr>
      </w:pPr>
      <w:r>
        <w:rPr>
          <w:rFonts w:ascii="Times New Roman" w:eastAsia="方正小标宋_GBK" w:cs="Times New Roman" w:hAnsi="Times New Roman"/>
          <w:sz w:val="44"/>
          <w:szCs w:val="44"/>
          <w:lang w:bidi="ar-SA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楷体_GBK" w:cs="Times New Roman" w:hAnsi="Times New Roman"/>
                <w:sz w:val="32"/>
                <w:szCs w:val="32"/>
                <w:lang w:bidi="ar-SA"/>
              </w:rPr>
              <w:t>基础信息栏</w:t>
            </w: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项目名称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包头海关口岸检疫查验能力提升项目</w:t>
            </w: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需求部门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包头海关监管二科</w:t>
            </w: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采购预算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1.5万元</w:t>
            </w: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审批文件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包关监签〔 2025 〕 37号</w:t>
            </w: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经费来源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口岸查验能力提升专项经费1.32万元、监管查验设备购建经费0.18万元</w:t>
            </w: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评审方法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bidi="ar-SA"/>
              </w:rPr>
              <w:t>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最低价法</w:t>
            </w:r>
          </w:p>
          <w:p>
            <w:pPr>
              <w:pStyle w:val="1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sym w:font="Wingdings 2" w:char="A3"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综合评分法（权重：价格XX%、评审因素XX%）</w:t>
            </w:r>
          </w:p>
        </w:tc>
      </w:tr>
      <w:tr>
        <w:trPr>
          <w:trHeight w:val="567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编制人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复核人</w:t>
            </w:r>
          </w:p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（科室负责人）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</w:p>
        </w:tc>
      </w:tr>
      <w:t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审核人</w:t>
            </w:r>
          </w:p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（主管关领导）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</w:p>
        </w:tc>
      </w:tr>
      <w:tr>
        <w:tc>
          <w:tcPr>
            <w:tcW w:w="90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楷体_GBK" w:cs="Times New Roman" w:hAnsi="Times New Roman"/>
                <w:sz w:val="32"/>
                <w:szCs w:val="32"/>
                <w:lang w:bidi="ar-SA"/>
              </w:rPr>
              <w:t>详细需求栏</w:t>
            </w:r>
          </w:p>
        </w:tc>
      </w:tr>
      <w:tr>
        <w:trPr>
          <w:trHeight w:val="3155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说明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1.不满足资格条件的响应文件将按无效响应文件处理。</w:t>
            </w:r>
          </w:p>
          <w:p>
            <w:pPr>
              <w:pStyle w:val="17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2.详细需求栏中所有加“★”项的需求均为实质性要求，不满足实质性要求的响应文件将按无效响应文件处理。</w:t>
            </w:r>
          </w:p>
        </w:tc>
      </w:tr>
      <w:tr>
        <w:trPr>
          <w:trHeight w:val="2627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资格条件</w:t>
            </w:r>
          </w:p>
        </w:tc>
        <w:tc>
          <w:tcPr>
            <w:tcW w:w="6862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1.具有独立承担民事责任的能力。</w:t>
            </w:r>
          </w:p>
          <w:p>
            <w:pPr>
              <w:pStyle w:val="17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2.具备销售该类货物应具备的相应资质。</w:t>
            </w:r>
          </w:p>
          <w:p>
            <w:pPr>
              <w:pStyle w:val="17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3.能够提供不低于国家相关法律法规要求的质量保证。</w:t>
            </w:r>
          </w:p>
          <w:p>
            <w:pPr>
              <w:pStyle w:val="17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4.能够及时提供售后服务。</w:t>
            </w:r>
          </w:p>
        </w:tc>
      </w:tr>
      <w:tr>
        <w:trPr>
          <w:trHeight w:val="1082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400" w:lineRule="exact"/>
              <w:ind w:left="0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★</w:t>
            </w:r>
          </w:p>
          <w:p>
            <w:pPr>
              <w:pStyle w:val="17"/>
              <w:spacing w:line="400" w:lineRule="exact"/>
              <w:ind w:left="0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  <w:tcBorders>
              <w:tl2br w:val="nil"/>
              <w:tr2bl w:val="nil"/>
            </w:tcBorders>
          </w:tcPr>
          <w:p>
            <w:pPr>
              <w:pStyle w:val="17"/>
              <w:spacing w:line="400" w:lineRule="exact"/>
              <w:ind w:left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一、设施设备需求</w:t>
            </w:r>
          </w:p>
          <w:p>
            <w:pPr>
              <w:pStyle w:val="17"/>
              <w:spacing w:line="400" w:lineRule="exact"/>
              <w:ind w:left="0"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设备名称：便携式查验装备。</w:t>
            </w:r>
          </w:p>
          <w:p>
            <w:pPr>
              <w:pStyle w:val="17"/>
              <w:spacing w:line="400" w:lineRule="exact"/>
              <w:ind w:left="0"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主要用途：用于口岸现场有害生物查验工作。</w:t>
            </w:r>
          </w:p>
          <w:p>
            <w:pPr>
              <w:pStyle w:val="17"/>
              <w:spacing w:line="400" w:lineRule="exact"/>
              <w:ind w:left="0"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主要技术指标：1.需配套配备18件（套）常用口岸查验工具及耗材，可成套或独立取用，面向常用耗材设计方便日常消耗补充；2.设备采用最新的 Surface Go 10 英寸触摸平板电脑，具备超轻超长续航及高效处理能力，重量轻，方便现场取用（仅重500多克）；3.使用该设备可实现在线、离线及组合多种查询对比方式，有效对现场查获生物进行识别；4. 该设备需内置收集检疫性非检疫性有害生物物种近六千种，有害生物图片六万多张，满足查获生物与系统内置数据对比需求；5.该设备具有专用防水查验包，满足放置多种查验设备与平板电脑的需求，同时，需支持系统在线更新功能；6.该设备需收纳多个在线资源平台，以便实现资源共享。</w:t>
            </w:r>
          </w:p>
          <w:p>
            <w:pPr>
              <w:pStyle w:val="17"/>
              <w:spacing w:line="400" w:lineRule="exact"/>
              <w:ind w:left="0"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配置：1.便携查验工具包1个</w:t>
            </w:r>
          </w:p>
          <w:p>
            <w:pPr>
              <w:pStyle w:val="17"/>
              <w:spacing w:line="400" w:lineRule="exact"/>
              <w:ind w:left="0" w:firstLineChars="500" w:firstLine="140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2.查验工具7件</w:t>
            </w:r>
          </w:p>
          <w:p>
            <w:pPr>
              <w:pStyle w:val="17"/>
              <w:spacing w:line="400" w:lineRule="exact"/>
              <w:ind w:left="0" w:firstLineChars="500" w:firstLine="140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3.检疫性有害生物查询终端1台</w:t>
            </w:r>
          </w:p>
          <w:p>
            <w:pPr>
              <w:pStyle w:val="21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</w:p>
          <w:p>
            <w:pPr>
              <w:pStyle w:val="21"/>
              <w:spacing w:line="360" w:lineRule="exact"/>
              <w:ind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验收合格后付全款，采购方付款前需要供货方开具发票等结算材料。</w:t>
            </w:r>
          </w:p>
          <w:p>
            <w:pPr>
              <w:pStyle w:val="21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</w:t>
            </w:r>
          </w:p>
          <w:p>
            <w:pPr>
              <w:pStyle w:val="22"/>
              <w:spacing w:line="360" w:lineRule="exact"/>
              <w:ind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自合同签订之日起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天交货</w:t>
            </w:r>
          </w:p>
          <w:p>
            <w:pPr>
              <w:pStyle w:val="22"/>
              <w:spacing w:line="360" w:lineRule="exact"/>
              <w:ind w:left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四、产品质保期：</w:t>
            </w:r>
          </w:p>
          <w:p>
            <w:pPr>
              <w:pStyle w:val="16"/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ind w:firstLineChars="200" w:firstLine="560"/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不低于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年。如因特殊情况需调换效期，供货方需配合调换。产品在有效期内正常使用中出现故障，由供货方免费更换。</w:t>
            </w:r>
          </w:p>
        </w:tc>
      </w:tr>
      <w:tr>
        <w:trPr>
          <w:trHeight w:val="3753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评审因素</w:t>
            </w:r>
          </w:p>
        </w:tc>
        <w:tc>
          <w:tcPr>
            <w:tcW w:w="6862" w:type="dxa"/>
            <w:tcBorders>
              <w:tl2br w:val="nil"/>
              <w:tr2bl w:val="nil"/>
            </w:tcBorders>
          </w:tcPr>
          <w:p>
            <w:pPr>
              <w:pStyle w:val="17"/>
              <w:spacing w:line="56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</w:p>
        </w:tc>
      </w:tr>
      <w:tr>
        <w:trPr>
          <w:trHeight w:val="2545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>
            <w:pPr>
              <w:pStyle w:val="17"/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lang w:bidi="ar-SA"/>
              </w:rPr>
              <w:t>其他因素</w:t>
            </w:r>
          </w:p>
        </w:tc>
        <w:tc>
          <w:tcPr>
            <w:tcW w:w="6862" w:type="dxa"/>
            <w:tcBorders>
              <w:tl2br w:val="nil"/>
              <w:tr2bl w:val="nil"/>
            </w:tcBorders>
          </w:tcPr>
          <w:p>
            <w:pPr>
              <w:pStyle w:val="1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1、公告期限（3个工作日）</w:t>
            </w:r>
          </w:p>
          <w:p>
            <w:pPr>
              <w:pStyle w:val="17"/>
              <w:spacing w:line="400" w:lineRule="exact"/>
              <w:jc w:val="left"/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2、响应文件份数（2份）</w:t>
            </w:r>
          </w:p>
        </w:tc>
      </w:tr>
    </w:tbl>
    <w:p>
      <w:pPr>
        <w:pStyle w:val="17"/>
        <w:spacing w:line="240" w:lineRule="auto"/>
        <w:rPr>
          <w:rFonts w:ascii="Times New Roman" w:eastAsia="方正仿宋_GBK" w:cs="Times New Roman" w:hAnsi="Times New Roman"/>
          <w:sz w:val="32"/>
          <w:szCs w:val="32"/>
          <w:lang w:bidi="ar-SA"/>
        </w:rPr>
      </w:pPr>
    </w:p>
    <w:p>
      <w:pPr>
        <w:pStyle w:val="17"/>
        <w:spacing w:line="560" w:lineRule="exact"/>
        <w:jc w:val="right"/>
        <w:rPr>
          <w:rFonts w:ascii="Times New Roman" w:eastAsia="方正仿宋_GBK" w:cs="Times New Roman" w:hAnsi="Times New Roman"/>
          <w:sz w:val="32"/>
          <w:szCs w:val="32"/>
          <w:lang w:bidi="ar-SA"/>
        </w:rPr>
      </w:pPr>
    </w:p>
    <w:p>
      <w:pPr>
        <w:pStyle w:val="17"/>
        <w:rPr>
          <w:rFonts w:ascii="Times New Roman" w:cs="Times New Roman" w:hAnsi="Times New Roman"/>
          <w:lang w:bidi="ar-SA"/>
        </w:rPr>
      </w:pPr>
    </w:p>
    <w:p/>
    <w:p/>
    <w:p/>
    <w:p/>
    <w:p/>
    <w:p/>
    <w:p/>
    <w:p/>
    <w:p/>
    <w:p/>
    <w:p/>
    <w:p/>
    <w:p/>
    <w:p/>
    <w:p/>
    <w:p/>
    <w:p/>
    <w:sectPr>
      <w:pgSz w:w="11907" w:h="16839"/>
      <w:pgMar w:top="1440" w:right="1800" w:bottom="1440" w:left="1800" w:header="851" w:footer="992" w:gutter="0"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0000000000000000000"/>
    <w:charset w:val="00"/>
    <w:family w:val="auto"/>
    <w:pitch w:val="variable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Calibri">
    <w:panose1 w:val="00000000000000000000"/>
    <w:charset w:val="00"/>
    <w:family w:val="auto"/>
    <w:pitch w:val="variable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displayBackgroundShape/>
  <w:bordersDoNotSurroundHeader/>
  <w:bordersDoNotSurroundFooter/>
  <w:trackRevisions/>
  <w:defaultTabStop w:val="420"/>
  <w:drawingGridHorizontalSpacing w:val="156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8"/>
    <w:basedOn w:val="0"/>
    <w:autoRedefine/>
    <w:next w:val="0"/>
    <w:pPr>
      <w:ind w:left="2940"/>
    </w:pPr>
  </w:style>
  <w:style w:type="paragraph" w:styleId="16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jc w:val="left"/>
    </w:pPr>
    <w:rPr>
      <w:rFonts w:ascii="Courier New" w:eastAsia="宋体" w:cs="Times New Roman" w:hAnsi="Courier New"/>
      <w:sz w:val="24"/>
      <w:szCs w:val="24"/>
      <w:lang w:val="en-US" w:eastAsia="zh-CN" w:bidi="ar-SA"/>
    </w:rPr>
  </w:style>
  <w:style w:type="paragraph" w:customStyle="1" w:styleId="17">
    <w:name w:val="样式 18 10 磅"/>
    <w:next w:val="16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2 10 磅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em w:val="none"/>
      <w:lang w:val="en-US" w:eastAsia="zh-CN" w:bidi="ar-SA"/>
    </w:rPr>
  </w:style>
  <w:style w:type="character" w:styleId="20">
    <w:name w:val="annotation reference"/>
    <w:basedOn w:val="10"/>
    <w:rPr>
      <w:sz w:val="21"/>
      <w:szCs w:val="21"/>
    </w:rPr>
  </w:style>
  <w:style w:type="paragraph" w:customStyle="1" w:styleId="21">
    <w:name w:val="样式 16 10 磅"/>
    <w:next w:val="2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149</TotalTime>
  <Application>Yozo_Office</Application>
  <Pages>4</Pages>
  <Words>813</Words>
  <Characters>855</Characters>
  <Lines>88</Lines>
  <Paragraphs>49</Paragraphs>
  <CharactersWithSpaces>863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贾乐</dc:creator>
  <cp:lastModifiedBy>李紫萌</cp:lastModifiedBy>
  <cp:revision>1</cp:revision>
  <dcterms:created xsi:type="dcterms:W3CDTF">2025-12-05T08:20:27Z</dcterms:created>
  <dcterms:modified xsi:type="dcterms:W3CDTF">2025-12-10T10:15:14Z</dcterms:modified>
</cp:coreProperties>
</file>