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比选采购需求书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</w:p>
    <w:tbl>
      <w:tblPr>
        <w:jc w:val="left"/>
        <w:tblInd w:w="0" w:type="dxa"/>
        <w:tblW w:w="86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5"/>
        <w:gridCol w:w="6857"/>
      </w:tblGrid>
      <w:tr>
        <w:tc>
          <w:tcPr>
            <w:tcW w:w="868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基础信息栏</w:t>
            </w:r>
          </w:p>
        </w:tc>
      </w:tr>
      <w:tr>
        <w:tc>
          <w:tcPr>
            <w:tcW w:w="182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85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安全运维服务项目</w:t>
            </w:r>
          </w:p>
        </w:tc>
      </w:tr>
      <w:tr>
        <w:tc>
          <w:tcPr>
            <w:tcW w:w="182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采购预算</w:t>
            </w:r>
          </w:p>
        </w:tc>
        <w:tc>
          <w:tcPr>
            <w:tcW w:w="685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200000.00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元</w:t>
            </w:r>
          </w:p>
        </w:tc>
      </w:tr>
      <w:tr>
        <w:tc>
          <w:tcPr>
            <w:tcW w:w="182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评审方法</w:t>
            </w:r>
          </w:p>
        </w:tc>
        <w:tc>
          <w:tcPr>
            <w:tcW w:w="6857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方正仿宋_GBK" w:eastAsia="方正仿宋_GBK" w:cs="方正仿宋_GBK"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sym w:font="Wingdings 2" w:char="A3"/>
            </w:r>
            <w:r>
              <w:rPr>
                <w:rFonts w:ascii="方正仿宋_GBK" w:eastAsia="方正仿宋_GBK" w:cs="方正仿宋_GBK" w:hint="eastAsia"/>
                <w:sz w:val="28"/>
                <w:szCs w:val="28"/>
                <w:vertAlign w:val="baseline"/>
                <w:lang w:val="en-US" w:eastAsia="zh-CN"/>
              </w:rPr>
              <w:t>最低价法</w:t>
            </w:r>
          </w:p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  <w:vertAlign w:val="baseline"/>
                <w:lang w:val="en-US" w:eastAsia="zh-CN"/>
              </w:rPr>
              <w:t>√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综合评分法（权重：价格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20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%、评审因素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80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%）</w:t>
            </w:r>
          </w:p>
        </w:tc>
      </w:tr>
      <w:tr>
        <w:tc>
          <w:tcPr>
            <w:tcW w:w="868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详细需求栏</w:t>
            </w:r>
          </w:p>
        </w:tc>
      </w:tr>
      <w:tr>
        <w:trPr>
          <w:trHeight w:val="2000"/>
        </w:trPr>
        <w:tc>
          <w:tcPr>
            <w:tcW w:w="182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说明</w:t>
            </w:r>
          </w:p>
        </w:tc>
        <w:tc>
          <w:tcPr>
            <w:tcW w:w="6857" w:type="dxa"/>
            <w:vAlign w:val="center"/>
          </w:tcPr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1.不满足资格条件的响应文件将按无效响应文件处理。</w:t>
            </w:r>
          </w:p>
          <w:p>
            <w:pPr>
              <w:spacing w:line="40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2.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详细需求栏中所有加“★”项的需求均为实质性要求，不满足实质性要求的响应文件将按无效响应文件处理。</w:t>
            </w:r>
          </w:p>
        </w:tc>
      </w:tr>
      <w:tr>
        <w:trPr>
          <w:trHeight w:val="3424"/>
        </w:trPr>
        <w:tc>
          <w:tcPr>
            <w:tcW w:w="182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</w:t>
            </w:r>
          </w:p>
        </w:tc>
        <w:tc>
          <w:tcPr>
            <w:tcW w:w="6857" w:type="dxa"/>
            <w:vAlign w:val="center"/>
          </w:tcPr>
          <w:p>
            <w:pPr>
              <w:pStyle w:val="75"/>
              <w:numPr>
                <w:ilvl w:val="0"/>
                <w:numId w:val="1"/>
              </w:numPr>
              <w:spacing w:line="400" w:lineRule="exact"/>
              <w:rPr>
                <w:rFonts w:ascii="仿宋_GB2312" w:eastAsia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须具有法人资格，能够独立承担本项目实施；</w:t>
            </w:r>
          </w:p>
          <w:p>
            <w:pPr>
              <w:pStyle w:val="38"/>
              <w:spacing w:line="40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仿宋_GB2312" w:eastAsia="仿宋_GB2312" w:cs="仿宋_GB2312"/>
                <w:sz w:val="28"/>
                <w:szCs w:val="28"/>
              </w:rPr>
              <w:t>2.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提供其他书面资质证明材料，包括：工商营业执照或三合一证照复印件、法人授权书、具备独立承担本项目实施能力承诺书。</w:t>
            </w:r>
          </w:p>
        </w:tc>
      </w:tr>
      <w:tr>
        <w:trPr>
          <w:trHeight w:val="3676"/>
        </w:trPr>
        <w:tc>
          <w:tcPr>
            <w:tcW w:w="1825" w:type="dxa"/>
            <w:vAlign w:val="center"/>
          </w:tcPr>
          <w:p>
            <w:pPr>
              <w:pStyle w:val="205"/>
              <w:spacing w:line="560" w:lineRule="exact"/>
              <w:jc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服务需求</w:t>
            </w:r>
          </w:p>
        </w:tc>
        <w:tc>
          <w:tcPr>
            <w:tcW w:w="6857" w:type="dxa"/>
          </w:tcPr>
          <w:p>
            <w:pPr>
              <w:pStyle w:val="206"/>
              <w:numPr>
                <w:ilvl w:val="0"/>
                <w:numId w:val="2"/>
              </w:numPr>
              <w:spacing w:line="400" w:lineRule="exact"/>
              <w:rPr>
                <w:rFonts w:ascii="仿宋_GB2312" w:eastAsia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lang w:val="en-US" w:eastAsia="zh-CN"/>
              </w:rPr>
              <w:t>网络安全日常运维保障：</w:t>
            </w:r>
            <w:r>
              <w:rPr>
                <w:rFonts w:ascii="仿宋_GB2312" w:eastAsia="仿宋_GB2312" w:cs="仿宋_GB2312" w:hint="eastAsia"/>
                <w:color w:val="auto"/>
                <w:sz w:val="28"/>
                <w:szCs w:val="28"/>
                <w:lang w:val="en-US" w:eastAsia="zh-CN"/>
              </w:rPr>
              <w:t>含</w:t>
            </w:r>
            <w:r>
              <w:rPr>
                <w:rFonts w:ascii="仿宋_GB2312" w:eastAsia="仿宋_GB2312" w:cs="仿宋_GB2312" w:hint="eastAsia"/>
                <w:color w:val="auto"/>
                <w:sz w:val="28"/>
                <w:szCs w:val="28"/>
                <w:lang w:val="en-US" w:eastAsia="zh-CN"/>
                <w:highlight w:val="auto"/>
              </w:rPr>
              <w:t>90人/天</w:t>
            </w:r>
            <w:r>
              <w:rPr>
                <w:rFonts w:ascii="仿宋_GB2312" w:eastAsia="仿宋_GB2312" w:cs="仿宋_GB2312" w:hint="eastAsia"/>
                <w:color w:val="auto"/>
                <w:sz w:val="28"/>
                <w:szCs w:val="28"/>
                <w:lang w:val="en-US" w:eastAsia="zh-CN"/>
              </w:rPr>
              <w:t>入场运维服务</w:t>
            </w:r>
            <w:r>
              <w:rPr>
                <w:rFonts w:ascii="仿宋_GB2312" w:eastAsia="仿宋_GB2312" w:cs="仿宋_GB2312" w:hint="eastAsia"/>
                <w:sz w:val="28"/>
                <w:szCs w:val="28"/>
                <w:lang w:val="en-US" w:eastAsia="zh-CN"/>
              </w:rPr>
              <w:t>；协助处理日常网络安全事件。</w:t>
            </w:r>
          </w:p>
          <w:p>
            <w:pPr>
              <w:pStyle w:val="206"/>
              <w:numPr>
                <w:ilvl w:val="0"/>
                <w:numId w:val="2"/>
              </w:numPr>
              <w:spacing w:line="400" w:lineRule="exact"/>
              <w:rPr>
                <w:rFonts w:ascii="仿宋_GB2312" w:eastAsia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lang w:val="en-US" w:eastAsia="zh-CN"/>
              </w:rPr>
              <w:t>网络安全风险评估和整改：对网络环境进行一次全面的安全风险评估，并制定详细的整改方案。</w:t>
            </w:r>
          </w:p>
          <w:p>
            <w:pPr>
              <w:pStyle w:val="206"/>
              <w:numPr>
                <w:ilvl w:val="0"/>
                <w:numId w:val="2"/>
              </w:numPr>
              <w:spacing w:line="400" w:lineRule="exact"/>
              <w:rPr>
                <w:rFonts w:ascii="仿宋_GB2312" w:eastAsia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lang w:val="en-US" w:eastAsia="zh-CN"/>
              </w:rPr>
              <w:t>安全加固服务：对安全评估中发现的漏洞进行修复、配置隐患进行优化的过程。防病毒服务：协助处理计算机病毒（含蠕虫、木马、挖矿脚本、僵尸网络）风险，可由驻场人员远程运维。</w:t>
            </w:r>
          </w:p>
          <w:p>
            <w:pPr>
              <w:pStyle w:val="206"/>
              <w:numPr>
                <w:ilvl w:val="0"/>
                <w:numId w:val="2"/>
              </w:numPr>
              <w:spacing w:line="400" w:lineRule="exact"/>
              <w:rPr>
                <w:rFonts w:ascii="仿宋_GB2312" w:eastAsia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lang w:val="en-US" w:eastAsia="zh-CN"/>
              </w:rPr>
              <w:t>网络安全应急响应服务：建立7×24小时网络安全应急响应机制，当发生网络安全事件时，在1小时内响应，2小时内到达现场。并在安全事件处置完成后，及时提交应急响应报告。</w:t>
            </w:r>
          </w:p>
          <w:p>
            <w:pPr>
              <w:pStyle w:val="206"/>
              <w:numPr>
                <w:ilvl w:val="0"/>
                <w:numId w:val="2"/>
              </w:numPr>
              <w:spacing w:line="400" w:lineRule="exact"/>
              <w:rPr>
                <w:rFonts w:ascii="仿宋_GB2312" w:eastAsia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lang w:val="en-US" w:eastAsia="zh-CN"/>
              </w:rPr>
              <w:t>国家重大事件期间网络安全保障：在国家重大事件（重大节日和会议，特殊时期如公安部门护网专项行动）期间，安排专业安全人员进行7×24小时值守。提供必要的网络安全设备、客户端设备、信息化配件和耗材。</w:t>
            </w:r>
          </w:p>
          <w:p>
            <w:pPr>
              <w:pStyle w:val="206"/>
              <w:numPr>
                <w:ilvl w:val="0"/>
                <w:numId w:val="2"/>
              </w:numPr>
              <w:spacing w:line="400" w:lineRule="exact"/>
              <w:rPr>
                <w:rFonts w:ascii="仿宋_GB2312" w:eastAsia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lang w:val="en-US" w:eastAsia="zh-CN"/>
              </w:rPr>
              <w:t>网络安全宣贯。根据甲方网络安全培训需求，推荐网络安全培训讲师开展安全管理培训、安全技术培训。根据网络安全宣传需求，设计并制作多种形式的网络安全宣传品，如海报、宣传册、视频等，宣传品总价不超过5000元。</w:t>
            </w:r>
          </w:p>
          <w:p>
            <w:pPr>
              <w:pStyle w:val="206"/>
              <w:numPr>
                <w:ilvl w:val="0"/>
                <w:numId w:val="2"/>
              </w:numPr>
              <w:spacing w:line="400" w:lineRule="exact"/>
              <w:rPr>
                <w:rFonts w:ascii="仿宋_GB2312" w:eastAsia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lang w:val="en-US" w:eastAsia="zh-CN"/>
              </w:rPr>
              <w:t>制定网络安全应急演练方案：结合网络安全实际情况，制定年度网络安全应急演练方案。</w:t>
            </w:r>
          </w:p>
          <w:p>
            <w:pPr>
              <w:pStyle w:val="206"/>
              <w:numPr>
                <w:ilvl w:val="0"/>
                <w:numId w:val="2"/>
              </w:numPr>
              <w:spacing w:line="400" w:lineRule="exact"/>
              <w:rPr>
                <w:rFonts w:ascii="仿宋_GB2312" w:eastAsia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  <w:lang w:val="en-US" w:eastAsia="zh-CN"/>
              </w:rPr>
              <w:t>等级保护二级系统测评：对内部二级系统1个开展一次全面测评，并出具符合国家等级保护相关要求的测评报告。</w:t>
            </w:r>
          </w:p>
          <w:p>
            <w:pPr>
              <w:pStyle w:val="206"/>
              <w:numPr>
                <w:ilvl w:val="0"/>
                <w:numId w:val="2"/>
              </w:numPr>
              <w:spacing w:line="400" w:lineRule="exact"/>
              <w:rPr>
                <w:rFonts w:ascii="仿宋_GB2312" w:eastAsia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cs="仿宋_GB2312"/>
                <w:sz w:val="28"/>
                <w:szCs w:val="28"/>
              </w:rPr>
              <w:t>合同签订后支付50%合同款，服务验收后支付50%合同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款,乙方应在甲方付款前，按甲方要求提供合法有效的增值税专用发票或增值税普通发票；乙方未按要求提交发票的，甲方有权延迟付款，且不承担违约责任</w:t>
            </w:r>
            <w:r>
              <w:rPr>
                <w:rFonts w:ascii="仿宋_GB2312" w:eastAsia="仿宋_GB2312" w:cs="仿宋_GB2312"/>
                <w:sz w:val="28"/>
                <w:szCs w:val="28"/>
              </w:rPr>
              <w:t>。</w:t>
            </w:r>
          </w:p>
        </w:tc>
      </w:tr>
      <w:tr>
        <w:trPr>
          <w:trHeight w:val="2067"/>
        </w:trPr>
        <w:tc>
          <w:tcPr>
            <w:tcW w:w="1825" w:type="dxa"/>
            <w:vAlign w:val="center"/>
          </w:tcPr>
          <w:p>
            <w:pPr>
              <w:pStyle w:val="211"/>
              <w:spacing w:line="560" w:lineRule="exact"/>
              <w:jc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评审因素</w:t>
            </w:r>
          </w:p>
        </w:tc>
        <w:tc>
          <w:tcPr>
            <w:tcW w:w="6857" w:type="dxa"/>
          </w:tcPr>
          <w:p>
            <w:pPr>
              <w:pStyle w:val="212"/>
              <w:jc w:val="left"/>
              <w:rPr>
                <w:rFonts w:ascii="仿宋_GB2312" w:eastAsia="仿宋_GB2312" w:cs="仿宋_GB2312" w:hint="eastAsia"/>
                <w:sz w:val="28"/>
                <w:szCs w:val="28"/>
              </w:rPr>
            </w:pPr>
          </w:p>
          <w:tbl>
            <w:tblPr>
              <w:jc w:val="left"/>
              <w:tblInd w:w="0" w:type="dxa"/>
              <w:tblW w:w="6379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122"/>
              <w:gridCol w:w="787"/>
              <w:gridCol w:w="3868"/>
              <w:gridCol w:w="602"/>
            </w:tblGrid>
            <w:tr>
              <w:trPr>
                <w:trHeight w:val="270"/>
              </w:trPr>
              <w:tc>
                <w:tcPr>
                  <w:tcW w:w="1944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>
                  <w:pPr>
                    <w:pStyle w:val="212"/>
                    <w:widowControl/>
                    <w:jc w:val="center"/>
                    <w:textAlignment w:val="center"/>
                    <w:rPr>
                      <w:rFonts w:ascii="仿宋_GB2312" w:eastAsia="仿宋_GB2312" w:cs="仿宋_GB2312" w:hint="eastAsia"/>
                      <w:b/>
                      <w:bCs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cs="仿宋_GB2312" w:hint="eastAsia"/>
                      <w:b/>
                      <w:bCs/>
                      <w:color w:val="000000"/>
                      <w:kern w:val="0"/>
                      <w:sz w:val="28"/>
                      <w:szCs w:val="28"/>
                    </w:rPr>
                    <w:t>评审因素</w:t>
                  </w:r>
                </w:p>
              </w:tc>
              <w:tc>
                <w:tcPr>
                  <w:tcW w:w="4435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>
                  <w:pPr>
                    <w:pStyle w:val="212"/>
                    <w:widowControl/>
                    <w:jc w:val="center"/>
                    <w:textAlignment w:val="center"/>
                    <w:rPr>
                      <w:rFonts w:ascii="仿宋_GB2312" w:eastAsia="仿宋_GB2312" w:cs="仿宋_GB2312" w:hint="eastAsia"/>
                      <w:b/>
                      <w:bCs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cs="仿宋_GB2312" w:hint="eastAsia"/>
                      <w:b/>
                      <w:bCs/>
                      <w:color w:val="000000"/>
                      <w:kern w:val="0"/>
                      <w:sz w:val="28"/>
                      <w:szCs w:val="28"/>
                    </w:rPr>
                    <w:t>评分标准</w:t>
                  </w:r>
                </w:p>
              </w:tc>
            </w:tr>
            <w:tr>
              <w:trPr>
                <w:trHeight w:val="270"/>
              </w:trPr>
              <w:tc>
                <w:tcPr>
                  <w:tcW w:w="1944" w:type="dxa"/>
                  <w:gridSpan w:val="2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>
                  <w:pPr>
                    <w:pStyle w:val="212"/>
                    <w:widowControl/>
                    <w:jc w:val="center"/>
                    <w:textAlignment w:val="center"/>
                    <w:rPr>
                      <w:rFonts w:ascii="仿宋_GB2312" w:eastAsia="仿宋_GB2312" w:cs="仿宋_GB2312" w:hint="eastAsia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cs="仿宋_GB2312" w:hint="eastAsia"/>
                      <w:color w:val="000000"/>
                      <w:kern w:val="0"/>
                      <w:sz w:val="28"/>
                      <w:szCs w:val="28"/>
                    </w:rPr>
                    <w:t>分值构成</w:t>
                  </w:r>
                </w:p>
              </w:tc>
              <w:tc>
                <w:tcPr>
                  <w:tcW w:w="4435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>
                  <w:pPr>
                    <w:pStyle w:val="212"/>
                    <w:widowControl/>
                    <w:jc w:val="center"/>
                    <w:textAlignment w:val="center"/>
                    <w:rPr>
                      <w:rFonts w:ascii="仿宋_GB2312" w:eastAsia="仿宋_GB2312" w:cs="仿宋_GB2312" w:hint="eastAsia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cs="仿宋_GB2312" w:hint="eastAsia"/>
                      <w:color w:val="000000"/>
                      <w:kern w:val="0"/>
                      <w:sz w:val="28"/>
                      <w:szCs w:val="28"/>
                    </w:rPr>
                    <w:t>技术部分60.00分</w:t>
                  </w:r>
                </w:p>
              </w:tc>
            </w:tr>
            <w:tr>
              <w:trPr>
                <w:trHeight w:val="270"/>
              </w:trPr>
              <w:tc>
                <w:tcPr>
                  <w:tcW w:w="1944" w:type="dxa"/>
                  <w:gridSpan w:val="2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/>
              </w:tc>
              <w:tc>
                <w:tcPr>
                  <w:tcW w:w="4435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>
                  <w:pPr>
                    <w:pStyle w:val="212"/>
                    <w:widowControl/>
                    <w:jc w:val="center"/>
                    <w:textAlignment w:val="center"/>
                    <w:rPr>
                      <w:rFonts w:ascii="仿宋_GB2312" w:eastAsia="仿宋_GB2312" w:cs="仿宋_GB2312" w:hint="eastAsia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cs="仿宋_GB2312" w:hint="eastAsia"/>
                      <w:color w:val="000000"/>
                      <w:kern w:val="0"/>
                      <w:sz w:val="28"/>
                      <w:szCs w:val="28"/>
                    </w:rPr>
                    <w:t>商务部分20.00分</w:t>
                  </w:r>
                </w:p>
              </w:tc>
            </w:tr>
            <w:tr>
              <w:trPr>
                <w:trHeight w:val="270"/>
              </w:trPr>
              <w:tc>
                <w:tcPr>
                  <w:tcW w:w="1944" w:type="dxa"/>
                  <w:gridSpan w:val="2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/>
              </w:tc>
              <w:tc>
                <w:tcPr>
                  <w:tcW w:w="4435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>
                  <w:pPr>
                    <w:pStyle w:val="212"/>
                    <w:widowControl/>
                    <w:jc w:val="center"/>
                    <w:textAlignment w:val="center"/>
                    <w:rPr>
                      <w:rFonts w:ascii="仿宋_GB2312" w:eastAsia="仿宋_GB2312" w:cs="仿宋_GB2312" w:hint="eastAsia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cs="仿宋_GB2312" w:hint="eastAsia"/>
                      <w:color w:val="000000"/>
                      <w:kern w:val="0"/>
                      <w:sz w:val="28"/>
                      <w:szCs w:val="28"/>
                    </w:rPr>
                    <w:t>报价得分20.00分</w:t>
                  </w:r>
                </w:p>
              </w:tc>
            </w:tr>
            <w:tr>
              <w:trPr>
                <w:trHeight w:val="540"/>
              </w:trPr>
              <w:tc>
                <w:tcPr>
                  <w:tcW w:w="114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>
                  <w:pPr>
                    <w:pStyle w:val="212"/>
                    <w:widowControl/>
                    <w:jc w:val="center"/>
                    <w:textAlignment w:val="center"/>
                    <w:rPr>
                      <w:rFonts w:ascii="仿宋_GB2312" w:eastAsia="仿宋_GB2312" w:cs="仿宋_GB2312" w:hint="eastAsia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cs="仿宋_GB2312" w:hint="eastAsia"/>
                      <w:color w:val="000000"/>
                      <w:kern w:val="0"/>
                      <w:sz w:val="28"/>
                      <w:szCs w:val="28"/>
                    </w:rPr>
                    <w:t>评审因素分类</w:t>
                  </w:r>
                </w:p>
              </w:tc>
              <w:tc>
                <w:tcPr>
                  <w:tcW w:w="8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>
                  <w:pPr>
                    <w:pStyle w:val="212"/>
                    <w:widowControl/>
                    <w:jc w:val="center"/>
                    <w:textAlignment w:val="center"/>
                    <w:rPr>
                      <w:rFonts w:ascii="仿宋_GB2312" w:eastAsia="仿宋_GB2312" w:cs="仿宋_GB2312" w:hint="eastAsia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cs="仿宋_GB2312" w:hint="eastAsia"/>
                      <w:color w:val="000000"/>
                      <w:kern w:val="0"/>
                      <w:sz w:val="28"/>
                      <w:szCs w:val="28"/>
                    </w:rPr>
                    <w:t>评审项</w:t>
                  </w:r>
                </w:p>
              </w:tc>
              <w:tc>
                <w:tcPr>
                  <w:tcW w:w="39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>
                  <w:pPr>
                    <w:pStyle w:val="212"/>
                    <w:widowControl/>
                    <w:jc w:val="center"/>
                    <w:textAlignment w:val="center"/>
                    <w:rPr>
                      <w:rFonts w:ascii="仿宋_GB2312" w:eastAsia="仿宋_GB2312" w:cs="仿宋_GB2312" w:hint="eastAsia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cs="仿宋_GB2312" w:hint="eastAsia"/>
                      <w:color w:val="000000"/>
                      <w:kern w:val="0"/>
                      <w:sz w:val="28"/>
                      <w:szCs w:val="28"/>
                    </w:rPr>
                    <w:t>详细描述</w:t>
                  </w:r>
                </w:p>
              </w:tc>
              <w:tc>
                <w:tcPr>
                  <w:tcW w:w="49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>
                  <w:pPr>
                    <w:pStyle w:val="212"/>
                    <w:widowControl/>
                    <w:jc w:val="center"/>
                    <w:textAlignment w:val="center"/>
                    <w:rPr>
                      <w:rFonts w:ascii="仿宋_GB2312" w:eastAsia="仿宋_GB2312" w:cs="仿宋_GB2312" w:hint="eastAsia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cs="仿宋_GB2312" w:hint="eastAsia"/>
                      <w:color w:val="000000"/>
                      <w:kern w:val="0"/>
                      <w:sz w:val="28"/>
                      <w:szCs w:val="28"/>
                    </w:rPr>
                    <w:t>分值</w:t>
                  </w:r>
                </w:p>
              </w:tc>
            </w:tr>
            <w:tr>
              <w:trPr>
                <w:trHeight w:val="2160"/>
              </w:trPr>
              <w:tc>
                <w:tcPr>
                  <w:tcW w:w="1143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nil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>
                  <w:pPr>
                    <w:pStyle w:val="212"/>
                    <w:widowControl/>
                    <w:jc w:val="center"/>
                    <w:textAlignment w:val="center"/>
                    <w:rPr>
                      <w:rFonts w:ascii="仿宋_GB2312" w:eastAsia="仿宋_GB2312" w:cs="仿宋_GB2312" w:hint="eastAsia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cs="仿宋_GB2312" w:hint="eastAsia"/>
                      <w:color w:val="000000"/>
                      <w:kern w:val="0"/>
                      <w:sz w:val="28"/>
                      <w:szCs w:val="28"/>
                    </w:rPr>
                    <w:t>技术部分</w:t>
                  </w:r>
                </w:p>
              </w:tc>
              <w:tc>
                <w:tcPr>
                  <w:tcW w:w="8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>
                  <w:pPr>
                    <w:pStyle w:val="212"/>
                    <w:widowControl/>
                    <w:jc w:val="center"/>
                    <w:textAlignment w:val="center"/>
                    <w:rPr>
                      <w:rFonts w:ascii="仿宋_GB2312" w:eastAsia="仿宋_GB2312" w:cs="仿宋_GB2312" w:hint="eastAsia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cs="仿宋_GB2312" w:hint="eastAsia"/>
                      <w:color w:val="000000"/>
                      <w:kern w:val="0"/>
                      <w:sz w:val="28"/>
                      <w:szCs w:val="28"/>
                      <w:lang w:val="en-US" w:eastAsia="zh-CN"/>
                    </w:rPr>
                    <w:t>运维服务</w:t>
                  </w:r>
                  <w:r>
                    <w:rPr>
                      <w:rFonts w:ascii="仿宋_GB2312" w:eastAsia="仿宋_GB2312" w:cs="仿宋_GB2312" w:hint="eastAsia"/>
                      <w:color w:val="000000"/>
                      <w:kern w:val="0"/>
                      <w:sz w:val="28"/>
                      <w:szCs w:val="28"/>
                    </w:rPr>
                    <w:t>方案</w:t>
                  </w:r>
                </w:p>
              </w:tc>
              <w:tc>
                <w:tcPr>
                  <w:tcW w:w="39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>
                  <w:pPr>
                    <w:pStyle w:val="212"/>
                    <w:widowControl/>
                    <w:textAlignment w:val="center"/>
                    <w:rPr>
                      <w:rFonts w:ascii="仿宋_GB2312" w:eastAsia="仿宋_GB2312" w:cs="仿宋_GB2312" w:hint="eastAsia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仿宋_GB2312" w:eastAsia="仿宋_GB2312" w:cs="仿宋_GB2312" w:hint="eastAsia"/>
                      <w:color w:val="000000"/>
                      <w:kern w:val="0"/>
                      <w:sz w:val="22"/>
                      <w:szCs w:val="22"/>
                    </w:rPr>
                    <w:t>投标人提供详细方案，根据其合理可行性、内容完整性、针对性进行评分。方案详细完善、合理可行性强的得16-20分，方案详细完善、合理可行性良好的得11-15分，方案详细完善、合理可行性较好的得6-10分，方案完善性、合理可行性一般的得1-5分。</w:t>
                  </w:r>
                </w:p>
              </w:tc>
              <w:tc>
                <w:tcPr>
                  <w:tcW w:w="49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>
                  <w:pPr>
                    <w:pStyle w:val="212"/>
                    <w:widowControl/>
                    <w:jc w:val="center"/>
                    <w:textAlignment w:val="center"/>
                    <w:rPr>
                      <w:rFonts w:ascii="仿宋_GB2312" w:eastAsia="仿宋_GB2312" w:cs="仿宋_GB2312" w:hint="eastAsia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cs="仿宋_GB2312" w:hint="eastAsia"/>
                      <w:color w:val="000000"/>
                      <w:kern w:val="0"/>
                      <w:sz w:val="28"/>
                      <w:szCs w:val="28"/>
                    </w:rPr>
                    <w:t>20</w:t>
                  </w:r>
                </w:p>
              </w:tc>
            </w:tr>
            <w:tr>
              <w:trPr>
                <w:trHeight w:val="2160"/>
              </w:trPr>
              <w:tc>
                <w:tcPr>
                  <w:tcW w:w="1143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nil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/>
              </w:tc>
              <w:tc>
                <w:tcPr>
                  <w:tcW w:w="8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>
                  <w:pPr>
                    <w:pStyle w:val="212"/>
                    <w:widowControl/>
                    <w:jc w:val="center"/>
                    <w:textAlignment w:val="center"/>
                    <w:rPr>
                      <w:rFonts w:ascii="仿宋_GB2312" w:eastAsia="仿宋_GB2312" w:cs="仿宋_GB2312" w:hint="eastAsia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cs="仿宋_GB2312" w:hint="eastAsia"/>
                      <w:color w:val="000000"/>
                      <w:kern w:val="0"/>
                      <w:sz w:val="28"/>
                      <w:szCs w:val="28"/>
                    </w:rPr>
                    <w:t>质量保证方案</w:t>
                  </w:r>
                </w:p>
              </w:tc>
              <w:tc>
                <w:tcPr>
                  <w:tcW w:w="39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>
                  <w:pPr>
                    <w:pStyle w:val="212"/>
                    <w:widowControl/>
                    <w:textAlignment w:val="center"/>
                    <w:rPr>
                      <w:rFonts w:ascii="仿宋_GB2312" w:eastAsia="仿宋_GB2312" w:cs="仿宋_GB2312" w:hint="eastAsia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仿宋_GB2312" w:eastAsia="仿宋_GB2312" w:cs="仿宋_GB2312" w:hint="eastAsia"/>
                      <w:color w:val="000000"/>
                      <w:kern w:val="0"/>
                      <w:sz w:val="22"/>
                      <w:szCs w:val="22"/>
                    </w:rPr>
                    <w:t>根据质量保证措施等进行评审：方案科学完善性、专业合理性、实用性强的得16-20分、方案科学完善性、专业合理性、实用性良好的得11-15分，方案科学完善性、专业合理性、实用性较好的得6-10分，方案科学完善性、专业合理性、实用性一般的得1-5分。</w:t>
                  </w:r>
                </w:p>
              </w:tc>
              <w:tc>
                <w:tcPr>
                  <w:tcW w:w="49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>
                  <w:pPr>
                    <w:pStyle w:val="212"/>
                    <w:widowControl/>
                    <w:jc w:val="center"/>
                    <w:textAlignment w:val="center"/>
                    <w:rPr>
                      <w:rFonts w:ascii="仿宋_GB2312" w:eastAsia="仿宋_GB2312" w:cs="仿宋_GB2312" w:hint="eastAsia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cs="仿宋_GB2312" w:hint="eastAsia"/>
                      <w:color w:val="000000"/>
                      <w:kern w:val="0"/>
                      <w:sz w:val="28"/>
                      <w:szCs w:val="28"/>
                    </w:rPr>
                    <w:t>20</w:t>
                  </w:r>
                </w:p>
              </w:tc>
            </w:tr>
            <w:tr>
              <w:trPr>
                <w:trHeight w:val="2700"/>
              </w:trPr>
              <w:tc>
                <w:tcPr>
                  <w:tcW w:w="1143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nil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/>
              </w:tc>
              <w:tc>
                <w:tcPr>
                  <w:tcW w:w="8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>
                  <w:pPr>
                    <w:pStyle w:val="212"/>
                    <w:widowControl/>
                    <w:jc w:val="center"/>
                    <w:textAlignment w:val="center"/>
                    <w:rPr>
                      <w:rFonts w:ascii="仿宋_GB2312" w:eastAsia="仿宋_GB2312" w:cs="仿宋_GB2312" w:hint="eastAsia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cs="仿宋_GB2312" w:hint="eastAsia"/>
                      <w:color w:val="000000"/>
                      <w:kern w:val="0"/>
                      <w:sz w:val="28"/>
                      <w:szCs w:val="28"/>
                    </w:rPr>
                    <w:t>售后服务方案</w:t>
                  </w:r>
                </w:p>
              </w:tc>
              <w:tc>
                <w:tcPr>
                  <w:tcW w:w="39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>
                  <w:pPr>
                    <w:pStyle w:val="212"/>
                    <w:widowControl/>
                    <w:textAlignment w:val="center"/>
                    <w:rPr>
                      <w:rFonts w:ascii="仿宋_GB2312" w:eastAsia="仿宋_GB2312" w:cs="仿宋_GB2312" w:hint="eastAsia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仿宋_GB2312" w:eastAsia="仿宋_GB2312" w:cs="仿宋_GB2312" w:hint="eastAsia"/>
                      <w:color w:val="000000"/>
                      <w:kern w:val="0"/>
                      <w:sz w:val="22"/>
                      <w:szCs w:val="22"/>
                    </w:rPr>
                    <w:t>根据供应商提供的售后服务计划进行评价：方案全面详细，针对性、可操作性强，完全满足项目要求的得15-20分，方案较为详细，针对性可操作性较强,满足项目要求的得8-14分，方案偏简单,针对性、可操作性一般,基本满足项目要求的得1-7分。</w:t>
                  </w:r>
                </w:p>
              </w:tc>
              <w:tc>
                <w:tcPr>
                  <w:tcW w:w="49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>
                  <w:pPr>
                    <w:pStyle w:val="212"/>
                    <w:widowControl/>
                    <w:jc w:val="center"/>
                    <w:textAlignment w:val="center"/>
                    <w:rPr>
                      <w:rFonts w:ascii="仿宋_GB2312" w:eastAsia="仿宋_GB2312" w:cs="仿宋_GB2312" w:hint="eastAsia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cs="仿宋_GB2312" w:hint="eastAsia"/>
                      <w:color w:val="000000"/>
                      <w:kern w:val="0"/>
                      <w:sz w:val="28"/>
                      <w:szCs w:val="28"/>
                    </w:rPr>
                    <w:t>20</w:t>
                  </w:r>
                </w:p>
              </w:tc>
            </w:tr>
            <w:tr>
              <w:trPr>
                <w:trHeight w:val="5802"/>
              </w:trPr>
              <w:tc>
                <w:tcPr>
                  <w:tcW w:w="114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>
                  <w:pPr>
                    <w:pStyle w:val="212"/>
                    <w:widowControl/>
                    <w:jc w:val="center"/>
                    <w:textAlignment w:val="center"/>
                    <w:rPr>
                      <w:rFonts w:ascii="仿宋_GB2312" w:eastAsia="仿宋_GB2312" w:cs="仿宋_GB2312" w:hint="eastAsia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cs="仿宋_GB2312" w:hint="eastAsia"/>
                      <w:color w:val="000000"/>
                      <w:kern w:val="0"/>
                      <w:sz w:val="28"/>
                      <w:szCs w:val="28"/>
                    </w:rPr>
                    <w:t>商务部分</w:t>
                  </w:r>
                </w:p>
              </w:tc>
              <w:tc>
                <w:tcPr>
                  <w:tcW w:w="4740" w:type="dxa"/>
                  <w:gridSpan w:val="2"/>
                  <w:tcBorders>
                    <w:top w:val="single" w:sz="4" w:space="0" w:color="000000"/>
                    <w:left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>
                  <w:pPr>
                    <w:pStyle w:val="212"/>
                    <w:widowControl/>
                    <w:textAlignment w:val="center"/>
                    <w:rPr>
                      <w:rFonts w:ascii="Times New Roman" w:eastAsia="Times New Roman" w:cs="Times New Roman" w:hAnsi="Times New Roman" w:hint="eastAsia"/>
                      <w:color w:val="000000"/>
                      <w:kern w:val="0"/>
                      <w:sz w:val="22"/>
                      <w:szCs w:val="22"/>
                      <w:shd w:val="clear" w:color="auto" w:fill="auto"/>
                    </w:rPr>
                  </w:pPr>
                  <w:r>
                    <w:rPr>
                      <w:rFonts w:ascii="Times New Roman" w:eastAsia="Times New Roman" w:cs="Times New Roman" w:hAnsi="Times New Roman" w:hint="eastAsia"/>
                      <w:color w:val="000000"/>
                      <w:kern w:val="0"/>
                      <w:sz w:val="22"/>
                      <w:szCs w:val="22"/>
                      <w:shd w:val="clear" w:color="auto" w:fill="auto"/>
                    </w:rPr>
                    <w:t>供应商提供2022年1</w:t>
                  </w:r>
                  <w:r>
                    <w:rPr>
                      <w:rFonts w:ascii="Times New Roman" w:eastAsia="Times New Roman" w:cs="Times New Roman" w:hAnsi="Times New Roman" w:hint="eastAsia"/>
                      <w:color w:val="000000"/>
                      <w:kern w:val="0"/>
                      <w:sz w:val="22"/>
                      <w:szCs w:val="22"/>
                      <w:shd w:val="clear" w:color="auto" w:fill="auto"/>
                      <w:lang w:val="en-US" w:eastAsia="zh-CN"/>
                    </w:rPr>
                    <w:t>0</w:t>
                  </w:r>
                  <w:r>
                    <w:rPr>
                      <w:rFonts w:ascii="Times New Roman" w:eastAsia="Times New Roman" w:cs="Times New Roman" w:hAnsi="Times New Roman" w:hint="eastAsia"/>
                      <w:color w:val="000000"/>
                      <w:kern w:val="0"/>
                      <w:sz w:val="22"/>
                      <w:szCs w:val="22"/>
                      <w:shd w:val="clear" w:color="auto" w:fill="auto"/>
                    </w:rPr>
                    <w:t>月至今，与本项目类似的业绩，(以合同签订时间为准)合同扫描件，每提供一项得</w:t>
                  </w:r>
                  <w:r>
                    <w:rPr>
                      <w:rFonts w:ascii="Times New Roman" w:eastAsia="Times New Roman" w:cs="Times New Roman" w:hAnsi="Times New Roman" w:hint="eastAsia"/>
                      <w:color w:val="000000"/>
                      <w:kern w:val="0"/>
                      <w:sz w:val="22"/>
                      <w:szCs w:val="22"/>
                      <w:shd w:val="clear" w:color="auto" w:fill="auto"/>
                      <w:lang w:val="en-US" w:eastAsia="zh-CN"/>
                    </w:rPr>
                    <w:t>5</w:t>
                  </w:r>
                  <w:r>
                    <w:rPr>
                      <w:rFonts w:ascii="Times New Roman" w:eastAsia="Times New Roman" w:cs="Times New Roman" w:hAnsi="Times New Roman" w:hint="eastAsia"/>
                      <w:color w:val="000000"/>
                      <w:kern w:val="0"/>
                      <w:sz w:val="22"/>
                      <w:szCs w:val="22"/>
                      <w:shd w:val="clear" w:color="auto" w:fill="auto"/>
                    </w:rPr>
                    <w:t>分，最高得10分；未提供，不得分。注：提供的合同，应为合同全本，具备单位公章或合同专用章。提供的材料关键信息不清晰，无法辨认是否为有效材料时，不予加分。</w:t>
                  </w:r>
                </w:p>
                <w:p>
                  <w:pPr>
                    <w:pStyle w:val="212"/>
                    <w:widowControl/>
                    <w:textAlignment w:val="center"/>
                    <w:rPr>
                      <w:rFonts w:ascii="Times New Roman" w:eastAsia="Times New Roman" w:cs="Times New Roman" w:hAnsi="Times New Roman" w:hint="eastAsia"/>
                      <w:color w:val="000000"/>
                      <w:kern w:val="0"/>
                      <w:sz w:val="22"/>
                      <w:szCs w:val="22"/>
                      <w:shd w:val="clear" w:color="auto" w:fill="auto"/>
                    </w:rPr>
                  </w:pPr>
                  <w:r>
                    <w:rPr>
                      <w:rFonts w:ascii="Times New Roman" w:eastAsia="Times New Roman" w:cs="Times New Roman" w:hAnsi="Times New Roman" w:hint="eastAsia"/>
                      <w:color w:val="000000"/>
                      <w:kern w:val="0"/>
                      <w:sz w:val="22"/>
                      <w:szCs w:val="22"/>
                      <w:shd w:val="clear" w:color="auto" w:fill="auto"/>
                    </w:rPr>
                    <w:t>投标人须具备ISO9001质量管理体系认证证书、</w:t>
                  </w:r>
                  <w:r>
                    <w:rPr>
                      <w:rFonts w:ascii="Times New Roman" w:eastAsia="Times New Roman" w:cs="Times New Roman" w:hAnsi="Times New Roman" w:hint="eastAsia"/>
                      <w:color w:val="000000"/>
                      <w:kern w:val="0"/>
                      <w:sz w:val="22"/>
                      <w:szCs w:val="22"/>
                      <w:shd w:val="clear" w:color="auto" w:fill="auto"/>
                      <w:lang w:val="en-US" w:eastAsia="zh-CN"/>
                    </w:rPr>
                    <w:t>数据安全服务能力评定资格证书-数据安全评估能力一级</w:t>
                  </w:r>
                  <w:r>
                    <w:rPr>
                      <w:rFonts w:ascii="Times New Roman" w:eastAsia="Times New Roman" w:cs="Times New Roman" w:hAnsi="Times New Roman" w:hint="eastAsia"/>
                      <w:color w:val="000000"/>
                      <w:kern w:val="0"/>
                      <w:sz w:val="22"/>
                      <w:szCs w:val="22"/>
                      <w:shd w:val="clear" w:color="auto" w:fill="auto"/>
                    </w:rPr>
                    <w:t>或以上证书、</w:t>
                  </w:r>
                  <w:r>
                    <w:rPr>
                      <w:rFonts w:ascii="Times New Roman" w:eastAsia="Times New Roman" w:cs="Times New Roman" w:hAnsi="Times New Roman" w:hint="eastAsia"/>
                      <w:color w:val="000000"/>
                      <w:kern w:val="0"/>
                      <w:sz w:val="22"/>
                      <w:szCs w:val="22"/>
                      <w:shd w:val="clear" w:color="auto" w:fill="auto"/>
                      <w:lang w:val="en-US" w:eastAsia="zh-CN"/>
                    </w:rPr>
                    <w:t>数据安全服务能力评定资格证书-数据安全建设能力一级</w:t>
                  </w:r>
                  <w:r>
                    <w:rPr>
                      <w:rFonts w:ascii="Times New Roman" w:eastAsia="Times New Roman" w:cs="Times New Roman" w:hAnsi="Times New Roman" w:hint="eastAsia"/>
                      <w:color w:val="000000"/>
                      <w:kern w:val="0"/>
                      <w:sz w:val="22"/>
                      <w:szCs w:val="22"/>
                      <w:shd w:val="clear" w:color="auto" w:fill="auto"/>
                    </w:rPr>
                    <w:t>或以上证书、国家信息安全漏洞库（CNNVD）技术支撑单位等级证书，全部满足得5分，没有或提供不全不得分。</w:t>
                  </w:r>
                </w:p>
                <w:p>
                  <w:pPr>
                    <w:pStyle w:val="212"/>
                    <w:widowControl/>
                    <w:textAlignment w:val="center"/>
                    <w:rPr>
                      <w:rFonts w:ascii="Times New Roman" w:eastAsia="Times New Roman" w:cs="Times New Roman" w:hAnsi="Times New Roman" w:hint="eastAsia"/>
                      <w:color w:val="000000"/>
                      <w:kern w:val="0"/>
                      <w:sz w:val="22"/>
                      <w:szCs w:val="22"/>
                      <w:shd w:val="clear" w:color="auto" w:fill="auto"/>
                    </w:rPr>
                  </w:pPr>
                  <w:r>
                    <w:rPr>
                      <w:rFonts w:ascii="Times New Roman" w:eastAsia="Times New Roman" w:cs="Times New Roman" w:hAnsi="Times New Roman" w:hint="eastAsia"/>
                      <w:color w:val="000000"/>
                      <w:kern w:val="0"/>
                      <w:sz w:val="22"/>
                      <w:szCs w:val="22"/>
                      <w:shd w:val="clear" w:color="auto" w:fill="auto"/>
                    </w:rPr>
                    <w:t>投标人须具备CCRC信息安全服务资质认证证书-信息系统安全运维服务资质、CCRC信息安全服务资质认证证书-信息安全风险评估服务资质、CCRC信息安全服务资质认证证书-信息安全应急处理服务资质等三级或以上证书，全部满足得5分，没有或提供不全不得分。</w:t>
                  </w:r>
                </w:p>
              </w:tc>
              <w:tc>
                <w:tcPr>
                  <w:tcW w:w="49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>
                  <w:pPr>
                    <w:pStyle w:val="212"/>
                    <w:widowControl/>
                    <w:jc w:val="center"/>
                    <w:textAlignment w:val="center"/>
                    <w:rPr>
                      <w:rFonts w:ascii="仿宋_GB2312" w:eastAsia="仿宋_GB2312" w:cs="仿宋_GB2312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cs="仿宋_GB2312" w:hint="eastAsia"/>
                      <w:color w:val="000000"/>
                      <w:sz w:val="28"/>
                      <w:szCs w:val="28"/>
                      <w:lang w:val="en-US" w:eastAsia="zh-CN"/>
                    </w:rPr>
                    <w:t>20</w:t>
                  </w:r>
                </w:p>
              </w:tc>
            </w:tr>
            <w:tr>
              <w:trPr>
                <w:trHeight w:val="2700"/>
              </w:trPr>
              <w:tc>
                <w:tcPr>
                  <w:tcW w:w="114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>
                  <w:pPr>
                    <w:pStyle w:val="212"/>
                    <w:widowControl/>
                    <w:jc w:val="center"/>
                    <w:textAlignment w:val="center"/>
                    <w:rPr>
                      <w:rFonts w:ascii="仿宋_GB2312" w:eastAsia="仿宋_GB2312" w:cs="仿宋_GB2312" w:hint="eastAsia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cs="仿宋_GB2312" w:hint="eastAsia"/>
                      <w:color w:val="000000"/>
                      <w:kern w:val="0"/>
                      <w:sz w:val="28"/>
                      <w:szCs w:val="28"/>
                    </w:rPr>
                    <w:t>报价得分</w:t>
                  </w:r>
                </w:p>
              </w:tc>
              <w:tc>
                <w:tcPr>
                  <w:tcW w:w="4740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>
                  <w:pPr>
                    <w:pStyle w:val="212"/>
                    <w:widowControl/>
                    <w:textAlignment w:val="center"/>
                    <w:rPr>
                      <w:rFonts w:ascii="Times New Roman" w:eastAsia="Times New Roman" w:cs="Times New Roman" w:hAnsi="Times New Roman" w:hint="eastAsia"/>
                      <w:color w:val="000000"/>
                      <w:kern w:val="0"/>
                      <w:sz w:val="22"/>
                      <w:szCs w:val="22"/>
                      <w:shd w:val="clear" w:color="auto" w:fill="auto"/>
                    </w:rPr>
                  </w:pPr>
                  <w:r>
                    <w:rPr>
                      <w:rFonts w:ascii="Times New Roman" w:eastAsia="Times New Roman" w:cs="Times New Roman" w:hAnsi="Times New Roman" w:hint="eastAsia"/>
                      <w:color w:val="000000"/>
                      <w:kern w:val="0"/>
                      <w:sz w:val="22"/>
                      <w:szCs w:val="22"/>
                      <w:shd w:val="clear" w:color="auto" w:fill="auto"/>
                    </w:rPr>
                    <w:t>价格项评审因素得分＝（评标基准价/投标报价）×100×价格项评审因素所占的权重（注：1.满足</w:t>
                  </w:r>
                  <w:r>
                    <w:rPr>
                      <w:rFonts w:ascii="Times New Roman" w:eastAsia="Times New Roman" w:cs="Times New Roman" w:hAnsi="Times New Roman" w:hint="eastAsia"/>
                      <w:color w:val="000000"/>
                      <w:kern w:val="0"/>
                      <w:sz w:val="22"/>
                      <w:szCs w:val="22"/>
                      <w:shd w:val="clear" w:color="auto" w:fill="auto"/>
                      <w:lang w:val="en-US" w:eastAsia="zh-CN"/>
                    </w:rPr>
                    <w:t>采购需求</w:t>
                  </w:r>
                  <w:r>
                    <w:rPr>
                      <w:rFonts w:ascii="Times New Roman" w:eastAsia="Times New Roman" w:cs="Times New Roman" w:hAnsi="Times New Roman" w:hint="eastAsia"/>
                      <w:color w:val="000000"/>
                      <w:kern w:val="0"/>
                      <w:sz w:val="22"/>
                      <w:szCs w:val="22"/>
                      <w:shd w:val="clear" w:color="auto" w:fill="auto"/>
                    </w:rPr>
                    <w:t>且投</w:t>
                  </w:r>
                  <w:r>
                    <w:rPr>
                      <w:rFonts w:ascii="Times New Roman" w:eastAsia="Times New Roman" w:cs="Times New Roman" w:hAnsi="Times New Roman" w:hint="eastAsia"/>
                      <w:color w:val="000000"/>
                      <w:kern w:val="0"/>
                      <w:sz w:val="22"/>
                      <w:szCs w:val="22"/>
                      <w:shd w:val="clear" w:color="auto" w:fill="auto"/>
                      <w:lang w:val="en-US" w:eastAsia="zh-CN"/>
                    </w:rPr>
                    <w:t>报价</w:t>
                  </w:r>
                  <w:r>
                    <w:rPr>
                      <w:rFonts w:ascii="Times New Roman" w:eastAsia="Times New Roman" w:cs="Times New Roman" w:hAnsi="Times New Roman" w:hint="eastAsia"/>
                      <w:color w:val="000000"/>
                      <w:kern w:val="0"/>
                      <w:sz w:val="22"/>
                      <w:szCs w:val="22"/>
                      <w:shd w:val="clear" w:color="auto" w:fill="auto"/>
                    </w:rPr>
                    <w:t>最低的为评标基准价。2.报价得分精确到小数点后两位，小数点后第三位四舍五入。）</w:t>
                  </w:r>
                </w:p>
              </w:tc>
              <w:tc>
                <w:tcPr>
                  <w:tcW w:w="49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>
                  <w:pPr>
                    <w:pStyle w:val="212"/>
                    <w:widowControl/>
                    <w:jc w:val="center"/>
                    <w:textAlignment w:val="center"/>
                    <w:rPr>
                      <w:rFonts w:ascii="仿宋_GB2312" w:eastAsia="仿宋_GB2312" w:cs="仿宋_GB2312" w:hint="eastAsia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cs="仿宋_GB2312" w:hint="eastAsia"/>
                      <w:color w:val="000000"/>
                      <w:kern w:val="0"/>
                      <w:sz w:val="28"/>
                      <w:szCs w:val="28"/>
                    </w:rPr>
                    <w:t>20</w:t>
                  </w:r>
                </w:p>
              </w:tc>
            </w:tr>
          </w:tbl>
          <w:p>
            <w:pPr>
              <w:pStyle w:val="212"/>
              <w:spacing w:line="400" w:lineRule="exact"/>
              <w:jc w:val="left"/>
              <w:rPr>
                <w:rFonts w:ascii="仿宋_GB2312" w:eastAsia="仿宋_GB2312" w:cs="仿宋_GB2312" w:hint="eastAsia"/>
                <w:sz w:val="28"/>
                <w:szCs w:val="28"/>
              </w:rPr>
            </w:pPr>
          </w:p>
        </w:tc>
      </w:tr>
    </w:tbl>
    <w:p>
      <w:pPr>
        <w:jc w:val="left"/>
      </w:pPr>
    </w:p>
    <w:p>
      <w:pPr>
        <w:jc w:val="left"/>
      </w:pPr>
    </w:p>
    <w:sectPr>
      <w:footerReference w:type="default" r:id="rId2"/>
      <w:pgSz w:w="11907" w:h="16840"/>
      <w:pgMar w:top="2098" w:right="1474" w:bottom="1985" w:left="1588" w:header="1814" w:footer="1474" w:gutter="0"/>
      <w:pgNumType w:start="0"/>
      <w:titlePg/>
      <w:docGrid w:type="linesAndChars" w:linePitch="580" w:charSpace="21685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variable"/>
    <w:sig w:usb0="00000000" w:usb1="0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仿宋_GB2312">
    <w:altName w:val="仿宋"/>
    <w:panose1 w:val="02010609030101010101"/>
    <w:charset w:val="86"/>
    <w:family w:val="auto"/>
    <w:pitch w:val="variable"/>
    <w:sig w:usb0="00000000" w:usb1="00000000" w:usb2="00000000" w:usb3="00000000" w:csb0="00040000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variable"/>
    <w:sig w:usb0="00000001" w:usb1="080E0000" w:usb2="00000000" w:usb3="00000000" w:csb0="00040000" w:csb1="00000000"/>
  </w:font>
  <w:font w:name="Courier New">
    <w:panose1 w:val="02070409020205090404"/>
    <w:charset w:val="00"/>
    <w:family w:val="auto"/>
    <w:pitch w:val="variable"/>
    <w:sig w:usb0="00007A87" w:usb1="80000000" w:usb2="00000008" w:usb3="00000000" w:csb0="400001FF" w:csb1="FFFF0000"/>
  </w:font>
  <w:font w:name="Cambria">
    <w:panose1 w:val="02040503050406030204"/>
    <w:charset w:val="00"/>
    <w:family w:val="auto"/>
    <w:pitch w:val="variable"/>
    <w:sig w:usb0="E00002FF" w:usb1="400004FF" w:usb2="00000000" w:usb3="00000000" w:csb0="2000019F" w:csb1="00000000"/>
  </w:font>
  <w:font w:name="ＭＳ 明朝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variable"/>
    <w:sig w:usb0="00000000" w:usb1="00000000" w:usb2="00000000" w:usb3="00000000" w:csb0="80000000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7"/>
      <w:tabs>
        <w:tab w:val="center" w:pos="4153"/>
        <w:tab w:val="right" w:pos="8307"/>
      </w:tabs>
      <w:jc w:val="center"/>
      <w:rPr>
        <w:sz w:val="32"/>
        <w:szCs w:val="32"/>
      </w:rPr>
    </w:pPr>
    <w:r>
      <w:rPr>
        <w:sz w:val="32"/>
        <w:szCs w:val="32"/>
      </w:rPr>
      <w:fldChar w:fldCharType="begin"/>
    </w:r>
    <w:r>
      <w:rPr>
        <w:sz w:val="32"/>
        <w:szCs w:val="32"/>
      </w:rPr>
      <w:instrText>Page</w:instrText>
    </w:r>
    <w:r>
      <w:rPr>
        <w:sz w:val="32"/>
        <w:szCs w:val="32"/>
      </w:rPr>
      <w:fldChar w:fldCharType="separate"/>
    </w:r>
    <w:r>
      <w:rPr>
        <w:sz w:val="32"/>
        <w:szCs w:val="32"/>
      </w:rPr>
      <w:t>3</w:t>
    </w:r>
    <w:r>
      <w:rPr>
        <w:sz w:val="32"/>
        <w:szCs w:val="32"/>
      </w:rPr>
      <w:fldChar w:fldCharType="end"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75DCBBB5"/>
    <w:multiLevelType w:val="singleLevel"/>
    <w:tmpl w:val="75DCBBB5"/>
    <w:lvl w:ilvl="0">
      <w:start w:val="1"/>
      <w:numFmt w:val="decimal"/>
      <w:lvlRestart w:val="0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898B8510"/>
    <w:multiLevelType w:val="singleLevel"/>
    <w:tmpl w:val="898B8510"/>
    <w:lvl w:ilvl="0">
      <w:start w:val="1"/>
      <w:numFmt w:val="decimal"/>
      <w:lvlRestart w:val="0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5AA8369A"/>
    <w:multiLevelType w:val="singleLevel"/>
    <w:tmpl w:val="00000000"/>
    <w:lvl w:ilvl="0">
      <w:start w:val="1"/>
      <w:numFmt w:val="decimal"/>
      <w:lvlRestart w:val="0"/>
      <w:lvlText w:val="%1."/>
      <w:lvlJc w:val="left"/>
      <w:pPr>
        <w:tabs>
          <w:tab w:val="num" w:pos="1620"/>
        </w:tabs>
        <w:ind w:left="1620" w:hanging="360"/>
      </w:pPr>
    </w:lvl>
  </w:abstractNum>
  <w:abstractNum w:abstractNumId="3">
    <w:nsid w:val="C3D39E8B"/>
    <w:multiLevelType w:val="singleLevel"/>
    <w:tmpl w:val="00000000"/>
    <w:lvl w:ilvl="0">
      <w:start w:val="1"/>
      <w:numFmt w:val="bullet"/>
      <w:lvlRestart w:val="0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4">
    <w:nsid w:val="AC0B4617"/>
    <w:multiLevelType w:val="singleLevel"/>
    <w:tmpl w:val="00000000"/>
    <w:lvl w:ilvl="0">
      <w:start w:val="1"/>
      <w:numFmt w:val="bullet"/>
      <w:lvlRestart w:val="0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5">
    <w:nsid w:val="2DB41618"/>
    <w:multiLevelType w:val="singleLevel"/>
    <w:tmpl w:val="00000000"/>
    <w:lvl w:ilvl="0">
      <w:start w:val="1"/>
      <w:numFmt w:val="bullet"/>
      <w:lvlRestart w:val="0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97"/>
  <w:displayBackgroundShape/>
  <w:bordersDoNotSurroundHeader/>
  <w:bordersDoNotSurroundFooter/>
  <w:defaultTabStop w:val="420"/>
  <w:drawingGridHorizontalSpacing w:val="157"/>
  <w:drawingGridVerticalSpacing w:val="289"/>
  <w:displayHorizontalDrawingGridEvery w:val="2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pageBreakBefore w:val="0"/>
      <w:widowControl w:val="0"/>
      <w:suppressLineNumbers w:val="0"/>
      <w:suppressAutoHyphens w:val="0"/>
      <w:spacing w:before="0" w:after="0" w:line="560" w:lineRule="exact"/>
      <w:jc w:val="center"/>
      <w:outlineLvl w:val="0"/>
    </w:pPr>
    <w:rPr>
      <w:rFonts w:eastAsia="方正小标宋_GBK"/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pageBreakBefore w:val="0"/>
      <w:widowControl w:val="0"/>
      <w:suppressLineNumbers w:val="0"/>
      <w:suppressAutoHyphens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pageBreakBefore w:val="0"/>
      <w:widowControl w:val="0"/>
      <w:suppressLineNumbers w:val="0"/>
      <w:suppressAutoHyphens w:val="0"/>
      <w:spacing w:before="260" w:after="260" w:line="415" w:lineRule="auto"/>
      <w:outlineLvl w:val="2"/>
    </w:pPr>
    <w:rPr>
      <w:rFonts w:eastAsia="方正楷体_GBK"/>
      <w:b/>
      <w:sz w:val="32"/>
    </w:rPr>
  </w:style>
  <w:style w:type="character" w:default="1" w:styleId="10">
    <w:name w:val="Default Paragraph Font"/>
  </w:style>
  <w:style w:type="paragraph" w:styleId="15">
    <w:name w:val="toc 5"/>
    <w:basedOn w:val="0"/>
    <w:autoRedefine/>
    <w:next w:val="0"/>
    <w:pPr>
      <w:ind w:left="1680"/>
    </w:pPr>
  </w:style>
  <w:style w:type="paragraph" w:styleId="16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17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18">
    <w:name w:val="caption"/>
    <w:next w:val="0"/>
    <w:pPr>
      <w:widowControl w:val="0"/>
      <w:jc w:val="both"/>
    </w:pPr>
    <w:rPr>
      <w:rFonts w:ascii="Arial" w:eastAsia="黑体" w:cs="Arial" w:hAnsi="Arial"/>
      <w:b/>
      <w:bCs/>
      <w:kern w:val="2"/>
      <w:sz w:val="20"/>
      <w:szCs w:val="20"/>
      <w:lang w:val="en-US" w:eastAsia="zh-CN" w:bidi="ar-SA"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8 10 磅"/>
    <w:next w:val="15"/>
    <w:pPr>
      <w:widowControl w:val="0"/>
      <w:ind w:firstLineChars="200" w:firstLine="20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25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26">
    <w:name w:val="List 2"/>
    <w:basedOn w:val="0"/>
    <w:pPr>
      <w:ind w:left="840" w:hanging="420"/>
    </w:pPr>
  </w:style>
  <w:style w:type="paragraph" w:customStyle="1" w:styleId="27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List Paragraph"/>
    <w:next w:val="26"/>
    <w:pPr>
      <w:widowControl w:val="0"/>
      <w:ind w:firstLineChars="200" w:firstLine="20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34">
    <w:name w:val="List"/>
    <w:basedOn w:val="0"/>
    <w:pPr>
      <w:ind w:left="420" w:hanging="420"/>
    </w:pPr>
  </w:style>
  <w:style w:type="paragraph" w:styleId="35">
    <w:name w:val="List 3"/>
    <w:basedOn w:val="0"/>
    <w:pPr>
      <w:ind w:left="1260" w:hanging="420"/>
    </w:pPr>
  </w:style>
  <w:style w:type="paragraph" w:styleId="36">
    <w:name w:val="List Number 4"/>
    <w:basedOn w:val="0"/>
    <w:pPr>
      <w:numPr>
        <w:ilvl w:val="0"/>
        <w:numId w:val="3"/>
      </w:numPr>
    </w:pPr>
  </w:style>
  <w:style w:type="paragraph" w:styleId="37">
    <w:name w:val="Normal (Web)"/>
    <w:pPr>
      <w:widowControl w:val="0"/>
      <w:spacing w:before="100" w:beforeAutospacing="1" w:after="100" w:afterAutospacing="1" w:line="240" w:lineRule="auto"/>
      <w:jc w:val="left"/>
    </w:pPr>
    <w:rPr>
      <w:rFonts w:ascii="宋体" w:eastAsia="宋体" w:cs="Times New Roman"/>
      <w:kern w:val="2"/>
      <w:sz w:val="24"/>
      <w:szCs w:val="24"/>
      <w:lang w:val="en-US" w:eastAsia="zh-CN" w:bidi="ar-SA"/>
    </w:rPr>
  </w:style>
  <w:style w:type="paragraph" w:customStyle="1" w:styleId="38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styleId="39">
    <w:name w:val="endnote reference"/>
    <w:basedOn w:val="10"/>
    <w:rPr>
      <w:vertAlign w:val="superscript"/>
    </w:rPr>
  </w:style>
  <w:style w:type="paragraph" w:styleId="40">
    <w:name w:val="macro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  <w:jc w:val="left"/>
    </w:pPr>
    <w:rPr>
      <w:rFonts w:ascii="Courier New" w:eastAsia="宋体" w:cs="Times New Roman" w:hAnsi="Courier New"/>
      <w:sz w:val="24"/>
      <w:szCs w:val="24"/>
      <w:lang w:val="en-US" w:eastAsia="zh-CN" w:bidi="ar-SA"/>
    </w:rPr>
  </w:style>
  <w:style w:type="paragraph" w:styleId="41">
    <w:name w:val="List Bullet 5"/>
    <w:basedOn w:val="0"/>
    <w:pPr>
      <w:numPr>
        <w:ilvl w:val="0"/>
        <w:numId w:val="4"/>
      </w:numPr>
    </w:pPr>
  </w:style>
  <w:style w:type="paragraph" w:customStyle="1" w:styleId="42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35 10 磅"/>
    <w:next w:val="62"/>
    <w:pPr>
      <w:widowControl w:val="0"/>
      <w:spacing w:line="240" w:lineRule="auto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45">
    <w:name w:val="样式 3 小四"/>
    <w:next w:val="40"/>
    <w:pPr>
      <w:widowControl w:val="0"/>
      <w:spacing w:before="100" w:beforeAutospacing="1" w:after="100" w:afterAutospacing="1" w:line="240" w:lineRule="auto"/>
      <w:jc w:val="left"/>
    </w:pPr>
    <w:rPr>
      <w:rFonts w:ascii="宋体" w:eastAsia="宋体" w:cs="Times New Roman"/>
      <w:kern w:val="2"/>
      <w:sz w:val="24"/>
      <w:szCs w:val="24"/>
      <w:lang w:val="en-US" w:eastAsia="zh-CN" w:bidi="ar-SA"/>
    </w:rPr>
  </w:style>
  <w:style w:type="paragraph" w:customStyle="1" w:styleId="46">
    <w:name w:val="样式 12 小四"/>
    <w:next w:val="41"/>
    <w:pPr>
      <w:widowControl w:val="0"/>
      <w:spacing w:before="100" w:beforeAutospacing="1" w:after="100" w:afterAutospacing="1" w:line="240" w:lineRule="auto"/>
      <w:jc w:val="left"/>
    </w:pPr>
    <w:rPr>
      <w:rFonts w:ascii="宋体" w:eastAsia="宋体" w:cs="Times New Roman"/>
      <w:kern w:val="2"/>
      <w:sz w:val="24"/>
      <w:szCs w:val="24"/>
      <w:lang w:val="en-US" w:eastAsia="zh-CN" w:bidi="ar-SA"/>
    </w:rPr>
  </w:style>
  <w:style w:type="paragraph" w:styleId="47">
    <w:name w:val="List Bullet 2"/>
    <w:basedOn w:val="0"/>
    <w:pPr>
      <w:numPr>
        <w:ilvl w:val="0"/>
        <w:numId w:val="5"/>
      </w:numPr>
    </w:pPr>
  </w:style>
  <w:style w:type="paragraph" w:styleId="48">
    <w:name w:val="List Bullet 3"/>
    <w:basedOn w:val="0"/>
    <w:pPr>
      <w:numPr>
        <w:ilvl w:val="0"/>
        <w:numId w:val="6"/>
      </w:numPr>
    </w:pPr>
  </w:style>
  <w:style w:type="paragraph" w:customStyle="1" w:styleId="49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37 10 磅"/>
    <w:next w:val="48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2">
    <w:name w:val="样式 54 10 磅"/>
    <w:next w:val="80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53">
    <w:name w:val="toc 1"/>
    <w:basedOn w:val="0"/>
    <w:autoRedefine/>
    <w:next w:val="0"/>
  </w:style>
  <w:style w:type="paragraph" w:styleId="54">
    <w:name w:val="toc 7"/>
    <w:basedOn w:val="0"/>
    <w:autoRedefine/>
    <w:next w:val="0"/>
    <w:pPr>
      <w:ind w:left="2520"/>
    </w:pPr>
  </w:style>
  <w:style w:type="paragraph" w:styleId="55">
    <w:name w:val="Normal Indent"/>
    <w:basedOn w:val="0"/>
    <w:pPr>
      <w:ind w:firstLine="420"/>
    </w:pPr>
  </w:style>
  <w:style w:type="character" w:styleId="56">
    <w:name w:val="line number"/>
    <w:basedOn w:val="10"/>
  </w:style>
  <w:style w:type="paragraph" w:styleId="57">
    <w:name w:val="table of authorities"/>
    <w:basedOn w:val="0"/>
    <w:next w:val="0"/>
    <w:pPr>
      <w:ind w:left="420"/>
    </w:pPr>
  </w:style>
  <w:style w:type="paragraph" w:styleId="58">
    <w:name w:val="toa heading"/>
    <w:basedOn w:val="0"/>
    <w:next w:val="0"/>
    <w:pPr>
      <w:spacing w:before="120"/>
    </w:pPr>
    <w:rPr>
      <w:rFonts w:ascii="Arial" w:hAnsi="Arial"/>
      <w:sz w:val="24"/>
      <w:szCs w:val="24"/>
    </w:rPr>
  </w:style>
  <w:style w:type="paragraph" w:customStyle="1" w:styleId="59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0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1">
    <w:name w:val="样式 小四"/>
    <w:pPr>
      <w:widowControl w:val="0"/>
      <w:spacing w:before="100" w:beforeAutospacing="1" w:after="100" w:afterAutospacing="1" w:line="240" w:lineRule="auto"/>
      <w:jc w:val="left"/>
    </w:pPr>
    <w:rPr>
      <w:rFonts w:ascii="宋体" w:eastAsia="宋体" w:cs="Times New Roman"/>
      <w:kern w:val="2"/>
      <w:sz w:val="24"/>
      <w:szCs w:val="24"/>
      <w:lang w:val="en-US" w:eastAsia="zh-CN" w:bidi="ar-SA"/>
    </w:rPr>
  </w:style>
  <w:style w:type="paragraph" w:customStyle="1" w:styleId="62">
    <w:name w:val="样式 1 小四"/>
    <w:pPr>
      <w:widowControl w:val="0"/>
      <w:spacing w:before="100" w:beforeAutospacing="1" w:after="100" w:afterAutospacing="1" w:line="240" w:lineRule="auto"/>
      <w:jc w:val="left"/>
    </w:pPr>
    <w:rPr>
      <w:rFonts w:ascii="宋体" w:eastAsia="宋体" w:cs="Times New Roman"/>
      <w:kern w:val="2"/>
      <w:sz w:val="24"/>
      <w:szCs w:val="24"/>
      <w:lang w:val="en-US" w:eastAsia="zh-CN" w:bidi="ar-SA"/>
    </w:rPr>
  </w:style>
  <w:style w:type="paragraph" w:customStyle="1" w:styleId="63">
    <w:name w:val="样式 2 小四"/>
    <w:pPr>
      <w:widowControl w:val="0"/>
      <w:spacing w:before="100" w:beforeAutospacing="1" w:after="100" w:afterAutospacing="1" w:line="240" w:lineRule="auto"/>
      <w:jc w:val="left"/>
    </w:pPr>
    <w:rPr>
      <w:rFonts w:ascii="宋体" w:eastAsia="宋体" w:cs="Times New Roman"/>
      <w:kern w:val="2"/>
      <w:sz w:val="24"/>
      <w:szCs w:val="24"/>
      <w:lang w:val="en-US" w:eastAsia="zh-CN" w:bidi="ar-SA"/>
    </w:rPr>
  </w:style>
  <w:style w:type="paragraph" w:customStyle="1" w:styleId="64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5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6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7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8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9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0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1">
    <w:name w:val="样式 33 10 磅"/>
    <w:next w:val="58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2">
    <w:name w:val="样式 2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3">
    <w:name w:val="样式 2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4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5">
    <w:name w:val="样式 36 10 磅"/>
    <w:next w:val="65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6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7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8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9">
    <w:name w:val="样式 3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0">
    <w:name w:val="样式 3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1">
    <w:name w:val="样式 3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2">
    <w:name w:val="样式 4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3">
    <w:name w:val="样式 4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4">
    <w:name w:val="样式 4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5">
    <w:name w:val="样式 4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6">
    <w:name w:val="样式 4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7">
    <w:name w:val="样式 4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8">
    <w:name w:val="样式 4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9">
    <w:name w:val="样式 4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0">
    <w:name w:val="样式 4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1">
    <w:name w:val="样式 4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2">
    <w:name w:val="样式 25 11 磅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93">
    <w:name w:val="样式 24 11 磅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94">
    <w:name w:val="样式 23 11 磅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95">
    <w:name w:val="样式 22 11 磅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96">
    <w:name w:val="样式 21 11 磅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97">
    <w:name w:val="样式 20 11 磅"/>
    <w:next w:val="116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98">
    <w:name w:val="样式 19 11 磅"/>
    <w:next w:val="115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99">
    <w:name w:val="样式 18 11 磅"/>
    <w:next w:val="114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00">
    <w:name w:val="样式 17 11 磅"/>
    <w:next w:val="113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01">
    <w:name w:val="样式 16 11 磅"/>
    <w:next w:val="112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02">
    <w:name w:val="样式 15 11 磅"/>
    <w:next w:val="111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03">
    <w:name w:val="样式 14 11 磅"/>
    <w:next w:val="110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04">
    <w:name w:val="样式 13 11 磅"/>
    <w:next w:val="109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05">
    <w:name w:val="样式 12 11 磅"/>
    <w:next w:val="108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06">
    <w:name w:val="样式 11 11 磅"/>
    <w:next w:val="107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07">
    <w:name w:val="样式 10 11 磅"/>
    <w:next w:val="106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08">
    <w:name w:val="样式 9 11 磅"/>
    <w:next w:val="105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09">
    <w:name w:val="样式 8 11 磅"/>
    <w:next w:val="104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10">
    <w:name w:val="样式 7 11 磅"/>
    <w:next w:val="103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11">
    <w:name w:val="样式 6 11 磅"/>
    <w:next w:val="102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12">
    <w:name w:val="样式 5 11 磅"/>
    <w:next w:val="101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13">
    <w:name w:val="样式 4 11 磅"/>
    <w:next w:val="100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14">
    <w:name w:val="样式 3 11 磅"/>
    <w:next w:val="99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15">
    <w:name w:val="样式 2 11 磅"/>
    <w:next w:val="98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16">
    <w:name w:val="样式 1 11 磅"/>
    <w:next w:val="97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205">
    <w:name w:val="样式 5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6">
    <w:name w:val="样式 5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7">
    <w:name w:val="样式 5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8">
    <w:name w:val="样式 5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9">
    <w:name w:val="样式 5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1">
    <w:name w:val="样式 5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2">
    <w:name w:val="样式 5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numbering" Target="numbering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92</TotalTime>
  <Application>Yozo_Office</Application>
  <Pages>2</Pages>
  <Words>444</Words>
  <Characters>474</Characters>
  <Lines>35</Lines>
  <Paragraphs>4</Paragraphs>
  <CharactersWithSpaces>474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杨璐</dc:creator>
  <cp:lastModifiedBy>杨璐</cp:lastModifiedBy>
  <cp:revision>1</cp:revision>
  <dcterms:created xsi:type="dcterms:W3CDTF">2025-05-12T01:25:53Z</dcterms:created>
  <dcterms:modified xsi:type="dcterms:W3CDTF">2025-12-11T01:53:30Z</dcterms:modified>
</cp:coreProperties>
</file>