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ind w:firstLine="0"/>
        <w:rPr>
          <w:rFonts w:ascii="方正黑体_GBK" w:eastAsia="方正黑体_GBK" w:cs="方正黑体_GBK"/>
          <w:sz w:val="32"/>
          <w:szCs w:val="32"/>
        </w:rPr>
      </w:pPr>
    </w:p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bookmarkStart w:id="0" w:name="_GoBack"/>
      <w:bookmarkEnd w:id="0"/>
      <w:r>
        <w:rPr>
          <w:rFonts w:ascii="方正小标宋_GBK" w:eastAsia="方正小标宋_GBK" w:cs="方正小标宋_GBK" w:hint="eastAsia"/>
          <w:sz w:val="44"/>
          <w:szCs w:val="44"/>
        </w:rPr>
        <w:t>比选采购需求书</w:t>
      </w:r>
    </w:p>
    <w:tbl>
      <w:tblPr>
        <w:jc w:val="left"/>
        <w:tblInd w:w="0" w:type="dxa"/>
        <w:tblW w:w="9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3"/>
        <w:gridCol w:w="6877"/>
      </w:tblGrid>
      <w:tr>
        <w:tc>
          <w:tcPr>
            <w:tcW w:w="906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楷体_GBK" w:eastAsia="方正楷体_GBK" w:cs="方正楷体_GBK" w:hint="eastAsia"/>
                <w:sz w:val="32"/>
                <w:szCs w:val="32"/>
              </w:rPr>
              <w:t>基础信息栏</w:t>
            </w:r>
          </w:p>
        </w:tc>
      </w:tr>
      <w:tr>
        <w:tc>
          <w:tcPr>
            <w:tcW w:w="218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项目名称</w:t>
            </w:r>
          </w:p>
        </w:tc>
        <w:tc>
          <w:tcPr>
            <w:tcW w:w="6877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>东乌</w:t>
            </w:r>
            <w:r>
              <w:rPr>
                <w:rFonts w:ascii="方正仿宋_GBK" w:eastAsia="方正仿宋_GBK" w:cs="方正仿宋_GBK" w:hint="eastAsia"/>
                <w:sz w:val="32"/>
                <w:szCs w:val="32"/>
              </w:rPr>
              <w:t>海关</w:t>
            </w:r>
            <w:r>
              <w:rPr>
                <w:rFonts w:ascii="方正仿宋_GBK" w:eastAsia="方正仿宋_GBK" w:cs="方正仿宋_GBK"/>
                <w:sz w:val="32"/>
                <w:szCs w:val="32"/>
              </w:rPr>
              <w:t>公务用车维保服务</w:t>
            </w:r>
            <w:r>
              <w:rPr>
                <w:rFonts w:ascii="方正仿宋_GBK" w:eastAsia="方正仿宋_GBK" w:cs="方正仿宋_GBK" w:hint="eastAsia"/>
                <w:sz w:val="32"/>
                <w:szCs w:val="32"/>
              </w:rPr>
              <w:t>项目</w:t>
            </w:r>
            <w:r>
              <w:rPr>
                <w:rFonts w:ascii="方正仿宋_GBK" w:eastAsia="方正仿宋_GBK" w:cs="方正仿宋_GBK"/>
                <w:sz w:val="32"/>
                <w:szCs w:val="32"/>
              </w:rPr>
              <w:t>（东乌旗范围）</w:t>
            </w:r>
          </w:p>
        </w:tc>
      </w:tr>
      <w:tr>
        <w:tc>
          <w:tcPr>
            <w:tcW w:w="218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需求部门</w:t>
            </w:r>
          </w:p>
        </w:tc>
        <w:tc>
          <w:tcPr>
            <w:tcW w:w="6877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中华人民共和国东乌海关</w:t>
            </w:r>
          </w:p>
        </w:tc>
      </w:tr>
      <w:tr>
        <w:tc>
          <w:tcPr>
            <w:tcW w:w="218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采购预算</w:t>
            </w:r>
          </w:p>
        </w:tc>
        <w:tc>
          <w:tcPr>
            <w:tcW w:w="6877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6万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元</w:t>
            </w:r>
          </w:p>
        </w:tc>
      </w:tr>
      <w:tr>
        <w:tc>
          <w:tcPr>
            <w:tcW w:w="218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审批文件</w:t>
            </w:r>
          </w:p>
        </w:tc>
        <w:tc>
          <w:tcPr>
            <w:tcW w:w="6877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——</w:t>
            </w:r>
          </w:p>
        </w:tc>
      </w:tr>
      <w:tr>
        <w:tc>
          <w:tcPr>
            <w:tcW w:w="218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经费来源</w:t>
            </w:r>
          </w:p>
        </w:tc>
        <w:tc>
          <w:tcPr>
            <w:tcW w:w="6877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财政拨款</w:t>
            </w:r>
          </w:p>
        </w:tc>
      </w:tr>
      <w:tr>
        <w:tc>
          <w:tcPr>
            <w:tcW w:w="218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评审方法</w:t>
            </w:r>
          </w:p>
        </w:tc>
        <w:tc>
          <w:tcPr>
            <w:tcW w:w="6877" w:type="dxa"/>
            <w:vAlign w:val="center"/>
          </w:tcPr>
          <w:p>
            <w:pPr>
              <w:pStyle w:val="72"/>
              <w:spacing w:line="40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综合评分法</w:t>
            </w:r>
          </w:p>
        </w:tc>
      </w:tr>
      <w:tr>
        <w:trPr>
          <w:trHeight w:val="815"/>
        </w:trPr>
        <w:tc>
          <w:tcPr>
            <w:tcW w:w="218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编制人</w:t>
            </w:r>
          </w:p>
        </w:tc>
        <w:tc>
          <w:tcPr>
            <w:tcW w:w="6877" w:type="dxa"/>
            <w:vAlign w:val="center"/>
          </w:tcPr>
          <w:p>
            <w:pPr>
              <w:spacing w:line="560" w:lineRule="exact"/>
              <w:jc w:val="center"/>
              <w:rPr>
                <w:rFonts w:ascii="方正楷体_GBK" w:eastAsia="方正楷体_GBK" w:cs="方正楷体_GBK"/>
                <w:sz w:val="32"/>
                <w:szCs w:val="32"/>
              </w:rPr>
            </w:pPr>
          </w:p>
        </w:tc>
      </w:tr>
      <w:tr>
        <w:trPr>
          <w:trHeight w:val="926"/>
        </w:trPr>
        <w:tc>
          <w:tcPr>
            <w:tcW w:w="218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复核人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（科室负责人）</w:t>
            </w:r>
          </w:p>
        </w:tc>
        <w:tc>
          <w:tcPr>
            <w:tcW w:w="6877" w:type="dxa"/>
            <w:vAlign w:val="center"/>
          </w:tcPr>
          <w:p>
            <w:pPr>
              <w:spacing w:line="560" w:lineRule="exact"/>
              <w:jc w:val="center"/>
              <w:rPr>
                <w:rFonts w:ascii="方正楷体_GBK" w:eastAsia="方正楷体_GBK" w:cs="方正楷体_GBK"/>
                <w:sz w:val="32"/>
                <w:szCs w:val="32"/>
              </w:rPr>
            </w:pPr>
          </w:p>
        </w:tc>
      </w:tr>
      <w:tr>
        <w:trPr>
          <w:trHeight w:val="926"/>
        </w:trPr>
        <w:tc>
          <w:tcPr>
            <w:tcW w:w="218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审核人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（部门负责人）</w:t>
            </w:r>
          </w:p>
        </w:tc>
        <w:tc>
          <w:tcPr>
            <w:tcW w:w="6877" w:type="dxa"/>
            <w:vAlign w:val="center"/>
          </w:tcPr>
          <w:p>
            <w:pPr>
              <w:spacing w:line="560" w:lineRule="exact"/>
              <w:jc w:val="center"/>
              <w:rPr>
                <w:rFonts w:ascii="方正楷体_GBK" w:eastAsia="方正楷体_GBK" w:cs="方正楷体_GBK"/>
                <w:sz w:val="32"/>
                <w:szCs w:val="32"/>
              </w:rPr>
            </w:pPr>
          </w:p>
        </w:tc>
      </w:tr>
      <w:tr>
        <w:tc>
          <w:tcPr>
            <w:tcW w:w="906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楷体_GBK" w:eastAsia="方正楷体_GBK" w:cs="方正楷体_GBK" w:hint="eastAsia"/>
                <w:sz w:val="32"/>
                <w:szCs w:val="32"/>
              </w:rPr>
              <w:t>详细需求栏</w:t>
            </w:r>
          </w:p>
        </w:tc>
      </w:tr>
      <w:tr>
        <w:trPr>
          <w:trHeight w:val="4731"/>
        </w:trPr>
        <w:tc>
          <w:tcPr>
            <w:tcW w:w="218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说明</w:t>
            </w:r>
          </w:p>
        </w:tc>
        <w:tc>
          <w:tcPr>
            <w:tcW w:w="6877" w:type="dxa"/>
            <w:vAlign w:val="center"/>
          </w:tcPr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4"/>
              </w:rPr>
            </w:pPr>
            <w:r>
              <w:rPr>
                <w:rFonts w:ascii="Times New Roman" w:eastAsia="方正仿宋_GBK" w:cs="Times New Roman" w:hAnsi="Times New Roman"/>
                <w:sz w:val="24"/>
              </w:rPr>
              <w:t>1.不满足资格条件的响应文件将按无效响应文件处理。</w:t>
            </w:r>
          </w:p>
          <w:p>
            <w:pPr>
              <w:spacing w:line="400" w:lineRule="exact"/>
              <w:rPr>
                <w:rFonts w:ascii="方正仿宋_GBK" w:eastAsia="方正仿宋_GBK" w:cs="方正仿宋_GBK"/>
                <w:sz w:val="24"/>
              </w:rPr>
            </w:pPr>
            <w:r>
              <w:rPr>
                <w:rFonts w:ascii="Times New Roman" w:eastAsia="方正仿宋_GBK" w:cs="Times New Roman" w:hAnsi="Times New Roman"/>
                <w:sz w:val="24"/>
              </w:rPr>
              <w:t>2.</w:t>
            </w:r>
            <w:r>
              <w:rPr>
                <w:rFonts w:ascii="方正仿宋_GBK" w:eastAsia="方正仿宋_GBK" w:cs="方正仿宋_GBK" w:hint="eastAsia"/>
                <w:sz w:val="24"/>
              </w:rPr>
              <w:t>详细需求栏中所有加“★”项的需求均为实质性要求，不满足实质性要求的响应文件将按无效响应文件处理。</w:t>
            </w:r>
          </w:p>
        </w:tc>
      </w:tr>
      <w:tr>
        <w:trPr>
          <w:trHeight w:val="3568"/>
        </w:trPr>
        <w:tc>
          <w:tcPr>
            <w:tcW w:w="2183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资格条件</w:t>
            </w:r>
          </w:p>
        </w:tc>
        <w:tc>
          <w:tcPr>
            <w:tcW w:w="6877" w:type="dxa"/>
            <w:vAlign w:val="center"/>
          </w:tcPr>
          <w:p>
            <w:pPr>
              <w:pStyle w:val="58"/>
              <w:rPr>
                <w:rFonts w:ascii="方正仿宋_GBK" w:eastAsia="方正仿宋_GBK" w:cs="方正仿宋_GBK"/>
                <w:szCs w:val="24"/>
              </w:rPr>
            </w:pPr>
            <w:r>
              <w:rPr>
                <w:rFonts w:ascii="方正仿宋_GBK" w:eastAsia="方正仿宋_GBK" w:cs="方正仿宋_GBK"/>
                <w:szCs w:val="24"/>
              </w:rPr>
              <w:t>1、</w:t>
            </w:r>
            <w:r>
              <w:rPr>
                <w:rFonts w:ascii="方正仿宋_GBK" w:eastAsia="方正仿宋_GBK" w:cs="方正仿宋_GBK" w:hint="eastAsia"/>
                <w:szCs w:val="24"/>
              </w:rPr>
              <w:t>具有独立承担民事责任的能力。</w:t>
              <w:br/>
              <w:t>2</w:t>
            </w:r>
            <w:r>
              <w:rPr>
                <w:rFonts w:ascii="方正仿宋_GBK" w:eastAsia="方正仿宋_GBK" w:cs="方正仿宋_GBK"/>
                <w:szCs w:val="24"/>
              </w:rPr>
              <w:t>、</w:t>
            </w:r>
            <w:r>
              <w:rPr>
                <w:rFonts w:ascii="方正仿宋_GBK" w:eastAsia="方正仿宋_GBK" w:cs="方正仿宋_GBK" w:hint="eastAsia"/>
                <w:szCs w:val="24"/>
              </w:rPr>
              <w:t>具备</w:t>
            </w:r>
            <w:r>
              <w:rPr>
                <w:rFonts w:ascii="方正仿宋_GBK" w:eastAsia="方正仿宋_GBK" w:cs="方正仿宋_GBK"/>
                <w:szCs w:val="24"/>
              </w:rPr>
              <w:t>汽车修理</w:t>
            </w:r>
            <w:r>
              <w:rPr>
                <w:rFonts w:ascii="方正仿宋_GBK" w:eastAsia="方正仿宋_GBK" w:cs="方正仿宋_GBK" w:hint="eastAsia"/>
                <w:szCs w:val="24"/>
              </w:rPr>
              <w:t>应具备的相应资质。</w:t>
              <w:br/>
              <w:t>3</w:t>
            </w:r>
            <w:r>
              <w:rPr>
                <w:rFonts w:ascii="方正仿宋_GBK" w:eastAsia="方正仿宋_GBK" w:cs="方正仿宋_GBK"/>
                <w:szCs w:val="24"/>
              </w:rPr>
              <w:t>、提供服务</w:t>
            </w:r>
            <w:r>
              <w:rPr>
                <w:rFonts w:ascii="方正仿宋_GBK" w:eastAsia="方正仿宋_GBK" w:cs="方正仿宋_GBK" w:hint="eastAsia"/>
                <w:szCs w:val="24"/>
              </w:rPr>
              <w:t>保证</w:t>
            </w:r>
            <w:r>
              <w:rPr>
                <w:rFonts w:ascii="方正仿宋_GBK" w:eastAsia="方正仿宋_GBK" w:cs="方正仿宋_GBK"/>
                <w:szCs w:val="24"/>
              </w:rPr>
              <w:t>承诺书</w:t>
            </w:r>
            <w:r>
              <w:rPr>
                <w:rFonts w:ascii="方正仿宋_GBK" w:eastAsia="方正仿宋_GBK" w:cs="方正仿宋_GBK" w:hint="eastAsia"/>
                <w:szCs w:val="24"/>
              </w:rPr>
              <w:t>。</w:t>
              <w:br/>
              <w:t>4</w:t>
            </w:r>
            <w:r>
              <w:rPr>
                <w:rFonts w:ascii="方正仿宋_GBK" w:eastAsia="方正仿宋_GBK" w:cs="方正仿宋_GBK"/>
                <w:szCs w:val="24"/>
              </w:rPr>
              <w:t>、</w:t>
            </w:r>
            <w:r>
              <w:rPr>
                <w:rFonts w:ascii="方正仿宋_GBK" w:eastAsia="方正仿宋_GBK" w:cs="方正仿宋_GBK" w:hint="eastAsia"/>
                <w:szCs w:val="24"/>
              </w:rPr>
              <w:t>提供相关营业执照、经办人授权等材料。</w:t>
            </w:r>
          </w:p>
          <w:p>
            <w:pPr>
              <w:pStyle w:val="63"/>
              <w:rPr>
                <w:rFonts w:ascii="方正仿宋_GBK" w:eastAsia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Cs w:val="24"/>
              </w:rPr>
              <w:t>5、</w:t>
            </w:r>
            <w:r>
              <w:rPr>
                <w:rFonts w:ascii="方正仿宋_GBK" w:eastAsia="方正仿宋_GBK" w:cs="方正仿宋_GBK" w:hint="eastAsia"/>
                <w:szCs w:val="24"/>
              </w:rPr>
              <w:t>三年内在经营活动中没有重大违法记录的书面证明（须有“信用中国”或“中国政府采购网”等机构查询记录）</w:t>
            </w:r>
            <w:r>
              <w:rPr>
                <w:rFonts w:ascii="方正仿宋_GBK" w:eastAsia="方正仿宋_GBK" w:cs="方正仿宋_GBK"/>
                <w:szCs w:val="24"/>
              </w:rPr>
              <w:t>。</w:t>
            </w:r>
          </w:p>
        </w:tc>
      </w:tr>
      <w:tr>
        <w:trPr>
          <w:trHeight w:val="1082"/>
        </w:trPr>
        <w:tc>
          <w:tcPr>
            <w:tcW w:w="218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★实质性要求</w:t>
            </w:r>
          </w:p>
        </w:tc>
        <w:tc>
          <w:tcPr>
            <w:tcW w:w="6877" w:type="dxa"/>
          </w:tcPr>
          <w:p>
            <w:pPr>
              <w:pStyle w:val="41"/>
              <w:spacing w:line="560" w:lineRule="exact"/>
              <w:ind w:firstLineChars="150" w:firstLine="360"/>
              <w:rPr>
                <w:rFonts w:ascii="黑体" w:eastAsia="黑体" w:hint="eastAsia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>1、预算</w:t>
            </w:r>
            <w:r>
              <w:rPr>
                <w:rFonts w:ascii="Times New Roman" w:eastAsia="方正仿宋_GBK" w:cs="Times New Roman" w:hAnsi="Times New Roman"/>
                <w:sz w:val="24"/>
                <w:szCs w:val="24"/>
                <w:lang w:bidi="ar-SA"/>
              </w:rPr>
              <w:t>金额：6</w:t>
            </w:r>
            <w:r>
              <w:rPr>
                <w:rFonts w:ascii="方正仿宋_GBK" w:eastAsia="方正仿宋_GBK" w:cs="方正仿宋_GBK" w:hint="eastAsia"/>
                <w:sz w:val="24"/>
                <w:szCs w:val="24"/>
                <w:lang w:bidi="ar-SA"/>
              </w:rPr>
              <w:t>万元（如报价超此金额视为无效）。</w:t>
            </w:r>
          </w:p>
          <w:p>
            <w:pPr>
              <w:pStyle w:val="35"/>
              <w:spacing w:line="560" w:lineRule="exact"/>
              <w:ind w:firstLineChars="150" w:firstLine="360"/>
              <w:rPr>
                <w:rFonts w:ascii="Times New Roman" w:eastAsia="方正仿宋_GBK" w:cs="Times New Roman" w:hAnsi="Times New Roman"/>
                <w:sz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sz w:val="24"/>
                <w:lang w:bidi="ar-SA"/>
              </w:rPr>
              <w:t>2、未列入失信被执行人、重大税收违法失信主体。</w:t>
            </w:r>
          </w:p>
          <w:p>
            <w:pPr>
              <w:pStyle w:val="35"/>
              <w:spacing w:line="560" w:lineRule="exact"/>
              <w:ind w:left="0" w:firstLineChars="150" w:firstLine="360"/>
              <w:rPr>
                <w:rFonts w:ascii="Times New Roman" w:eastAsia="方正仿宋_GBK" w:cs="Times New Roman" w:hAnsi="Times New Roman"/>
                <w:sz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sz w:val="24"/>
                <w:lang w:bidi="ar-SA"/>
              </w:rPr>
              <w:t>3、在东乌旗旗所在地必须有实体门店。（营业时间5年以上）</w:t>
            </w:r>
          </w:p>
          <w:p>
            <w:pPr>
              <w:pStyle w:val="35"/>
              <w:spacing w:line="560" w:lineRule="exact"/>
              <w:ind w:left="0" w:firstLineChars="150" w:firstLine="360"/>
              <w:rPr>
                <w:rFonts w:ascii="Times New Roman" w:eastAsia="方正仿宋_GBK" w:cs="Times New Roman" w:hAnsi="Times New Roman" w:hint="eastAsia"/>
                <w:sz w:val="24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4"/>
                <w:lang w:bidi="ar-SA"/>
              </w:rPr>
              <w:t>4、</w:t>
            </w:r>
            <w:r>
              <w:rPr>
                <w:rFonts w:ascii="Times New Roman" w:eastAsia="方正仿宋_GBK" w:cs="Times New Roman" w:hAnsi="Times New Roman" w:hint="eastAsia"/>
                <w:sz w:val="24"/>
                <w:lang w:val="en-US" w:eastAsia="zh-CN" w:bidi="ar-SA"/>
              </w:rPr>
              <w:t>维修服务：</w:t>
            </w:r>
          </w:p>
          <w:p>
            <w:pPr>
              <w:pStyle w:val="35"/>
              <w:spacing w:line="560" w:lineRule="exact"/>
              <w:ind w:left="0" w:firstLineChars="200" w:firstLine="480"/>
              <w:rPr>
                <w:rFonts w:ascii="Times New Roman" w:eastAsia="方正仿宋_GBK" w:cs="Times New Roman" w:hAnsi="Times New Roman"/>
                <w:sz w:val="24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4"/>
                <w:lang w:val="en-US" w:eastAsia="zh-CN" w:bidi="ar-SA"/>
              </w:rPr>
              <w:t>提供采购人指定范围的</w:t>
            </w:r>
            <w:r>
              <w:rPr>
                <w:rFonts w:ascii="Times New Roman" w:eastAsia="方正仿宋_GBK" w:cs="Times New Roman" w:hAnsi="Times New Roman"/>
                <w:sz w:val="24"/>
                <w:lang w:val="en-US" w:eastAsia="zh-CN" w:bidi="ar-SA"/>
              </w:rPr>
              <w:t>公务用车</w:t>
            </w:r>
            <w:r>
              <w:rPr>
                <w:rFonts w:ascii="Times New Roman" w:eastAsia="方正仿宋_GBK" w:cs="Times New Roman" w:hAnsi="Times New Roman" w:hint="eastAsia"/>
                <w:sz w:val="24"/>
                <w:lang w:val="en-US" w:eastAsia="zh-CN" w:bidi="ar-SA"/>
              </w:rPr>
              <w:t>维修</w:t>
            </w:r>
            <w:r>
              <w:rPr>
                <w:rFonts w:ascii="Times New Roman" w:eastAsia="方正仿宋_GBK" w:cs="Times New Roman" w:hAnsi="Times New Roman"/>
                <w:sz w:val="24"/>
                <w:lang w:val="en-US" w:eastAsia="zh-CN" w:bidi="ar-SA"/>
              </w:rPr>
              <w:t>（保养）</w:t>
            </w:r>
            <w:r>
              <w:rPr>
                <w:rFonts w:ascii="Times New Roman" w:eastAsia="方正仿宋_GBK" w:cs="Times New Roman" w:hAnsi="Times New Roman" w:hint="eastAsia"/>
                <w:sz w:val="24"/>
                <w:lang w:val="en-US" w:eastAsia="zh-CN" w:bidi="ar-SA"/>
              </w:rPr>
              <w:t>服务，及时响应各</w:t>
            </w:r>
            <w:r>
              <w:rPr>
                <w:rFonts w:ascii="Times New Roman" w:eastAsia="方正仿宋_GBK" w:cs="Times New Roman" w:hAnsi="Times New Roman"/>
                <w:sz w:val="24"/>
                <w:lang w:val="en-US" w:eastAsia="zh-CN" w:bidi="ar-SA"/>
              </w:rPr>
              <w:t>公务用车</w:t>
            </w:r>
            <w:r>
              <w:rPr>
                <w:rFonts w:ascii="Times New Roman" w:eastAsia="方正仿宋_GBK" w:cs="Times New Roman" w:hAnsi="Times New Roman" w:hint="eastAsia"/>
                <w:sz w:val="24"/>
                <w:lang w:val="en-US" w:eastAsia="zh-CN" w:bidi="ar-SA"/>
              </w:rPr>
              <w:t>的故障报修需求，完成维修作业。服务费用按照实际维修工单内容，结合双方约定的计价标准据实结算。</w:t>
            </w:r>
          </w:p>
          <w:p>
            <w:pPr>
              <w:pStyle w:val="35"/>
              <w:spacing w:line="560" w:lineRule="exact"/>
              <w:ind w:firstLineChars="150" w:firstLine="360"/>
              <w:rPr>
                <w:rFonts w:ascii="Times New Roman" w:eastAsia="方正仿宋_GBK" w:cs="Times New Roman" w:hAnsi="Times New Roman"/>
                <w:sz w:val="24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/>
                <w:sz w:val="24"/>
                <w:lang w:bidi="ar-SA"/>
              </w:rPr>
              <w:t>5</w:t>
            </w:r>
            <w:r>
              <w:rPr>
                <w:rFonts w:ascii="Times New Roman" w:eastAsia="方正仿宋_GBK" w:cs="Times New Roman" w:hAnsi="Times New Roman" w:hint="eastAsia"/>
                <w:sz w:val="24"/>
                <w:lang w:bidi="ar-SA"/>
              </w:rPr>
              <w:t>、</w:t>
            </w:r>
            <w:r>
              <w:rPr>
                <w:rFonts w:ascii="Times New Roman" w:eastAsia="方正仿宋_GBK" w:cs="Times New Roman" w:hAnsi="Times New Roman" w:hint="eastAsia"/>
                <w:sz w:val="24"/>
                <w:lang w:val="en-US" w:eastAsia="zh-CN" w:bidi="ar-SA"/>
              </w:rPr>
              <w:t>服务期限</w:t>
            </w:r>
            <w:r>
              <w:rPr>
                <w:rFonts w:ascii="Times New Roman" w:eastAsia="方正仿宋_GBK" w:cs="Times New Roman" w:hAnsi="Times New Roman" w:hint="eastAsia"/>
                <w:sz w:val="24"/>
                <w:lang w:bidi="ar-SA"/>
              </w:rPr>
              <w:t>：</w:t>
            </w:r>
            <w:r>
              <w:rPr>
                <w:rFonts w:ascii="Times New Roman" w:eastAsia="方正仿宋_GBK" w:cs="Times New Roman" w:hAnsi="Times New Roman" w:hint="eastAsia"/>
                <w:sz w:val="24"/>
                <w:lang w:val="en-US" w:eastAsia="zh-CN" w:bidi="ar-SA"/>
              </w:rPr>
              <w:t>自合同签订之日起</w:t>
            </w:r>
            <w:r>
              <w:rPr>
                <w:rFonts w:ascii="Times New Roman" w:eastAsia="方正仿宋_GBK" w:cs="Times New Roman" w:hAnsi="Times New Roman"/>
                <w:sz w:val="24"/>
                <w:lang w:val="en-US" w:eastAsia="zh-CN" w:bidi="ar-SA"/>
              </w:rPr>
              <w:t>一</w:t>
            </w:r>
            <w:r>
              <w:rPr>
                <w:rFonts w:ascii="Times New Roman" w:eastAsia="方正仿宋_GBK" w:cs="Times New Roman" w:hAnsi="Times New Roman" w:hint="eastAsia"/>
                <w:sz w:val="24"/>
                <w:lang w:val="en-US" w:eastAsia="zh-CN" w:bidi="ar-SA"/>
              </w:rPr>
              <w:t>年，当期合同期满采购人按照</w:t>
            </w:r>
            <w:r>
              <w:rPr>
                <w:rFonts w:ascii="Times New Roman" w:eastAsia="方正仿宋_GBK" w:cs="Times New Roman" w:hAnsi="Times New Roman"/>
                <w:sz w:val="24"/>
                <w:lang w:val="en-US" w:eastAsia="zh-CN" w:bidi="ar-SA"/>
              </w:rPr>
              <w:t>采购需求</w:t>
            </w:r>
            <w:r>
              <w:rPr>
                <w:rFonts w:ascii="Times New Roman" w:eastAsia="方正仿宋_GBK" w:cs="Times New Roman" w:hAnsi="Times New Roman" w:hint="eastAsia"/>
                <w:sz w:val="24"/>
                <w:lang w:val="en-US" w:eastAsia="zh-CN" w:bidi="ar-SA"/>
              </w:rPr>
              <w:t>和合同中约定的内容进行考核，如考核合格后可直接续签下一年度的合同。</w:t>
            </w:r>
          </w:p>
          <w:p>
            <w:pPr>
              <w:pStyle w:val="67"/>
              <w:spacing w:beforeAutospacing="0" w:afterAutospacing="0" w:line="560" w:lineRule="exact"/>
              <w:ind w:firstLineChars="150" w:firstLine="360"/>
              <w:rPr>
                <w:rFonts w:ascii="Times New Roman" w:eastAsia="方正仿宋_GBK" w:cs="Times New Roman" w:hAnsi="Times New Roman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szCs w:val="24"/>
                <w:lang w:bidi="ar-SA"/>
              </w:rPr>
              <w:t>6</w:t>
            </w:r>
            <w:r>
              <w:rPr>
                <w:rFonts w:ascii="Times New Roman" w:eastAsia="方正仿宋_GBK" w:cs="Times New Roman" w:hAnsi="Times New Roman" w:hint="eastAsia"/>
                <w:szCs w:val="24"/>
                <w:lang w:bidi="ar-SA"/>
              </w:rPr>
              <w:t>、</w:t>
            </w:r>
            <w:r>
              <w:rPr>
                <w:rFonts w:ascii="Times New Roman" w:eastAsia="方正仿宋_GBK" w:cs="Times New Roman" w:hAnsi="Times New Roman"/>
                <w:szCs w:val="24"/>
                <w:lang w:bidi="ar-SA"/>
              </w:rPr>
              <w:t>必要时</w:t>
            </w:r>
            <w:r>
              <w:rPr>
                <w:rFonts w:ascii="Times New Roman" w:eastAsia="方正仿宋_GBK" w:cs="Times New Roman" w:hAnsi="Times New Roman" w:hint="eastAsia"/>
                <w:szCs w:val="24"/>
                <w:lang w:bidi="ar-SA"/>
              </w:rPr>
              <w:t>“</w:t>
            </w:r>
            <w:r>
              <w:rPr>
                <w:rFonts w:ascii="Times New Roman" w:eastAsia="方正仿宋_GBK" w:cs="Times New Roman" w:hAnsi="Times New Roman"/>
                <w:szCs w:val="24"/>
                <w:lang w:bidi="ar-SA"/>
              </w:rPr>
              <w:t>随叫随到</w:t>
            </w:r>
            <w:r>
              <w:rPr>
                <w:rFonts w:ascii="Times New Roman" w:eastAsia="方正仿宋_GBK" w:cs="Times New Roman" w:hAnsi="Times New Roman" w:hint="eastAsia"/>
                <w:szCs w:val="24"/>
                <w:lang w:bidi="ar-SA"/>
              </w:rPr>
              <w:t>”</w:t>
            </w:r>
            <w:r>
              <w:rPr>
                <w:rFonts w:ascii="Times New Roman" w:eastAsia="方正仿宋_GBK" w:cs="Times New Roman" w:hAnsi="Times New Roman"/>
                <w:szCs w:val="24"/>
                <w:lang w:bidi="ar-SA"/>
              </w:rPr>
              <w:t>，及时赶赴现场进行车辆救援，排除公车安全隐患，按时维保。</w:t>
            </w:r>
          </w:p>
          <w:p>
            <w:pPr>
              <w:pStyle w:val="35"/>
              <w:spacing w:line="560" w:lineRule="exact"/>
              <w:ind w:firstLineChars="150" w:firstLine="360"/>
              <w:rPr>
                <w:rFonts w:ascii="Times New Roman" w:eastAsia="方正仿宋_GBK" w:cs="Times New Roman" w:hAnsi="Times New Roman" w:hint="eastAsia"/>
                <w:sz w:val="24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4"/>
                <w:lang w:bidi="ar-SA"/>
              </w:rPr>
              <w:t>7、具有代缴机动车强制保险、商业保险业务，出具政府采购手续；可现场查勘并维修保险事故车辆</w:t>
            </w:r>
            <w:r>
              <w:rPr>
                <w:rFonts w:ascii="Times New Roman" w:eastAsia="方正仿宋_GBK" w:cs="Times New Roman" w:hAnsi="Times New Roman"/>
                <w:sz w:val="24"/>
                <w:lang w:bidi="ar-SA"/>
              </w:rPr>
              <w:t>的资质</w:t>
            </w:r>
            <w:r>
              <w:rPr>
                <w:rFonts w:ascii="Times New Roman" w:eastAsia="方正仿宋_GBK" w:cs="Times New Roman" w:hAnsi="Times New Roman" w:hint="eastAsia"/>
                <w:sz w:val="24"/>
                <w:lang w:bidi="ar-SA"/>
              </w:rPr>
              <w:t>。</w:t>
            </w:r>
          </w:p>
          <w:p>
            <w:pPr>
              <w:pStyle w:val="35"/>
              <w:spacing w:line="560" w:lineRule="exact"/>
              <w:ind w:firstLineChars="150" w:firstLine="360"/>
              <w:rPr>
                <w:rFonts w:ascii="Times New Roman" w:eastAsia="方正仿宋_GBK" w:cs="Times New Roman" w:hAnsi="Times New Roman" w:hint="eastAsia"/>
                <w:sz w:val="32"/>
                <w:szCs w:val="32"/>
              </w:rPr>
            </w:pPr>
            <w:r>
              <w:rPr>
                <w:rFonts w:ascii="Times New Roman" w:eastAsia="方正仿宋_GBK" w:cs="Times New Roman" w:hAnsi="Times New Roman" w:hint="eastAsia"/>
                <w:sz w:val="24"/>
                <w:lang w:bidi="ar-SA"/>
              </w:rPr>
              <w:t>8、成交条件</w:t>
            </w:r>
            <w:r>
              <w:rPr>
                <w:rFonts w:ascii="Times New Roman" w:eastAsia="方正仿宋_GBK" w:cs="Times New Roman" w:hAnsi="Times New Roman"/>
                <w:sz w:val="24"/>
                <w:lang w:bidi="ar-SA"/>
              </w:rPr>
              <w:t>：采用综合评分法比选，根据价格分、评审因素得分权重和公式计算最高分</w:t>
            </w:r>
            <w:r>
              <w:rPr>
                <w:rFonts w:ascii="Times New Roman" w:eastAsia="方正仿宋_GBK" w:cs="Times New Roman" w:hAnsi="Times New Roman" w:hint="eastAsia"/>
                <w:sz w:val="24"/>
                <w:lang w:bidi="ar-SA"/>
              </w:rPr>
              <w:t>的供应商为成交供应商。成交供应商应在规定时间内与采购人签订合同</w:t>
            </w:r>
            <w:r>
              <w:rPr>
                <w:rFonts w:ascii="Times New Roman" w:eastAsia="方正仿宋_GBK" w:cs="Times New Roman" w:hAnsi="Times New Roman"/>
                <w:sz w:val="24"/>
                <w:lang w:bidi="ar-SA"/>
              </w:rPr>
              <w:t>，</w:t>
            </w:r>
            <w:r>
              <w:rPr>
                <w:rFonts w:ascii="Times New Roman" w:eastAsia="方正仿宋_GBK" w:cs="Times New Roman" w:hAnsi="Times New Roman" w:hint="eastAsia"/>
                <w:sz w:val="24"/>
                <w:lang w:bidi="ar-SA"/>
              </w:rPr>
              <w:t>若成交供应商无正当理由放弃成交、未按时签订合同构成违约的，采购人有权取消其成交资格，并可按报价由低到高的顺序顺延确定下一候选供应商为成交供应商。</w:t>
            </w:r>
          </w:p>
        </w:tc>
      </w:tr>
      <w:tr>
        <w:trPr>
          <w:trHeight w:val="3753"/>
        </w:trPr>
        <w:tc>
          <w:tcPr>
            <w:tcW w:w="218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评审因素</w:t>
            </w:r>
          </w:p>
        </w:tc>
        <w:tc>
          <w:tcPr>
            <w:tcW w:w="6877" w:type="dxa"/>
          </w:tcPr>
          <w:p>
            <w:pPr>
              <w:pStyle w:val="70"/>
              <w:spacing w:line="400" w:lineRule="exact"/>
              <w:jc w:val="left"/>
              <w:rPr>
                <w:rFonts w:ascii="方正仿宋_GBK" w:eastAsia="方正仿宋_GBK" w:cs="方正仿宋_GBK" w:hint="eastAsia"/>
                <w:color w:val="auto"/>
                <w:sz w:val="24"/>
                <w:lang w:eastAsia="zh-CN"/>
                <w:highlight w:val="auto"/>
              </w:rPr>
            </w:pPr>
            <w:r>
              <w:rPr>
                <w:rFonts w:ascii="方正仿宋_GBK" w:eastAsia="方正仿宋_GBK" w:cs="方正仿宋_GBK" w:hint="eastAsia"/>
                <w:b/>
                <w:bCs/>
                <w:color w:val="auto"/>
                <w:sz w:val="24"/>
                <w:lang w:val="en-US" w:eastAsia="zh-CN"/>
                <w:highlight w:val="auto"/>
              </w:rPr>
              <w:t>一、</w:t>
            </w:r>
            <w:r>
              <w:rPr>
                <w:rFonts w:ascii="方正仿宋_GBK" w:eastAsia="方正仿宋_GBK" w:cs="方正仿宋_GBK"/>
                <w:b/>
                <w:bCs/>
                <w:color w:val="auto"/>
                <w:sz w:val="24"/>
                <w:highlight w:val="auto"/>
              </w:rPr>
              <w:t>价格因素20分，计算方法：</w:t>
            </w:r>
            <w:r>
              <w:rPr>
                <w:rFonts w:ascii="方正仿宋_GBK" w:eastAsia="方正仿宋_GBK" w:cs="方正仿宋_GBK"/>
                <w:color w:val="auto"/>
                <w:sz w:val="24"/>
                <w:highlight w:val="auto"/>
              </w:rPr>
              <w:t>基准价/报价X 20（基准价为符合资格条件的最低报价，得分四舍五入保留2位小数）</w:t>
            </w:r>
            <w:r>
              <w:rPr>
                <w:rFonts w:ascii="方正仿宋_GBK" w:eastAsia="方正仿宋_GBK" w:cs="方正仿宋_GBK" w:hint="eastAsia"/>
                <w:color w:val="auto"/>
                <w:sz w:val="24"/>
                <w:lang w:eastAsia="zh-CN"/>
                <w:highlight w:val="auto"/>
              </w:rPr>
              <w:t>。</w:t>
            </w:r>
          </w:p>
          <w:p>
            <w:pPr>
              <w:pStyle w:val="46"/>
              <w:rPr>
                <w:rFonts w:hint="eastAsia"/>
                <w:color w:val="auto"/>
                <w:sz w:val="24"/>
                <w:lang w:eastAsia="zh-CN"/>
                <w:highlight w:val="auto"/>
              </w:rPr>
            </w:pPr>
          </w:p>
          <w:p>
            <w:pPr>
              <w:pStyle w:val="70"/>
              <w:spacing w:line="400" w:lineRule="exact"/>
              <w:jc w:val="left"/>
              <w:rPr>
                <w:rFonts w:ascii="方正仿宋_GBK" w:eastAsia="方正仿宋_GBK" w:cs="方正仿宋_GBK"/>
                <w:b/>
                <w:bCs/>
                <w:color w:val="auto"/>
                <w:sz w:val="24"/>
                <w:highlight w:val="auto"/>
              </w:rPr>
            </w:pPr>
            <w:r>
              <w:rPr>
                <w:rFonts w:ascii="方正仿宋_GBK" w:eastAsia="方正仿宋_GBK" w:cs="方正仿宋_GBK" w:hint="eastAsia"/>
                <w:b/>
                <w:bCs/>
                <w:color w:val="auto"/>
                <w:sz w:val="24"/>
                <w:lang w:val="en-US" w:eastAsia="zh-CN"/>
                <w:highlight w:val="auto"/>
              </w:rPr>
              <w:t>二、</w:t>
            </w:r>
            <w:r>
              <w:rPr>
                <w:rFonts w:ascii="方正仿宋_GBK" w:eastAsia="方正仿宋_GBK" w:cs="方正仿宋_GBK"/>
                <w:b/>
                <w:bCs/>
                <w:color w:val="auto"/>
                <w:sz w:val="24"/>
                <w:highlight w:val="auto"/>
              </w:rPr>
              <w:t>商务部分</w:t>
            </w:r>
            <w:r>
              <w:rPr>
                <w:rFonts w:ascii="方正仿宋_GBK" w:eastAsia="方正仿宋_GBK" w:cs="方正仿宋_GBK" w:hint="eastAsia"/>
                <w:b/>
                <w:bCs/>
                <w:color w:val="auto"/>
                <w:sz w:val="24"/>
                <w:lang w:val="en-US" w:eastAsia="zh-CN"/>
                <w:highlight w:val="auto"/>
              </w:rPr>
              <w:t>27</w:t>
            </w:r>
            <w:r>
              <w:rPr>
                <w:rFonts w:ascii="方正仿宋_GBK" w:eastAsia="方正仿宋_GBK" w:cs="方正仿宋_GBK"/>
                <w:b/>
                <w:bCs/>
                <w:color w:val="auto"/>
                <w:sz w:val="24"/>
                <w:highlight w:val="auto"/>
              </w:rPr>
              <w:t>分：</w:t>
            </w:r>
          </w:p>
          <w:p>
            <w:pPr>
              <w:pStyle w:val="70"/>
              <w:spacing w:line="400" w:lineRule="exact"/>
              <w:jc w:val="left"/>
              <w:rPr>
                <w:rFonts w:ascii="方正仿宋_GBK" w:eastAsia="方正仿宋_GBK" w:cs="方正仿宋_GBK"/>
                <w:color w:val="auto"/>
                <w:sz w:val="24"/>
                <w:highlight w:val="auto"/>
              </w:rPr>
            </w:pPr>
            <w:r>
              <w:rPr>
                <w:rFonts w:ascii="方正仿宋_GBK" w:eastAsia="方正仿宋_GBK" w:cs="方正仿宋_GBK" w:hint="eastAsia"/>
                <w:color w:val="auto"/>
                <w:sz w:val="24"/>
                <w:lang w:val="en-US" w:eastAsia="zh-CN"/>
                <w:highlight w:val="auto"/>
              </w:rPr>
              <w:t>1、</w:t>
            </w:r>
            <w:r>
              <w:rPr>
                <w:rFonts w:ascii="方正仿宋_GBK" w:eastAsia="方正仿宋_GBK" w:cs="方正仿宋_GBK"/>
                <w:color w:val="auto"/>
                <w:sz w:val="24"/>
                <w:highlight w:val="auto"/>
              </w:rPr>
              <w:t>企业业绩（15分）</w:t>
            </w:r>
            <w:r>
              <w:rPr>
                <w:rFonts w:ascii="方正仿宋_GBK" w:eastAsia="方正仿宋_GBK" w:cs="方正仿宋_GBK" w:hint="eastAsia"/>
                <w:color w:val="auto"/>
                <w:sz w:val="24"/>
                <w:lang w:eastAsia="zh-CN"/>
                <w:highlight w:val="auto"/>
              </w:rPr>
              <w:t>：</w:t>
            </w:r>
            <w:r>
              <w:rPr>
                <w:rFonts w:ascii="方正仿宋_GBK" w:eastAsia="方正仿宋_GBK" w:cs="方正仿宋_GBK"/>
                <w:color w:val="auto"/>
                <w:sz w:val="24"/>
                <w:highlight w:val="auto"/>
              </w:rPr>
              <w:t>近三年内（202</w:t>
            </w:r>
            <w:r>
              <w:rPr>
                <w:rFonts w:ascii="方正仿宋_GBK" w:eastAsia="方正仿宋_GBK" w:cs="方正仿宋_GBK" w:hint="eastAsia"/>
                <w:color w:val="auto"/>
                <w:sz w:val="24"/>
                <w:lang w:val="en-US" w:eastAsia="zh-CN"/>
                <w:highlight w:val="auto"/>
              </w:rPr>
              <w:t>3</w:t>
            </w:r>
            <w:r>
              <w:rPr>
                <w:rFonts w:ascii="方正仿宋_GBK" w:eastAsia="方正仿宋_GBK" w:cs="方正仿宋_GBK"/>
                <w:color w:val="auto"/>
                <w:sz w:val="24"/>
                <w:highlight w:val="auto"/>
              </w:rPr>
              <w:t>年1月至今、以合同签署日期为准）类似</w:t>
            </w:r>
            <w:r>
              <w:rPr>
                <w:rFonts w:ascii="方正仿宋_GBK" w:eastAsia="方正仿宋_GBK" w:cs="方正仿宋_GBK" w:hint="eastAsia"/>
                <w:color w:val="auto"/>
                <w:sz w:val="24"/>
                <w:lang w:eastAsia="zh-CN"/>
                <w:highlight w:val="auto"/>
              </w:rPr>
              <w:t>的</w:t>
            </w:r>
            <w:r>
              <w:rPr>
                <w:rFonts w:ascii="方正仿宋_GBK" w:eastAsia="方正仿宋_GBK" w:cs="方正仿宋_GBK" w:hint="eastAsia"/>
                <w:color w:val="auto"/>
                <w:sz w:val="24"/>
                <w:lang w:val="en-US" w:eastAsia="zh-CN"/>
                <w:highlight w:val="auto"/>
              </w:rPr>
              <w:t>汽车维修</w:t>
            </w:r>
            <w:r>
              <w:rPr>
                <w:rFonts w:ascii="方正仿宋_GBK" w:eastAsia="方正仿宋_GBK" w:cs="方正仿宋_GBK"/>
                <w:color w:val="auto"/>
                <w:sz w:val="24"/>
                <w:highlight w:val="auto"/>
              </w:rPr>
              <w:t>服务业绩，每项业绩得3分，最高15分（要求提供合同复印件加盖公章，复印件须包含合同关键内容、签章、日期）。</w:t>
            </w:r>
          </w:p>
          <w:p>
            <w:pPr>
              <w:pStyle w:val="70"/>
              <w:spacing w:line="400" w:lineRule="exact"/>
              <w:jc w:val="left"/>
              <w:rPr>
                <w:rFonts w:ascii="方正仿宋_GBK" w:eastAsia="方正仿宋_GBK" w:cs="方正仿宋_GBK" w:hint="eastAsia"/>
                <w:color w:val="auto"/>
                <w:sz w:val="24"/>
                <w:lang w:val="en-US" w:eastAsia="zh-CN"/>
                <w:highlight w:val="auto"/>
              </w:rPr>
            </w:pPr>
            <w:r>
              <w:rPr>
                <w:rFonts w:ascii="方正仿宋_GBK" w:eastAsia="方正仿宋_GBK" w:cs="方正仿宋_GBK" w:hint="eastAsia"/>
                <w:color w:val="auto"/>
                <w:sz w:val="24"/>
                <w:lang w:val="en-US" w:eastAsia="zh-CN"/>
                <w:highlight w:val="auto"/>
              </w:rPr>
              <w:t>2、售后保障（4分）：建立售后回访机制（每月回访率≥90%）、质量问题 24 小时内响应并免费返修得 4 分；回访机制不健全或返修响应超时得 1 分。</w:t>
            </w:r>
          </w:p>
          <w:p>
            <w:pPr>
              <w:pStyle w:val="70"/>
              <w:spacing w:line="400" w:lineRule="exact"/>
              <w:jc w:val="left"/>
              <w:rPr>
                <w:rFonts w:ascii="方正仿宋_GBK" w:eastAsia="方正仿宋_GBK" w:cs="方正仿宋_GBK"/>
                <w:color w:val="auto"/>
                <w:sz w:val="24"/>
                <w:lang w:val="en-US" w:eastAsia="zh-CN"/>
                <w:highlight w:val="auto"/>
              </w:rPr>
            </w:pPr>
            <w:r>
              <w:rPr>
                <w:rFonts w:ascii="方正仿宋_GBK" w:eastAsia="方正仿宋_GBK" w:cs="方正仿宋_GBK" w:hint="eastAsia"/>
                <w:color w:val="auto"/>
                <w:sz w:val="24"/>
                <w:lang w:val="en-US" w:eastAsia="zh-CN"/>
                <w:highlight w:val="auto"/>
              </w:rPr>
              <w:t>3、设备与人员配置（8分）：</w:t>
            </w:r>
          </w:p>
          <w:p>
            <w:pPr>
              <w:pStyle w:val="70"/>
              <w:spacing w:line="400" w:lineRule="exact"/>
              <w:jc w:val="left"/>
              <w:rPr>
                <w:rFonts w:ascii="方正仿宋_GBK" w:eastAsia="方正仿宋_GBK" w:cs="方正仿宋_GBK" w:hint="eastAsia"/>
                <w:color w:val="auto"/>
                <w:sz w:val="24"/>
                <w:lang w:val="en-US" w:eastAsia="zh-CN"/>
                <w:highlight w:val="auto"/>
              </w:rPr>
            </w:pPr>
            <w:r>
              <w:rPr>
                <w:rFonts w:ascii="方正仿宋_GBK" w:eastAsia="方正仿宋_GBK" w:cs="方正仿宋_GBK" w:hint="eastAsia"/>
                <w:color w:val="auto"/>
                <w:sz w:val="24"/>
                <w:lang w:val="en-US" w:eastAsia="zh-CN"/>
                <w:highlight w:val="auto"/>
              </w:rPr>
              <w:t>（1）设备配置：具备汽车检测、维修核心设备（如电脑诊断仪、举升机、四轮定位仪等），齐全且为近5年购置（提供发票或验收证明），每有一项得1分，本项最高得5分。</w:t>
            </w:r>
          </w:p>
          <w:p>
            <w:pPr>
              <w:pStyle w:val="70"/>
              <w:spacing w:line="400" w:lineRule="exact"/>
              <w:jc w:val="left"/>
              <w:rPr>
                <w:rFonts w:ascii="方正仿宋_GBK" w:eastAsia="方正仿宋_GBK" w:cs="方正仿宋_GBK"/>
                <w:color w:val="auto"/>
                <w:sz w:val="24"/>
                <w:lang w:val="en-US" w:eastAsia="zh-CN"/>
                <w:highlight w:val="auto"/>
              </w:rPr>
            </w:pPr>
            <w:r>
              <w:rPr>
                <w:rFonts w:ascii="方正仿宋_GBK" w:eastAsia="方正仿宋_GBK" w:cs="方正仿宋_GBK" w:hint="eastAsia"/>
                <w:color w:val="auto"/>
                <w:sz w:val="24"/>
                <w:lang w:val="en-US" w:eastAsia="zh-CN"/>
                <w:highlight w:val="auto"/>
              </w:rPr>
              <w:t>（2）人员配置：专职维修人员≥6 人得 3 分，3-5 人得 2 分，＜3 人得 1 分，本项最高得3分。</w:t>
            </w:r>
          </w:p>
          <w:p>
            <w:pPr>
              <w:pStyle w:val="71"/>
              <w:spacing w:line="400" w:lineRule="exact"/>
              <w:jc w:val="left"/>
              <w:rPr>
                <w:rFonts w:ascii="方正仿宋_GBK" w:eastAsia="方正仿宋_GBK" w:cs="方正仿宋_GBK"/>
                <w:b/>
                <w:bCs/>
                <w:color w:val="auto"/>
                <w:sz w:val="24"/>
                <w:highlight w:val="auto"/>
              </w:rPr>
            </w:pPr>
            <w:r>
              <w:rPr>
                <w:rFonts w:ascii="方正仿宋_GBK" w:eastAsia="方正仿宋_GBK" w:cs="方正仿宋_GBK" w:hint="eastAsia"/>
                <w:b/>
                <w:bCs/>
                <w:color w:val="auto"/>
                <w:sz w:val="24"/>
                <w:lang w:val="en-US" w:eastAsia="zh-CN"/>
                <w:highlight w:val="auto"/>
              </w:rPr>
              <w:t>三、</w:t>
            </w:r>
            <w:r>
              <w:rPr>
                <w:rFonts w:ascii="方正仿宋_GBK" w:eastAsia="方正仿宋_GBK" w:cs="方正仿宋_GBK"/>
                <w:b/>
                <w:bCs/>
                <w:color w:val="auto"/>
                <w:sz w:val="24"/>
                <w:highlight w:val="auto"/>
              </w:rPr>
              <w:t>技术部分</w:t>
            </w:r>
            <w:r>
              <w:rPr>
                <w:rFonts w:ascii="方正仿宋_GBK" w:eastAsia="方正仿宋_GBK" w:cs="方正仿宋_GBK" w:hint="eastAsia"/>
                <w:b/>
                <w:bCs/>
                <w:color w:val="auto"/>
                <w:sz w:val="24"/>
                <w:lang w:val="en-US" w:eastAsia="zh-CN"/>
                <w:highlight w:val="auto"/>
              </w:rPr>
              <w:t>53</w:t>
            </w:r>
            <w:r>
              <w:rPr>
                <w:rFonts w:ascii="方正仿宋_GBK" w:eastAsia="方正仿宋_GBK" w:cs="方正仿宋_GBK"/>
                <w:b/>
                <w:bCs/>
                <w:color w:val="auto"/>
                <w:sz w:val="24"/>
                <w:highlight w:val="auto"/>
              </w:rPr>
              <w:t>分：</w:t>
            </w:r>
          </w:p>
          <w:p>
            <w:pPr>
              <w:pStyle w:val="70"/>
              <w:spacing w:line="400" w:lineRule="exact"/>
              <w:jc w:val="left"/>
              <w:rPr>
                <w:rFonts w:ascii="方正仿宋_GBK" w:eastAsia="方正仿宋_GBK" w:cs="方正仿宋_GBK" w:hint="eastAsia"/>
                <w:color w:val="auto"/>
                <w:sz w:val="24"/>
                <w:lang w:val="en-US" w:eastAsia="zh-CN"/>
                <w:highlight w:val="auto"/>
              </w:rPr>
            </w:pPr>
            <w:r>
              <w:rPr>
                <w:rFonts w:ascii="方正仿宋_GBK" w:eastAsia="方正仿宋_GBK" w:cs="方正仿宋_GBK" w:hint="eastAsia"/>
                <w:color w:val="auto"/>
                <w:sz w:val="24"/>
                <w:lang w:val="en-US" w:eastAsia="zh-CN"/>
                <w:highlight w:val="auto"/>
              </w:rPr>
              <w:t>1、服务响应与保障（12分）：</w:t>
            </w:r>
          </w:p>
          <w:p>
            <w:pPr>
              <w:pStyle w:val="70"/>
              <w:spacing w:line="400" w:lineRule="exact"/>
              <w:jc w:val="left"/>
              <w:rPr>
                <w:rFonts w:ascii="方正仿宋_GBK" w:eastAsia="方正仿宋_GBK" w:cs="方正仿宋_GBK"/>
                <w:color w:val="auto"/>
                <w:sz w:val="24"/>
                <w:highlight w:val="auto"/>
              </w:rPr>
            </w:pPr>
            <w:r>
              <w:rPr>
                <w:rFonts w:ascii="方正仿宋_GBK" w:eastAsia="方正仿宋_GBK" w:cs="方正仿宋_GBK"/>
                <w:color w:val="auto"/>
                <w:sz w:val="24"/>
                <w:highlight w:val="auto"/>
              </w:rPr>
              <w:t>（1）响应时间：承诺紧急维修（如故障救援）≤1 小时到达现场得 4 分，1-2 小时得 2 分，＞2 小时得 1 分；​</w:t>
            </w:r>
          </w:p>
          <w:p>
            <w:pPr>
              <w:pStyle w:val="70"/>
              <w:spacing w:line="400" w:lineRule="exact"/>
              <w:jc w:val="left"/>
              <w:rPr>
                <w:rFonts w:ascii="方正仿宋_GBK" w:eastAsia="方正仿宋_GBK" w:cs="方正仿宋_GBK"/>
                <w:color w:val="auto"/>
                <w:sz w:val="24"/>
                <w:highlight w:val="auto"/>
              </w:rPr>
            </w:pPr>
            <w:r>
              <w:rPr>
                <w:rFonts w:ascii="方正仿宋_GBK" w:eastAsia="方正仿宋_GBK" w:cs="方正仿宋_GBK" w:hint="eastAsia"/>
                <w:color w:val="auto"/>
                <w:sz w:val="24"/>
                <w:lang w:eastAsia="zh-CN"/>
                <w:highlight w:val="auto"/>
              </w:rPr>
              <w:t>（</w:t>
            </w:r>
            <w:r>
              <w:rPr>
                <w:rFonts w:ascii="方正仿宋_GBK" w:eastAsia="方正仿宋_GBK" w:cs="方正仿宋_GBK" w:hint="eastAsia"/>
                <w:color w:val="auto"/>
                <w:sz w:val="24"/>
                <w:lang w:val="en-US" w:eastAsia="zh-CN"/>
                <w:highlight w:val="auto"/>
              </w:rPr>
              <w:t>2</w:t>
            </w:r>
            <w:r>
              <w:rPr>
                <w:rFonts w:ascii="方正仿宋_GBK" w:eastAsia="方正仿宋_GBK" w:cs="方正仿宋_GBK" w:hint="eastAsia"/>
                <w:color w:val="auto"/>
                <w:sz w:val="24"/>
                <w:lang w:eastAsia="zh-CN"/>
                <w:highlight w:val="auto"/>
              </w:rPr>
              <w:t>）</w:t>
            </w:r>
            <w:r>
              <w:rPr>
                <w:rFonts w:ascii="方正仿宋_GBK" w:eastAsia="方正仿宋_GBK" w:cs="方正仿宋_GBK"/>
                <w:color w:val="auto"/>
                <w:sz w:val="24"/>
                <w:highlight w:val="auto"/>
              </w:rPr>
              <w:t xml:space="preserve">维修时效：常规保养≤2 小时完成、一般故障≤24 小时修复得 </w:t>
            </w:r>
            <w:r>
              <w:rPr>
                <w:rFonts w:ascii="方正仿宋_GBK" w:eastAsia="方正仿宋_GBK" w:cs="方正仿宋_GBK" w:hint="eastAsia"/>
                <w:color w:val="auto"/>
                <w:sz w:val="24"/>
                <w:lang w:val="en-US" w:eastAsia="zh-CN"/>
                <w:highlight w:val="auto"/>
              </w:rPr>
              <w:t>4</w:t>
            </w:r>
            <w:r>
              <w:rPr>
                <w:rFonts w:ascii="方正仿宋_GBK" w:eastAsia="方正仿宋_GBK" w:cs="方正仿宋_GBK"/>
                <w:color w:val="auto"/>
                <w:sz w:val="24"/>
                <w:highlight w:val="auto"/>
              </w:rPr>
              <w:t xml:space="preserve"> 分，超时但≤48 小时得 1 分；​</w:t>
            </w:r>
          </w:p>
          <w:p>
            <w:pPr>
              <w:pStyle w:val="70"/>
              <w:spacing w:line="400" w:lineRule="exact"/>
              <w:jc w:val="left"/>
              <w:rPr>
                <w:rFonts w:ascii="方正仿宋_GBK" w:eastAsia="方正仿宋_GBK" w:cs="方正仿宋_GBK"/>
                <w:color w:val="auto"/>
                <w:sz w:val="24"/>
                <w:highlight w:val="auto"/>
              </w:rPr>
            </w:pPr>
            <w:r>
              <w:rPr>
                <w:rFonts w:ascii="方正仿宋_GBK" w:eastAsia="方正仿宋_GBK" w:cs="方正仿宋_GBK" w:hint="eastAsia"/>
                <w:color w:val="auto"/>
                <w:sz w:val="24"/>
                <w:lang w:eastAsia="zh-CN"/>
                <w:highlight w:val="auto"/>
              </w:rPr>
              <w:t>（</w:t>
            </w:r>
            <w:r>
              <w:rPr>
                <w:rFonts w:ascii="方正仿宋_GBK" w:eastAsia="方正仿宋_GBK" w:cs="方正仿宋_GBK" w:hint="eastAsia"/>
                <w:color w:val="auto"/>
                <w:sz w:val="24"/>
                <w:lang w:val="en-US" w:eastAsia="zh-CN"/>
                <w:highlight w:val="auto"/>
              </w:rPr>
              <w:t>3</w:t>
            </w:r>
            <w:r>
              <w:rPr>
                <w:rFonts w:ascii="方正仿宋_GBK" w:eastAsia="方正仿宋_GBK" w:cs="方正仿宋_GBK" w:hint="eastAsia"/>
                <w:color w:val="auto"/>
                <w:sz w:val="24"/>
                <w:lang w:eastAsia="zh-CN"/>
                <w:highlight w:val="auto"/>
              </w:rPr>
              <w:t>）</w:t>
            </w:r>
            <w:r>
              <w:rPr>
                <w:rFonts w:ascii="方正仿宋_GBK" w:eastAsia="方正仿宋_GBK" w:cs="方正仿宋_GBK"/>
                <w:color w:val="auto"/>
                <w:sz w:val="24"/>
                <w:highlight w:val="auto"/>
              </w:rPr>
              <w:t>备用方案：提供维修期间应急车辆（≥2 辆）或替代出行方案得</w:t>
            </w:r>
            <w:r>
              <w:rPr>
                <w:rFonts w:ascii="方正仿宋_GBK" w:eastAsia="方正仿宋_GBK" w:cs="方正仿宋_GBK" w:hint="eastAsia"/>
                <w:color w:val="auto"/>
                <w:sz w:val="24"/>
                <w:lang w:val="en-US" w:eastAsia="zh-CN"/>
                <w:highlight w:val="auto"/>
              </w:rPr>
              <w:t>4</w:t>
            </w:r>
            <w:r>
              <w:rPr>
                <w:rFonts w:ascii="方正仿宋_GBK" w:eastAsia="方正仿宋_GBK" w:cs="方正仿宋_GBK"/>
                <w:color w:val="auto"/>
                <w:sz w:val="24"/>
                <w:highlight w:val="auto"/>
              </w:rPr>
              <w:t>分，仅提供1辆应急车辆得1分，无备用方案不得分。</w:t>
            </w:r>
          </w:p>
          <w:p>
            <w:pPr>
              <w:pStyle w:val="46"/>
              <w:rPr>
                <w:color w:val="auto"/>
                <w:sz w:val="24"/>
                <w:highlight w:val="auto"/>
              </w:rPr>
            </w:pPr>
          </w:p>
          <w:p>
            <w:pPr>
              <w:pStyle w:val="70"/>
              <w:spacing w:line="400" w:lineRule="exact"/>
              <w:jc w:val="left"/>
              <w:rPr>
                <w:rFonts w:ascii="方正仿宋_GBK" w:eastAsia="方正仿宋_GBK" w:cs="方正仿宋_GBK"/>
                <w:color w:val="auto"/>
                <w:sz w:val="24"/>
                <w:highlight w:val="auto"/>
              </w:rPr>
            </w:pPr>
            <w:r>
              <w:rPr>
                <w:rFonts w:ascii="方正仿宋_GBK" w:eastAsia="方正仿宋_GBK" w:cs="方正仿宋_GBK" w:hint="eastAsia"/>
                <w:color w:val="auto"/>
                <w:sz w:val="24"/>
                <w:lang w:val="en-US" w:eastAsia="zh-CN"/>
                <w:highlight w:val="auto"/>
              </w:rPr>
              <w:t>2、维修服务方案</w:t>
            </w:r>
            <w:r>
              <w:rPr>
                <w:rFonts w:ascii="方正仿宋_GBK" w:eastAsia="方正仿宋_GBK" w:cs="方正仿宋_GBK"/>
                <w:color w:val="auto"/>
                <w:sz w:val="24"/>
                <w:highlight w:val="auto"/>
              </w:rPr>
              <w:t>（</w:t>
            </w:r>
            <w:r>
              <w:rPr>
                <w:rFonts w:ascii="方正仿宋_GBK" w:eastAsia="方正仿宋_GBK" w:cs="方正仿宋_GBK" w:hint="eastAsia"/>
                <w:color w:val="auto"/>
                <w:sz w:val="24"/>
                <w:lang w:val="en-US" w:eastAsia="zh-CN"/>
                <w:highlight w:val="auto"/>
              </w:rPr>
              <w:t>16</w:t>
            </w:r>
            <w:r>
              <w:rPr>
                <w:rFonts w:ascii="方正仿宋_GBK" w:eastAsia="方正仿宋_GBK" w:cs="方正仿宋_GBK"/>
                <w:color w:val="auto"/>
                <w:sz w:val="24"/>
                <w:highlight w:val="auto"/>
              </w:rPr>
              <w:t>分）</w:t>
            </w:r>
          </w:p>
          <w:p>
            <w:pPr>
              <w:pStyle w:val="70"/>
              <w:spacing w:line="400" w:lineRule="exact"/>
              <w:jc w:val="left"/>
              <w:rPr>
                <w:rFonts w:ascii="方正仿宋_GBK" w:eastAsia="方正仿宋_GBK" w:cs="方正仿宋_GBK"/>
                <w:color w:val="auto"/>
                <w:sz w:val="24"/>
                <w:highlight w:val="auto"/>
              </w:rPr>
            </w:pPr>
            <w:r>
              <w:rPr>
                <w:rFonts w:ascii="方正仿宋_GBK" w:eastAsia="方正仿宋_GBK" w:cs="方正仿宋_GBK" w:hint="eastAsia"/>
                <w:color w:val="auto"/>
                <w:sz w:val="24"/>
                <w:lang w:eastAsia="zh-CN"/>
                <w:highlight w:val="auto"/>
              </w:rPr>
              <w:t>（</w:t>
            </w:r>
            <w:r>
              <w:rPr>
                <w:rFonts w:ascii="方正仿宋_GBK" w:eastAsia="方正仿宋_GBK" w:cs="方正仿宋_GBK" w:hint="eastAsia"/>
                <w:color w:val="auto"/>
                <w:sz w:val="24"/>
                <w:lang w:val="en-US" w:eastAsia="zh-CN"/>
                <w:highlight w:val="auto"/>
              </w:rPr>
              <w:t>1</w:t>
            </w:r>
            <w:r>
              <w:rPr>
                <w:rFonts w:ascii="方正仿宋_GBK" w:eastAsia="方正仿宋_GBK" w:cs="方正仿宋_GBK" w:hint="eastAsia"/>
                <w:color w:val="auto"/>
                <w:sz w:val="24"/>
                <w:lang w:eastAsia="zh-CN"/>
                <w:highlight w:val="auto"/>
              </w:rPr>
              <w:t>）</w:t>
            </w:r>
            <w:r>
              <w:rPr>
                <w:rFonts w:ascii="方正仿宋_GBK" w:eastAsia="方正仿宋_GBK" w:cs="方正仿宋_GBK"/>
                <w:color w:val="auto"/>
                <w:sz w:val="24"/>
                <w:highlight w:val="auto"/>
              </w:rPr>
              <w:t xml:space="preserve">方案完整性：涵盖维修流程、质量管控、安全保障、客户回访等内容，逻辑清晰、针对性强得 </w:t>
            </w:r>
            <w:r>
              <w:rPr>
                <w:rFonts w:ascii="方正仿宋_GBK" w:eastAsia="方正仿宋_GBK" w:cs="方正仿宋_GBK" w:hint="eastAsia"/>
                <w:color w:val="auto"/>
                <w:sz w:val="24"/>
                <w:lang w:val="en-US" w:eastAsia="zh-CN"/>
                <w:highlight w:val="auto"/>
              </w:rPr>
              <w:t>8</w:t>
            </w:r>
            <w:r>
              <w:rPr>
                <w:rFonts w:ascii="方正仿宋_GBK" w:eastAsia="方正仿宋_GBK" w:cs="方正仿宋_GBK"/>
                <w:color w:val="auto"/>
                <w:sz w:val="24"/>
                <w:highlight w:val="auto"/>
              </w:rPr>
              <w:t xml:space="preserve"> 分；内容基本完整但针对性一般得 </w:t>
            </w:r>
            <w:r>
              <w:rPr>
                <w:rFonts w:ascii="方正仿宋_GBK" w:eastAsia="方正仿宋_GBK" w:cs="方正仿宋_GBK" w:hint="eastAsia"/>
                <w:color w:val="auto"/>
                <w:sz w:val="24"/>
                <w:lang w:val="en-US" w:eastAsia="zh-CN"/>
                <w:highlight w:val="auto"/>
              </w:rPr>
              <w:t>5</w:t>
            </w:r>
            <w:r>
              <w:rPr>
                <w:rFonts w:ascii="方正仿宋_GBK" w:eastAsia="方正仿宋_GBK" w:cs="方正仿宋_GBK"/>
                <w:color w:val="auto"/>
                <w:sz w:val="24"/>
                <w:highlight w:val="auto"/>
              </w:rPr>
              <w:t>分；方案简陋、缺核心模块得 1 分；​</w:t>
            </w:r>
          </w:p>
          <w:p>
            <w:pPr>
              <w:pStyle w:val="70"/>
              <w:spacing w:line="400" w:lineRule="exact"/>
              <w:jc w:val="left"/>
              <w:rPr>
                <w:rFonts w:ascii="方正仿宋_GBK" w:eastAsia="方正仿宋_GBK" w:cs="方正仿宋_GBK"/>
                <w:color w:val="auto"/>
                <w:sz w:val="24"/>
                <w:highlight w:val="auto"/>
              </w:rPr>
            </w:pPr>
            <w:r>
              <w:rPr>
                <w:rFonts w:ascii="方正仿宋_GBK" w:eastAsia="方正仿宋_GBK" w:cs="方正仿宋_GBK" w:hint="eastAsia"/>
                <w:color w:val="auto"/>
                <w:sz w:val="24"/>
                <w:lang w:eastAsia="zh-CN"/>
                <w:highlight w:val="auto"/>
              </w:rPr>
              <w:t>（</w:t>
            </w:r>
            <w:r>
              <w:rPr>
                <w:rFonts w:ascii="方正仿宋_GBK" w:eastAsia="方正仿宋_GBK" w:cs="方正仿宋_GBK" w:hint="eastAsia"/>
                <w:color w:val="auto"/>
                <w:sz w:val="24"/>
                <w:lang w:val="en-US" w:eastAsia="zh-CN"/>
                <w:highlight w:val="auto"/>
              </w:rPr>
              <w:t>2</w:t>
            </w:r>
            <w:r>
              <w:rPr>
                <w:rFonts w:ascii="方正仿宋_GBK" w:eastAsia="方正仿宋_GBK" w:cs="方正仿宋_GBK" w:hint="eastAsia"/>
                <w:color w:val="auto"/>
                <w:sz w:val="24"/>
                <w:lang w:eastAsia="zh-CN"/>
                <w:highlight w:val="auto"/>
              </w:rPr>
              <w:t>）</w:t>
            </w:r>
            <w:r>
              <w:rPr>
                <w:rFonts w:ascii="方正仿宋_GBK" w:eastAsia="方正仿宋_GBK" w:cs="方正仿宋_GBK"/>
                <w:color w:val="auto"/>
                <w:sz w:val="24"/>
                <w:highlight w:val="auto"/>
              </w:rPr>
              <w:t xml:space="preserve">个性化服务：针对采购单位车辆类型（如公务车、特种作业车等）制定专项维修方案，提供定制化保养计划得 </w:t>
            </w:r>
            <w:r>
              <w:rPr>
                <w:rFonts w:ascii="方正仿宋_GBK" w:eastAsia="方正仿宋_GBK" w:cs="方正仿宋_GBK" w:hint="eastAsia"/>
                <w:color w:val="auto"/>
                <w:sz w:val="24"/>
                <w:lang w:val="en-US" w:eastAsia="zh-CN"/>
                <w:highlight w:val="auto"/>
              </w:rPr>
              <w:t>8</w:t>
            </w:r>
            <w:r>
              <w:rPr>
                <w:rFonts w:ascii="方正仿宋_GBK" w:eastAsia="方正仿宋_GBK" w:cs="方正仿宋_GBK"/>
                <w:color w:val="auto"/>
                <w:sz w:val="24"/>
                <w:highlight w:val="auto"/>
              </w:rPr>
              <w:t xml:space="preserve"> 分；无专项方案但能满足基本维修需求得 </w:t>
            </w:r>
            <w:r>
              <w:rPr>
                <w:rFonts w:ascii="方正仿宋_GBK" w:eastAsia="方正仿宋_GBK" w:cs="方正仿宋_GBK" w:hint="eastAsia"/>
                <w:color w:val="auto"/>
                <w:sz w:val="24"/>
                <w:lang w:val="en-US" w:eastAsia="zh-CN"/>
                <w:highlight w:val="auto"/>
              </w:rPr>
              <w:t>2</w:t>
            </w:r>
            <w:r>
              <w:rPr>
                <w:rFonts w:ascii="方正仿宋_GBK" w:eastAsia="方正仿宋_GBK" w:cs="方正仿宋_GBK"/>
                <w:color w:val="auto"/>
                <w:sz w:val="24"/>
                <w:highlight w:val="auto"/>
              </w:rPr>
              <w:t xml:space="preserve"> 分。</w:t>
            </w:r>
          </w:p>
          <w:p>
            <w:pPr>
              <w:pStyle w:val="46"/>
              <w:numPr>
                <w:ilvl w:val="0"/>
                <w:numId w:val="1"/>
              </w:numPr>
              <w:rPr>
                <w:rFonts w:ascii="方正仿宋_GBK" w:eastAsia="方正仿宋_GBK" w:cs="方正仿宋_GBK" w:hint="eastAsia"/>
                <w:color w:val="auto"/>
                <w:sz w:val="24"/>
                <w:lang w:val="en-US" w:eastAsia="zh-CN"/>
                <w:highlight w:val="auto"/>
              </w:rPr>
            </w:pPr>
            <w:r>
              <w:rPr>
                <w:rFonts w:ascii="方正仿宋_GBK" w:eastAsia="方正仿宋_GBK" w:cs="方正仿宋_GBK" w:hint="eastAsia"/>
                <w:color w:val="auto"/>
                <w:sz w:val="24"/>
                <w:lang w:val="en-US" w:eastAsia="zh-CN"/>
                <w:highlight w:val="auto"/>
              </w:rPr>
              <w:t>重点难点分析（10分）</w:t>
            </w:r>
          </w:p>
          <w:p>
            <w:pPr>
              <w:pStyle w:val="70"/>
              <w:spacing w:line="400" w:lineRule="exact"/>
              <w:ind w:firstLineChars="100" w:firstLine="240"/>
              <w:jc w:val="left"/>
              <w:rPr>
                <w:rFonts w:ascii="方正仿宋_GBK" w:eastAsia="方正仿宋_GBK" w:cs="方正仿宋_GBK" w:hint="eastAsia"/>
                <w:sz w:val="24"/>
              </w:rPr>
            </w:pPr>
            <w:r>
              <w:rPr>
                <w:rFonts w:ascii="方正仿宋_GBK" w:eastAsia="方正仿宋_GBK" w:cs="方正仿宋_GBK" w:hint="eastAsia"/>
                <w:color w:val="auto"/>
                <w:sz w:val="24"/>
                <w:lang w:val="en-US" w:eastAsia="zh-CN"/>
                <w:highlight w:val="auto"/>
              </w:rPr>
              <w:t>根据投标供应商对本项目的重点难点分析进行评审：（1）投标供应商对实 施本项目的重点、难点分析透彻、把握准确的得10分； （2）投标供应商对实施本项目的重点、难点分析较透彻、把握较准确的得7分；（3）投标供应商对实施本项目的重点、难点分析把握一般的得4分；（4）投标供应商对实 施本项目重点、难点分析把握不完善、不合理，不满足采购需求得1分 , 未提供不得分。</w:t>
            </w:r>
          </w:p>
          <w:p>
            <w:pPr>
              <w:pStyle w:val="70"/>
              <w:spacing w:line="400" w:lineRule="exact"/>
              <w:jc w:val="left"/>
              <w:rPr>
                <w:rFonts w:ascii="方正仿宋_GBK" w:eastAsia="方正仿宋_GBK" w:cs="方正仿宋_GBK" w:hint="eastAsia"/>
                <w:color w:val="auto"/>
                <w:sz w:val="24"/>
                <w:lang w:val="en-US" w:eastAsia="zh-CN"/>
                <w:highlight w:val="auto"/>
              </w:rPr>
            </w:pPr>
            <w:r>
              <w:rPr>
                <w:rFonts w:ascii="方正仿宋_GBK" w:eastAsia="方正仿宋_GBK" w:cs="方正仿宋_GBK" w:hint="eastAsia"/>
                <w:color w:val="auto"/>
                <w:sz w:val="24"/>
                <w:lang w:val="en-US" w:eastAsia="zh-CN"/>
                <w:highlight w:val="auto"/>
              </w:rPr>
              <w:t>4、质量保障措施（15分）</w:t>
            </w:r>
          </w:p>
          <w:p>
            <w:pPr>
              <w:pStyle w:val="70"/>
              <w:spacing w:line="400" w:lineRule="exact"/>
              <w:jc w:val="left"/>
              <w:rPr>
                <w:rFonts w:ascii="方正仿宋_GBK" w:eastAsia="方正仿宋_GBK" w:cs="方正仿宋_GBK"/>
                <w:color w:val="auto"/>
                <w:sz w:val="24"/>
                <w:lang w:val="en-US" w:eastAsia="zh-CN"/>
                <w:highlight w:val="auto"/>
              </w:rPr>
            </w:pPr>
            <w:r>
              <w:rPr>
                <w:rFonts w:ascii="方正仿宋_GBK" w:eastAsia="方正仿宋_GBK" w:cs="方正仿宋_GBK" w:hint="eastAsia"/>
                <w:color w:val="auto"/>
                <w:sz w:val="24"/>
                <w:lang w:val="en-US" w:eastAsia="zh-CN"/>
                <w:highlight w:val="auto"/>
              </w:rPr>
              <w:t>（1）</w:t>
            </w:r>
            <w:r>
              <w:rPr>
                <w:rFonts w:ascii="方正仿宋_GBK" w:eastAsia="方正仿宋_GBK" w:cs="方正仿宋_GBK"/>
                <w:color w:val="auto"/>
                <w:sz w:val="24"/>
                <w:lang w:val="en-US" w:eastAsia="zh-CN"/>
                <w:highlight w:val="auto"/>
              </w:rPr>
              <w:t>质量保障体系完善，涵盖原厂配件使用、维修流程管控、竣工检测、质保承诺、维修档案追溯全环节，措施全面、具体、可操作性强得15分；​</w:t>
            </w:r>
          </w:p>
          <w:p>
            <w:pPr>
              <w:pStyle w:val="70"/>
              <w:spacing w:line="400" w:lineRule="exact"/>
              <w:jc w:val="left"/>
              <w:rPr>
                <w:rFonts w:ascii="方正仿宋_GBK" w:eastAsia="方正仿宋_GBK" w:cs="方正仿宋_GBK"/>
                <w:color w:val="auto"/>
                <w:sz w:val="24"/>
                <w:lang w:val="en-US" w:eastAsia="zh-CN"/>
                <w:highlight w:val="auto"/>
              </w:rPr>
            </w:pPr>
            <w:r>
              <w:rPr>
                <w:rFonts w:ascii="方正仿宋_GBK" w:eastAsia="方正仿宋_GBK" w:cs="方正仿宋_GBK" w:hint="eastAsia"/>
                <w:color w:val="auto"/>
                <w:sz w:val="24"/>
                <w:lang w:val="en-US" w:eastAsia="zh-CN"/>
                <w:highlight w:val="auto"/>
              </w:rPr>
              <w:t>（2）</w:t>
            </w:r>
            <w:r>
              <w:rPr>
                <w:rFonts w:ascii="方正仿宋_GBK" w:eastAsia="方正仿宋_GBK" w:cs="方正仿宋_GBK"/>
                <w:color w:val="auto"/>
                <w:sz w:val="24"/>
                <w:lang w:val="en-US" w:eastAsia="zh-CN"/>
                <w:highlight w:val="auto"/>
              </w:rPr>
              <w:t>质量保障体系较为完善，核心措施（配件质量、维修流程、质保追溯）齐全，部分细节需补充得11分；​</w:t>
            </w:r>
          </w:p>
          <w:p>
            <w:pPr>
              <w:pStyle w:val="70"/>
              <w:spacing w:line="400" w:lineRule="exact"/>
              <w:jc w:val="left"/>
              <w:rPr>
                <w:rFonts w:ascii="方正仿宋_GBK" w:eastAsia="方正仿宋_GBK" w:cs="方正仿宋_GBK"/>
                <w:color w:val="auto"/>
                <w:sz w:val="24"/>
                <w:lang w:val="en-US" w:eastAsia="zh-CN"/>
                <w:highlight w:val="auto"/>
              </w:rPr>
            </w:pPr>
            <w:r>
              <w:rPr>
                <w:rFonts w:ascii="方正仿宋_GBK" w:eastAsia="方正仿宋_GBK" w:cs="方正仿宋_GBK" w:hint="eastAsia"/>
                <w:color w:val="auto"/>
                <w:sz w:val="24"/>
                <w:lang w:val="en-US" w:eastAsia="zh-CN"/>
                <w:highlight w:val="auto"/>
              </w:rPr>
              <w:t>（3）</w:t>
            </w:r>
            <w:r>
              <w:rPr>
                <w:rFonts w:ascii="方正仿宋_GBK" w:eastAsia="方正仿宋_GBK" w:cs="方正仿宋_GBK"/>
                <w:color w:val="auto"/>
                <w:sz w:val="24"/>
                <w:lang w:val="en-US" w:eastAsia="zh-CN"/>
                <w:highlight w:val="auto"/>
              </w:rPr>
              <w:t>质量保障体系基本完整，关键措施明确，但全面性或可操作性一般得7分；</w:t>
            </w:r>
          </w:p>
          <w:p>
            <w:pPr>
              <w:pStyle w:val="70"/>
              <w:spacing w:line="400" w:lineRule="exact"/>
              <w:jc w:val="left"/>
              <w:rPr>
                <w:rFonts w:ascii="方正仿宋_GBK" w:eastAsia="方正仿宋_GBK" w:cs="方正仿宋_GBK"/>
                <w:color w:val="auto"/>
                <w:sz w:val="24"/>
                <w:lang w:val="en-US" w:eastAsia="zh-CN"/>
                <w:highlight w:val="auto"/>
              </w:rPr>
            </w:pPr>
            <w:r>
              <w:rPr>
                <w:rFonts w:ascii="方正仿宋_GBK" w:eastAsia="方正仿宋_GBK" w:cs="方正仿宋_GBK" w:hint="eastAsia"/>
                <w:color w:val="auto"/>
                <w:sz w:val="24"/>
                <w:lang w:val="en-US" w:eastAsia="zh-CN"/>
                <w:highlight w:val="auto"/>
              </w:rPr>
              <w:t>（4）</w:t>
            </w:r>
            <w:r>
              <w:rPr>
                <w:rFonts w:ascii="方正仿宋_GBK" w:eastAsia="方正仿宋_GBK" w:cs="方正仿宋_GBK"/>
                <w:color w:val="auto"/>
                <w:sz w:val="24"/>
                <w:lang w:val="en-US" w:eastAsia="zh-CN"/>
                <w:highlight w:val="auto"/>
              </w:rPr>
              <w:t>质量保障体系不够完善，仅提供部分核心措施，缺乏具</w:t>
            </w:r>
          </w:p>
          <w:p>
            <w:pPr>
              <w:pStyle w:val="70"/>
              <w:spacing w:line="400" w:lineRule="exact"/>
              <w:jc w:val="left"/>
              <w:rPr>
                <w:rFonts w:ascii="方正仿宋_GBK" w:eastAsia="方正仿宋_GBK" w:cs="方正仿宋_GBK"/>
                <w:color w:val="auto"/>
                <w:sz w:val="24"/>
                <w:lang w:val="en-US" w:eastAsia="zh-CN"/>
                <w:highlight w:val="auto"/>
              </w:rPr>
            </w:pPr>
            <w:r>
              <w:rPr>
                <w:rFonts w:ascii="方正仿宋_GBK" w:eastAsia="方正仿宋_GBK" w:cs="方正仿宋_GBK"/>
                <w:color w:val="auto"/>
                <w:sz w:val="24"/>
                <w:lang w:val="en-US" w:eastAsia="zh-CN"/>
                <w:highlight w:val="auto"/>
              </w:rPr>
              <w:t>体执行要求得3分；</w:t>
            </w:r>
          </w:p>
          <w:p>
            <w:pPr>
              <w:spacing w:line="56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color w:val="auto"/>
                <w:sz w:val="24"/>
                <w:lang w:val="en-US" w:eastAsia="zh-CN"/>
                <w:highlight w:val="auto"/>
              </w:rPr>
              <w:t>（5）</w:t>
            </w:r>
            <w:r>
              <w:rPr>
                <w:rFonts w:ascii="方正仿宋_GBK" w:eastAsia="方正仿宋_GBK" w:cs="方正仿宋_GBK"/>
                <w:color w:val="auto"/>
                <w:sz w:val="24"/>
                <w:lang w:val="en-US" w:eastAsia="zh-CN"/>
                <w:highlight w:val="auto"/>
              </w:rPr>
              <w:t>未提供质量保障体系及相关措施</w:t>
            </w:r>
            <w:r>
              <w:rPr>
                <w:rFonts w:ascii="方正仿宋_GBK" w:eastAsia="方正仿宋_GBK" w:cs="方正仿宋_GBK" w:hint="eastAsia"/>
                <w:color w:val="auto"/>
                <w:sz w:val="24"/>
                <w:lang w:val="en-US" w:eastAsia="zh-CN"/>
                <w:highlight w:val="auto"/>
              </w:rPr>
              <w:t>不得分。</w:t>
            </w:r>
          </w:p>
        </w:tc>
      </w:tr>
      <w:tr>
        <w:trPr>
          <w:trHeight w:val="2545"/>
        </w:trPr>
        <w:tc>
          <w:tcPr>
            <w:tcW w:w="218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其他因素</w:t>
            </w:r>
          </w:p>
        </w:tc>
        <w:tc>
          <w:tcPr>
            <w:tcW w:w="6877" w:type="dxa"/>
          </w:tcPr>
          <w:p>
            <w:pPr>
              <w:spacing w:line="400" w:lineRule="exact"/>
              <w:jc w:val="left"/>
              <w:rPr>
                <w:rFonts w:ascii="方正仿宋_GBK" w:eastAsia="方正仿宋_GBK" w:cs="方正仿宋_GBK"/>
                <w:sz w:val="24"/>
              </w:rPr>
            </w:pPr>
            <w:r>
              <w:rPr>
                <w:rFonts w:ascii="方正仿宋_GBK" w:eastAsia="方正仿宋_GBK" w:cs="方正仿宋_GBK" w:hint="eastAsia"/>
                <w:sz w:val="24"/>
              </w:rPr>
              <w:t>1、公告期限（3个工作日）</w:t>
            </w:r>
          </w:p>
          <w:p>
            <w:pPr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4"/>
              </w:rPr>
              <w:t>2、响应文件份数（</w:t>
            </w:r>
            <w:r>
              <w:rPr>
                <w:rFonts w:ascii="方正仿宋_GBK" w:eastAsia="方正仿宋_GBK" w:cs="方正仿宋_GBK"/>
                <w:sz w:val="24"/>
              </w:rPr>
              <w:t>3</w:t>
            </w:r>
            <w:r>
              <w:rPr>
                <w:rFonts w:ascii="方正仿宋_GBK" w:eastAsia="方正仿宋_GBK" w:cs="方正仿宋_GBK" w:hint="eastAsia"/>
                <w:sz w:val="24"/>
              </w:rPr>
              <w:t>份）</w:t>
            </w:r>
          </w:p>
        </w:tc>
      </w:tr>
    </w:tbl>
    <w:p>
      <w:pPr>
        <w:spacing w:line="560" w:lineRule="exact"/>
        <w:rPr>
          <w:rFonts w:ascii="方正仿宋_GBK" w:eastAsia="方正仿宋_GBK" w:cs="方正仿宋_GBK"/>
          <w:sz w:val="32"/>
          <w:szCs w:val="32"/>
        </w:rPr>
      </w:pPr>
    </w:p>
    <w:sectPr>
      <w:footerReference w:type="default" r:id="rId2"/>
      <w:footerReference w:type="even" r:id="rId3"/>
      <w:pgSz w:w="11907" w:h="16840"/>
      <w:pgMar w:top="1440" w:right="1797" w:bottom="1440" w:left="1797" w:header="851" w:footer="992" w:gutter="0"/>
      <w:pgNumType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小标宋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楷体_GBK">
    <w:panose1 w:val="02000000000000000000"/>
    <w:charset w:val="86"/>
    <w:family w:val="script"/>
    <w:pitch w:val="variable"/>
    <w:sig w:usb0="00000001" w:usb1="08000000" w:usb2="00000000" w:usb3="00000000" w:csb0="00040000" w:csb1="00000000"/>
  </w:font>
  <w:font w:name="方正仿宋_GBK">
    <w:panose1 w:val="02000000000000000000"/>
    <w:charset w:val="86"/>
    <w:family w:val="script"/>
    <w:pitch w:val="variable"/>
    <w:sig w:usb0="00000001" w:usb1="08000000" w:usb2="00000000" w:usb3="00000000" w:csb0="00040000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黑体">
    <w:panose1 w:val="02010600030101010101"/>
    <w:charset w:val="86"/>
    <w:family w:val="auto"/>
    <w:pitch w:val="variable"/>
    <w:sig w:usb0="00000001" w:usb1="080E0000" w:usb2="00000000" w:usb3="00000000" w:csb0="00040000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Calibri">
    <w:altName w:val="DejaVu Sans"/>
    <w:panose1 w:val="020F0502020204030204"/>
    <w:charset w:val="00"/>
    <w:family w:val="swiss"/>
    <w:pitch w:val="variable"/>
    <w:sig w:usb0="00000000" w:usb1="00000000" w:usb2="00000001" w:usb3="00000000" w:csb0="0000019F" w:csb1="00000000"/>
  </w:font>
  <w:font w:name="Arial">
    <w:altName w:val="Times New Roman"/>
    <w:panose1 w:val="020B0604020202020204"/>
    <w:charset w:val="01"/>
    <w:family w:val="swiss"/>
    <w:pitch w:val="variable"/>
    <w:sig w:usb0="E0002AFF" w:usb1="C0007843" w:usb2="00000009" w:usb3="00000000" w:csb0="400001FF" w:csb1="FFFF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6"/>
      <w:framePr w:w="0" w:hRule="auto" w:wrap="around" w:vAnchor="text" w:hAnchor="margin" w:xAlign="right" w:y="1" w:anchorLock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6"/>
      </w:tabs>
    </w:pPr>
    <w:r>
      <w:rPr>
        <w:rStyle w:val="57"/>
      </w:rPr>
      <w:fldChar w:fldCharType="begin"/>
    </w:r>
    <w:r>
      <w:rPr>
        <w:rStyle w:val="57"/>
      </w:rPr>
      <w:instrText>Page</w:instrText>
    </w:r>
    <w:r>
      <w:rPr>
        <w:rStyle w:val="57"/>
      </w:rPr>
      <w:fldChar w:fldCharType="separate"/>
    </w:r>
    <w:r>
      <w:rPr>
        <w:rStyle w:val="57"/>
      </w:rPr>
      <w:t>1</w:t>
    </w:r>
    <w:r>
      <w:rPr>
        <w:rStyle w:val="57"/>
      </w:rPr>
      <w:fldChar w:fldCharType="end"/>
    </w:r>
  </w:p>
  <w:p>
    <w:pPr>
      <w:pStyle w:val="16"/>
      <w:tabs>
        <w:tab w:val="center" w:pos="4153"/>
        <w:tab w:val="right" w:pos="8306"/>
      </w:tabs>
      <w:ind w:right="360"/>
    </w:pPr>
  </w:p>
</w:ftr>
</file>

<file path=word/footer2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6"/>
      <w:framePr w:w="0" w:hRule="auto" w:wrap="around" w:vAnchor="text" w:hAnchor="margin" w:xAlign="right" w:y="1" w:anchorLock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6"/>
      </w:tabs>
    </w:pPr>
    <w:r>
      <w:rPr>
        <w:rStyle w:val="57"/>
      </w:rPr>
      <w:fldChar w:fldCharType="begin"/>
    </w:r>
    <w:r>
      <w:rPr>
        <w:rStyle w:val="57"/>
      </w:rPr>
      <w:instrText>Page</w:instrText>
    </w:r>
    <w:r>
      <w:rPr>
        <w:rStyle w:val="57"/>
      </w:rPr>
      <w:fldChar w:fldCharType="separate"/>
    </w:r>
    <w:r>
      <w:rPr>
        <w:rStyle w:val="57"/>
      </w:rPr>
      <w:t>1</w:t>
    </w:r>
    <w:r>
      <w:rPr>
        <w:rStyle w:val="57"/>
      </w:rPr>
      <w:fldChar w:fldCharType="end"/>
    </w:r>
  </w:p>
  <w:p>
    <w:pPr>
      <w:pStyle w:val="16"/>
      <w:tabs>
        <w:tab w:val="center" w:pos="4153"/>
        <w:tab w:val="right" w:pos="8306"/>
      </w:tabs>
      <w:ind w:right="360"/>
    </w:pP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24EB689A"/>
    <w:multiLevelType w:val="singleLevel"/>
    <w:tmpl w:val="24EB689A"/>
    <w:lvl w:ilvl="0">
      <w:start w:val="3"/>
      <w:numFmt w:val="decimal"/>
      <w:lvlRestart w:val="0"/>
      <w:suff w:val="nothing"/>
      <w:lvlText w:val="%1、"/>
      <w:lvlJc w:val="left"/>
      <w:pPr>
        <w:ind w:left="0" w:hanging="0"/>
      </w:p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00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>
    <w:docVar w:name="commondata" w:val="eyJoZGlkIjoiOWRlNmFjNTE0YmQzNDgwNGMxODI4OWJlYzRjMWE3MTc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  <w:style w:type="paragraph" w:styleId="15">
    <w:name w:val="annotation text"/>
    <w:basedOn w:val="0"/>
    <w:pPr>
      <w:jc w:val="left"/>
    </w:p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index heading"/>
    <w:basedOn w:val="0"/>
    <w:rPr>
      <w:rFonts w:ascii="Arial" w:hAnsi="Arial"/>
      <w:b/>
    </w:rPr>
  </w:style>
  <w:style w:type="paragraph" w:customStyle="1" w:styleId="19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1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2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3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4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5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6">
    <w:name w:val="样式 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7">
    <w:name w:val="样式 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8">
    <w:name w:val="样式 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9">
    <w:name w:val="样式 1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0">
    <w:name w:val="样式 1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1">
    <w:name w:val="样式 1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2">
    <w:name w:val="样式 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3">
    <w:name w:val="样式 1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4">
    <w:name w:val="样式 1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5">
    <w:name w:val="样式 16 10 磅"/>
    <w:next w:val="46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6">
    <w:name w:val="样式 1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7">
    <w:name w:val="样式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8">
    <w:name w:val="样式 1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9">
    <w:name w:val="样式 1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0">
    <w:name w:val="样式 1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1">
    <w:name w:val="样式 2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42">
    <w:name w:val="样式 2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3">
    <w:name w:val="样式 2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4">
    <w:name w:val="样式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45">
    <w:name w:val="样式 2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6">
    <w:name w:val="样式 24 10 磅"/>
    <w:next w:val="68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7">
    <w:name w:val="样式 2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8">
    <w:name w:val="样式 3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9">
    <w:name w:val="样式 2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0">
    <w:name w:val="样式 2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1">
    <w:name w:val="样式 27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2">
    <w:name w:val="样式 28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3">
    <w:name w:val="样式 2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4">
    <w:name w:val="样式 3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5">
    <w:name w:val="样式 3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6">
    <w:name w:val="样式 3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styleId="57">
    <w:name w:val="page number"/>
    <w:basedOn w:val="10"/>
  </w:style>
  <w:style w:type="paragraph" w:customStyle="1" w:styleId="58">
    <w:name w:val="样式 1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59">
    <w:name w:val="样式 3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0">
    <w:name w:val="公式样式 数字"/>
    <w:autoRedefine/>
    <w:rPr>
      <w:rFonts w:ascii="Times New Roman" w:eastAsia="宋体" w:cs="Times New Roman" w:hAnsi="Times New Roman"/>
      <w:b w:val="0"/>
      <w:i w:val="0"/>
      <w:lang w:val="en-US" w:eastAsia="zh-CN" w:bidi="ar-SA"/>
    </w:rPr>
  </w:style>
  <w:style w:type="paragraph" w:customStyle="1" w:styleId="61">
    <w:name w:val="样式 2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62">
    <w:name w:val="样式 34 10 磅"/>
    <w:next w:val="60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3">
    <w:name w:val="样式 3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64">
    <w:name w:val="样式 3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5">
    <w:name w:val="样式 3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6">
    <w:name w:val="样式 3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7">
    <w:name w:val="样式 4 小四"/>
    <w:next w:val="46"/>
    <w:pPr>
      <w:widowControl w:val="0"/>
      <w:spacing w:before="100" w:beforeAutospacing="1" w:after="100" w:afterAutospacing="1"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styleId="68">
    <w:name w:val="index 7"/>
    <w:basedOn w:val="0"/>
    <w:autoRedefine/>
    <w:next w:val="0"/>
    <w:pPr>
      <w:ind w:left="2520"/>
    </w:pPr>
  </w:style>
  <w:style w:type="paragraph" w:styleId="69">
    <w:name w:val="Salutation"/>
    <w:basedOn w:val="0"/>
    <w:next w:val="0"/>
  </w:style>
  <w:style w:type="paragraph" w:customStyle="1" w:styleId="70">
    <w:name w:val="样式 39 10 磅"/>
    <w:next w:val="68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1">
    <w:name w:val="样式 55 10 磅"/>
    <w:next w:val="69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2">
    <w:name w:val="样式 3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styles" Target="styles.xml"/><Relationship Id="rId5" Type="http://schemas.openxmlformats.org/officeDocument/2006/relationships/numbering" Target="numbering.xml"/><Relationship Id="rId6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483</TotalTime>
  <Application>Yozo_Office</Application>
  <Pages>4</Pages>
  <Words>1894</Words>
  <Characters>1918</Characters>
  <Lines>88</Lines>
  <Paragraphs>63</Paragraphs>
  <CharactersWithSpaces>1973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阿牧古龙</dc:creator>
  <cp:lastModifiedBy>曾得源</cp:lastModifiedBy>
  <cp:revision>2</cp:revision>
  <cp:lastPrinted>2025-09-19T07:23:13Z</cp:lastPrinted>
  <dcterms:created xsi:type="dcterms:W3CDTF">2025-05-16T10:09:00Z</dcterms:created>
  <dcterms:modified xsi:type="dcterms:W3CDTF">2026-01-19T03:56:20Z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2052-11.8.2.12065</vt:lpwstr>
  </property>
  <property fmtid="{D5CDD505-2E9C-101B-9397-08002B2CF9AE}" pid="3" name="ICV">
    <vt:lpwstr>8BFDB32D35E2409A96B744D0C7FC1FE2</vt:lpwstr>
  </property>
</Properties>
</file>