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微软雅黑" w:eastAsia="微软雅黑" w:cs="微软雅黑"/>
          <w:sz w:val="32"/>
          <w:szCs w:val="32"/>
        </w:rPr>
      </w:pPr>
      <w:bookmarkStart w:id="0" w:name="_GoBack"/>
      <w:bookmarkEnd w:id="0"/>
      <w:r>
        <w:rPr>
          <w:rFonts w:ascii="微软雅黑" w:eastAsia="微软雅黑" w:cs="微软雅黑" w:hint="eastAsia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40"/>
        </w:rPr>
      </w:pPr>
      <w:r>
        <w:rPr>
          <w:rFonts w:ascii="方正小标宋简体" w:eastAsia="方正小标宋简体" w:hint="eastAsia"/>
          <w:sz w:val="40"/>
        </w:rPr>
        <w:t>比选采购需求书</w:t>
      </w:r>
    </w:p>
    <w:tbl>
      <w:tblPr>
        <w:jc w:val="left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6248"/>
        <w:gridCol w:w="1265"/>
      </w:tblGrid>
      <w:tr>
        <w:tc>
          <w:tcPr>
            <w:tcW w:w="889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ascii="微软雅黑" w:eastAsia="微软雅黑" w:cs="微软雅黑" w:hint="eastAsia"/>
                <w:sz w:val="32"/>
                <w:szCs w:val="32"/>
              </w:rPr>
              <w:t>基础信息栏</w:t>
            </w:r>
          </w:p>
        </w:tc>
      </w:tr>
      <w:tr>
        <w:trPr>
          <w:trHeight w:val="638"/>
        </w:trPr>
        <w:tc>
          <w:tcPr>
            <w:tcW w:w="13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项目名称</w:t>
            </w:r>
          </w:p>
        </w:tc>
        <w:tc>
          <w:tcPr>
            <w:tcW w:w="7513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二连浩特国际旅行卫生保健中心（二连浩特国际传染病防治培训中心、二连海关口岸门诊部）实验室维修维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护服务</w:t>
            </w:r>
          </w:p>
        </w:tc>
      </w:tr>
      <w:tr>
        <w:tc>
          <w:tcPr>
            <w:tcW w:w="13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采购预算</w:t>
            </w:r>
          </w:p>
        </w:tc>
        <w:tc>
          <w:tcPr>
            <w:tcW w:w="75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70,000.00元</w:t>
            </w:r>
          </w:p>
        </w:tc>
      </w:tr>
      <w:tr>
        <w:tc>
          <w:tcPr>
            <w:tcW w:w="13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评审方法</w:t>
            </w:r>
          </w:p>
        </w:tc>
        <w:tc>
          <w:tcPr>
            <w:tcW w:w="7513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sym w:font="Wingdings 2" w:char="A3"/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sym w:font="Wingdings 2" w:char="52"/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综合评分法</w:t>
            </w:r>
          </w:p>
        </w:tc>
      </w:tr>
      <w:tr>
        <w:trPr>
          <w:trHeight w:val="321"/>
        </w:trPr>
        <w:tc>
          <w:tcPr>
            <w:tcW w:w="889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微软雅黑" w:eastAsia="微软雅黑" w:cs="微软雅黑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1551"/>
        </w:trPr>
        <w:tc>
          <w:tcPr>
            <w:tcW w:w="13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说明</w:t>
            </w:r>
          </w:p>
        </w:tc>
        <w:tc>
          <w:tcPr>
            <w:tcW w:w="7513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1159"/>
        </w:trPr>
        <w:tc>
          <w:tcPr>
            <w:tcW w:w="13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7513" w:type="dxa"/>
            <w:gridSpan w:val="2"/>
            <w:vAlign w:val="center"/>
          </w:tcPr>
          <w:p>
            <w:pPr>
              <w:pStyle w:val="61"/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1.在中国境内注册的独立法人，具有独立承担民事责任的能力。</w:t>
            </w:r>
          </w:p>
          <w:p>
            <w:pPr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2.未被列为失信执行人，无严重违法失信记录。</w:t>
            </w:r>
          </w:p>
        </w:tc>
      </w:tr>
      <w:tr>
        <w:trPr>
          <w:trHeight w:val="3818"/>
        </w:trPr>
        <w:tc>
          <w:tcPr>
            <w:tcW w:w="13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实质性</w:t>
            </w:r>
          </w:p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需求</w:t>
            </w:r>
          </w:p>
        </w:tc>
        <w:tc>
          <w:tcPr>
            <w:tcW w:w="7513" w:type="dxa"/>
            <w:gridSpan w:val="2"/>
            <w:vAlign w:val="center"/>
          </w:tcPr>
          <w:p>
            <w:pPr>
              <w:spacing w:line="42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一、项目内容</w:t>
            </w:r>
          </w:p>
          <w:p>
            <w:pPr>
              <w:spacing w:line="42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详见附件：P2实验室维修维护清单</w:t>
            </w:r>
          </w:p>
          <w:p>
            <w:pPr>
              <w:spacing w:line="42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二、其他要求</w:t>
            </w:r>
          </w:p>
          <w:p>
            <w:pPr>
              <w:spacing w:line="42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★1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质量标准：符合国家或行业相关标准。</w:t>
            </w:r>
          </w:p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★2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滤器更换完成后，对实验室各房间的压力进行调节检查、保证实验室各项参数满足实验室运行条件及规范要求。</w:t>
            </w:r>
          </w:p>
          <w:p>
            <w:pPr>
              <w:spacing w:line="42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★3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实验室维修维护完成后，各系统应可正常启停且稳定运行，实验室达到正常使用状态。</w:t>
            </w:r>
          </w:p>
          <w:p>
            <w:pPr>
              <w:spacing w:line="420" w:lineRule="exact"/>
              <w:rPr>
                <w:rFonts w:ascii="Times New Roman" w:eastAsia="方正仿宋_GBK" w:cs="方正仿宋_GBK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★4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维保服务期：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1年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。</w:t>
            </w:r>
          </w:p>
        </w:tc>
      </w:tr>
      <w:tr>
        <w:trPr>
          <w:trHeight w:val="645"/>
        </w:trPr>
        <w:tc>
          <w:tcPr>
            <w:tcW w:w="1384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评审因素</w:t>
            </w:r>
          </w:p>
        </w:tc>
        <w:tc>
          <w:tcPr>
            <w:tcW w:w="7513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</w:t>
            </w:r>
            <w:r>
              <w:rPr>
                <w:rFonts w:ascii="方正仿宋_GBK" w:eastAsia="方正仿宋_GBK" w:cs="方正仿宋_GBK" w:hint="eastAsia"/>
                <w:color w:val="0000FF"/>
                <w:sz w:val="28"/>
                <w:szCs w:val="28"/>
              </w:rPr>
              <w:t>综合评分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法。</w:t>
            </w:r>
          </w:p>
        </w:tc>
      </w:tr>
      <w:tr>
        <w:trPr>
          <w:trHeight w:val="528"/>
        </w:trPr>
        <w:tc>
          <w:tcPr>
            <w:tcW w:w="1384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其他因素</w:t>
            </w:r>
          </w:p>
        </w:tc>
        <w:tc>
          <w:tcPr>
            <w:tcW w:w="7513" w:type="dxa"/>
            <w:gridSpan w:val="2"/>
            <w:shd w:val="clear" w:color="auto" w:fill="auto"/>
            <w:vAlign w:val="center"/>
          </w:tcPr>
          <w:p>
            <w:pPr>
              <w:spacing w:line="42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公告期限为5个工作日</w:t>
            </w:r>
          </w:p>
          <w:p>
            <w:pPr>
              <w:spacing w:line="420" w:lineRule="exact"/>
              <w:rPr>
                <w:rFonts w:ascii="方正仿宋_GBK" w:eastAsia="方正仿宋_GBK" w:cs="方正仿宋_GBK"/>
                <w:sz w:val="28"/>
                <w:szCs w:val="28"/>
                <w:highlight w:val="yellow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响应文件份数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份</w:t>
            </w:r>
          </w:p>
        </w:tc>
      </w:tr>
      <w:tr>
        <w:trPr>
          <w:cantSplit/>
          <w:trHeight w:val="560"/>
        </w:trPr>
        <w:tc>
          <w:tcPr>
            <w:tcW w:w="1384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评分因素</w:t>
            </w:r>
          </w:p>
        </w:tc>
        <w:tc>
          <w:tcPr>
            <w:tcW w:w="6248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评  分  标  准</w:t>
            </w:r>
          </w:p>
        </w:tc>
        <w:tc>
          <w:tcPr>
            <w:tcW w:w="1265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分值</w:t>
            </w:r>
          </w:p>
        </w:tc>
      </w:tr>
      <w:tr>
        <w:trPr>
          <w:trHeight w:val="560"/>
        </w:trPr>
        <w:tc>
          <w:tcPr>
            <w:tcW w:w="13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/>
        </w:tc>
        <w:tc>
          <w:tcPr>
            <w:tcW w:w="624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/>
        </w:tc>
        <w:tc>
          <w:tcPr>
            <w:tcW w:w="126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/>
        </w:tc>
      </w:tr>
      <w:tr>
        <w:trPr>
          <w:cantSplit/>
          <w:trHeight w:val="460"/>
        </w:trPr>
        <w:tc>
          <w:tcPr>
            <w:tcW w:w="13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 xml:space="preserve">投标报价 </w:t>
            </w:r>
          </w:p>
        </w:tc>
        <w:tc>
          <w:tcPr>
            <w:tcW w:w="62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供应商报价得分＝（评审基准价/供应商报价）×价格分值【注：满足比选文件要求且供应商报价最低的投标报价为评审基准价。】最低报价不是中标的唯一依据。</w:t>
            </w:r>
          </w:p>
        </w:tc>
        <w:tc>
          <w:tcPr>
            <w:tcW w:w="12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30</w:t>
            </w:r>
          </w:p>
        </w:tc>
      </w:tr>
      <w:tr>
        <w:trPr>
          <w:cantSplit/>
          <w:trHeight w:val="6074"/>
        </w:trPr>
        <w:tc>
          <w:tcPr>
            <w:tcW w:w="1384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技术部分</w:t>
            </w:r>
          </w:p>
        </w:tc>
        <w:tc>
          <w:tcPr>
            <w:tcW w:w="62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整体服务方案（30分）：根据投标人针对本项目提供的整体服务方案进行评审：①日常维保计划；②服务工作流程；③巡检方案；④重要零部件的维修与更换；⑤专业技术能力；⑥维护保养难点的阐述及解决措施；</w:t>
            </w:r>
          </w:p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针对以上6项内容进行评审 ，每项5分，最高得30分。每缺少一项内容扣5分，每项中每存在一处缺陷扣1分，最多扣5分。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1265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58</w:t>
            </w:r>
          </w:p>
        </w:tc>
      </w:tr>
      <w:tr>
        <w:trPr>
          <w:trHeight w:val="599"/>
        </w:trPr>
        <w:tc>
          <w:tcPr>
            <w:tcW w:w="13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/>
        </w:tc>
        <w:tc>
          <w:tcPr>
            <w:tcW w:w="62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根据投标人针对本项目提供的安全作业保障方案进行评审：①安全管理措施；②安全文明措施；③安全维护；④现场秩序保障；</w:t>
            </w:r>
          </w:p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针对以上4项内容进行评审 ，每项2分，最高得8分。每缺少一项内容扣2分，每项中每存在一处缺陷扣1分，最多扣2分。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126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/>
        </w:tc>
      </w:tr>
      <w:tr>
        <w:trPr>
          <w:cantSplit/>
          <w:trHeight w:val="1208"/>
        </w:trPr>
        <w:tc>
          <w:tcPr>
            <w:tcW w:w="13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/>
        </w:tc>
        <w:tc>
          <w:tcPr>
            <w:tcW w:w="62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根据投标人针对本项目提供的服务质量控制方案进行评审：①服务质量保证方案；②服务标准；③质量控制流程；④技术支撑能力保障；⑤服务响应与处理方案。</w:t>
            </w:r>
          </w:p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针对以上5项内容进行评审 ，每项2分，最高得10分。每缺少一项内容扣2分，每项中每存在一处缺陷扣1分，最多扣2分。 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126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/>
        </w:tc>
      </w:tr>
      <w:tr>
        <w:trPr>
          <w:cantSplit/>
          <w:trHeight w:val="1208"/>
        </w:trPr>
        <w:tc>
          <w:tcPr>
            <w:tcW w:w="13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/>
        </w:tc>
        <w:tc>
          <w:tcPr>
            <w:tcW w:w="62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根据投标人针对本项目提供的项目管理机构进行评审：①人员配备；②工作岗位分工、职责、班次安排；③业务范围和工作内容；④服务团队专业能力；⑤工作标准、工作记录及档案管理；</w:t>
            </w:r>
          </w:p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针对以上5项内容进行评审 ，每项2分，最高得10分。每缺少一项内容扣2分。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126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/>
        </w:tc>
      </w:tr>
      <w:tr>
        <w:trPr>
          <w:trHeight w:val="1650"/>
        </w:trPr>
        <w:tc>
          <w:tcPr>
            <w:tcW w:w="13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商务部分</w:t>
            </w:r>
          </w:p>
        </w:tc>
        <w:tc>
          <w:tcPr>
            <w:tcW w:w="62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 xml:space="preserve">业绩：投标人提供2022年1月1日至今同类项目业绩（提供合同复印件并加盖公章，应至少提供合同首页、合同关键内容页、签字盖章页，否则不得分，以合同签订日期为准)每提供一份得4分， 满分12分。 </w:t>
            </w:r>
          </w:p>
        </w:tc>
        <w:tc>
          <w:tcPr>
            <w:tcW w:w="12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12</w:t>
            </w:r>
          </w:p>
        </w:tc>
      </w:tr>
      <w:tr>
        <w:trPr>
          <w:cantSplit/>
          <w:trHeight w:val="460"/>
        </w:trPr>
        <w:tc>
          <w:tcPr>
            <w:tcW w:w="8897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spacing w:line="42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最后得分（满分100）</w:t>
            </w:r>
          </w:p>
        </w:tc>
      </w:tr>
    </w:tbl>
    <w:p>
      <w:pPr>
        <w:spacing w:line="560" w:lineRule="exact"/>
        <w:jc w:val="left"/>
        <w:rPr>
          <w:rFonts w:ascii="Times New Roman" w:eastAsia="方正仿宋_GBK" w:cs="方正仿宋_GBK" w:hAnsi="Times New Roman"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ED0A88BE"/>
    <w:multiLevelType w:val="singleLevel"/>
    <w:tmpl w:val="42A1E69F"/>
    <w:lvl w:ilvl="0">
      <w:start w:val="1"/>
      <w:numFmt w:val="bullet"/>
      <w:lvlRestart w:val="0"/>
      <w:pStyle w:val="15"/>
      <w:lvlText w:val=""/>
      <w:lvlJc w:val="left"/>
      <w:pPr>
        <w:ind w:left="16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3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List Bullet 4"/>
    <w:basedOn w:val="0"/>
    <w:pPr>
      <w:numPr>
        <w:ilvl w:val="0"/>
        <w:numId w:val="1"/>
      </w:numPr>
    </w:pPr>
  </w:style>
  <w:style w:type="paragraph" w:styleId="16">
    <w:name w:val="index 8"/>
    <w:basedOn w:val="0"/>
    <w:autoRedefine/>
    <w:next w:val="0"/>
    <w:pPr>
      <w:ind w:left="2940"/>
    </w:pPr>
  </w:style>
  <w:style w:type="paragraph" w:styleId="17">
    <w:name w:val="Normal Indent"/>
    <w:basedOn w:val="0"/>
    <w:pPr>
      <w:ind w:firstLine="42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0"/>
    <w:autoRedefine/>
    <w:next w:val="0"/>
  </w:style>
  <w:style w:type="character" w:styleId="21">
    <w:name w:val="line number"/>
    <w:basedOn w:val="10"/>
  </w:style>
  <w:style w:type="paragraph" w:customStyle="1" w:styleId="22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1 10 磅"/>
    <w:next w:val="1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1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2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0 10 磅"/>
    <w:next w:val="27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5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2 10 磅"/>
    <w:next w:val="28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7">
    <w:name w:val="样式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8">
    <w:name w:val="样式 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9">
    <w:name w:val="样式 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0">
    <w:name w:val="样式 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1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7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8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">
    <w:name w:val="列表段落1"/>
    <w:next w:val="18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next w:val="47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5 10 磅"/>
    <w:next w:val="17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1 10 磅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0">
    <w:name w:val="样式 70 10 磅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List Paragraph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69</TotalTime>
  <Application>Yozo_Office</Application>
  <Pages>4</Pages>
  <Words>1705</Words>
  <Characters>1737</Characters>
  <Lines>111</Lines>
  <Paragraphs>52</Paragraphs>
  <CharactersWithSpaces>1753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付玮</cp:lastModifiedBy>
  <cp:revision>13</cp:revision>
  <dcterms:created xsi:type="dcterms:W3CDTF">2025-05-16T02:09:00Z</dcterms:created>
  <dcterms:modified xsi:type="dcterms:W3CDTF">2026-04-03T01:47:09Z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2052-12.1.0.25225</vt:lpwstr>
  </property>
  <property fmtid="{D5CDD505-2E9C-101B-9397-08002B2CF9AE}" pid="3" name="ICV">
    <vt:lpwstr>EF76E0BDB2544E8F9771448A820EA54F_13</vt:lpwstr>
  </property>
  <property fmtid="{D5CDD505-2E9C-101B-9397-08002B2CF9AE}" pid="4" name="KSOTemplateDocerSaveRecord">
    <vt:lpwstr>eyJoZGlkIjoiYWU5OGI4MmI0NzAwMTkzNjYzYTBhYzYyNWYzZTc0ZTkiLCJ1c2VySWQiOiI3NjY4NTA5MDcifQ==</vt:lpwstr>
  </property>
</Properties>
</file>