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8"/>
        <w:gridCol w:w="6862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东乌海关采购电脑配件、打印机耗材和设备维修项目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中华人民共和国东乌海关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4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——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财政拨款</w:t>
            </w: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☑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</w:t>
            </w:r>
          </w:p>
        </w:tc>
      </w:tr>
      <w:tr>
        <w:trPr>
          <w:trHeight w:val="567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部门负责人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）</w:t>
            </w:r>
          </w:p>
        </w:tc>
        <w:tc>
          <w:tcPr>
            <w:tcW w:w="6862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62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注：本采购项目为固定单价采购模式，比价方式以各项耗材单价总和进行比价。以采购清单中实际发生量乘以供货方投标单价进行结算，总额不超过预算金额。</w:t>
            </w:r>
          </w:p>
        </w:tc>
      </w:tr>
      <w:tr>
        <w:trPr>
          <w:trHeight w:val="3568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62" w:type="dxa"/>
            <w:vAlign w:val="center"/>
          </w:tcPr>
          <w:p>
            <w:pPr>
              <w:pStyle w:val="63"/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具有独立承担民事责任的能力。</w:t>
              <w:br/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具备销售该类货物应具备的相应资质。</w:t>
              <w:br/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.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提供货物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质量保证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承诺书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。</w:t>
              <w:br/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提供相关营业执照、经办人授权等材料。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三年内在经营活动中没有重大违法记录的书面证明（须有“信用中国”或“中国政府采购网”等机构查询记录）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</w:p>
        </w:tc>
      </w:tr>
      <w:tr>
        <w:trPr>
          <w:trHeight w:val="1082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实质性需求</w:t>
            </w:r>
          </w:p>
        </w:tc>
        <w:tc>
          <w:tcPr>
            <w:tcW w:w="6862" w:type="dxa"/>
          </w:tcPr>
          <w:p>
            <w:pPr>
              <w:pStyle w:val="7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一、采购内容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：</w:t>
            </w:r>
          </w:p>
          <w:p>
            <w:pPr>
              <w:pStyle w:val="70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1.</w:t>
            </w:r>
            <w:r>
              <w:rPr>
                <w:rFonts w:ascii="Arial" w:hAnsi="Arial"/>
                <w:b w:val="0"/>
                <w:bCs w:val="0"/>
                <w:i w:val="0"/>
                <w:iCs w:val="0"/>
                <w:caps w:val="0"/>
                <w:smallCaps w:val="0"/>
                <w:vanish w:val="0"/>
                <w:color w:val="000000"/>
                <w:spacing w:val="0"/>
                <w:sz w:val="17"/>
                <w:szCs w:val="17"/>
              </w:rPr>
              <w:t xml:space="preserve"> 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打印耗材：原装/兼容墨盒、硒鼓、碳粉、成像鼓、维护箱等（适配我关现有品牌型号）</w:t>
            </w:r>
          </w:p>
          <w:p>
            <w:pPr>
              <w:spacing w:line="400" w:lineRule="exact"/>
              <w:ind w:left="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2.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网络耗材：六类/超六类网线、成品跳线、水晶头、配线架配件、网络模块等</w:t>
            </w:r>
          </w:p>
          <w:p>
            <w:pPr>
              <w:pStyle w:val="7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firstLine="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3.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电脑配件：键盘、鼠标、电源适配器、内存条、数据线、散热支架等</w:t>
            </w:r>
          </w:p>
          <w:p>
            <w:pPr>
              <w:pStyle w:val="7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firstLine="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4.设备维修保障：电脑、打印机等设备故障维修。</w:t>
            </w:r>
          </w:p>
          <w:p>
            <w:pPr>
              <w:pStyle w:val="7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firstLine="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耗材种类见附表。</w:t>
            </w:r>
          </w:p>
          <w:p>
            <w:pPr>
              <w:pStyle w:val="75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400" w:lineRule="exact"/>
              <w:ind w:firstLine="0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二、服务要求：按需配送、上门安装调试、质量三包、售后退换、应急响应</w:t>
            </w:r>
          </w:p>
          <w:p>
            <w:pPr>
              <w:pStyle w:val="73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三、供货地点：锡林郭勒盟锡林浩特市团结大街11号东乌海关</w:t>
            </w:r>
          </w:p>
          <w:p>
            <w:pPr>
              <w:pStyle w:val="73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四、供货商销售地点：锡林浩特市（须有实体门店）</w:t>
            </w:r>
          </w:p>
          <w:p>
            <w:pPr>
              <w:pStyle w:val="73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五、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支付方式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：验收合格后，以实际供货数量为准结算。耗材交货并经采购方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验收合格后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供应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方开具全款有效发票，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采购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方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以实际供货数量为准结算。</w:t>
            </w:r>
          </w:p>
          <w:p>
            <w:pPr>
              <w:pStyle w:val="74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六、成交条件：符合采购要求且报价最低的供应商为成交供应商。成交供应商应在规定时间内与采购人签订合同。若成交供应商无正当理由放弃成交、未按时签订合同构成违约的，应向采购人书面说明，并支付违约金。违约金的计算方式为：本项目预算金额的3%，采购人有权取消其成交资格，并可按报价由低到高的顺序顺延确定下一候选供应商为成交供应商。</w:t>
            </w:r>
          </w:p>
        </w:tc>
      </w:tr>
      <w:tr>
        <w:trPr>
          <w:trHeight w:val="3753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62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rPr>
          <w:trHeight w:val="2545"/>
        </w:trPr>
        <w:tc>
          <w:tcPr>
            <w:tcW w:w="2198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62" w:type="dxa"/>
          </w:tcPr>
          <w:p>
            <w:pPr>
              <w:pStyle w:val="69"/>
              <w:spacing w:line="400" w:lineRule="exact"/>
              <w:jc w:val="left"/>
              <w:rPr>
                <w:rFonts w:ascii="Times New Roman" w:eastAsia="方正仿宋_GBK" w:cs="方正仿宋_GBK" w:hAnsi="Times New Roman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1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.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公告期限（3个工作日）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.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响应文件份数（</w:t>
            </w:r>
            <w:r>
              <w:rPr>
                <w:rFonts w:ascii="Times New Roman" w:eastAsia="方正仿宋_GBK" w:cs="方正仿宋_GBK" w:hAnsi="Times New Roman"/>
                <w:sz w:val="28"/>
                <w:szCs w:val="28"/>
              </w:rPr>
              <w:t>3</w:t>
            </w:r>
            <w:r>
              <w:rPr>
                <w:rFonts w:ascii="Times New Roman" w:eastAsia="方正仿宋_GBK" w:cs="方正仿宋_GBK" w:hAnsi="Times New Roman" w:hint="eastAsia"/>
                <w:sz w:val="28"/>
                <w:szCs w:val="28"/>
              </w:rPr>
              <w:t>份）</w:t>
            </w:r>
          </w:p>
        </w:tc>
      </w:tr>
    </w:tbl>
    <w:p>
      <w:pPr>
        <w:spacing w:line="240" w:lineRule="auto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  <w:r>
        <w:rPr>
          <w:rFonts w:ascii="方正仿宋_GBK" w:eastAsia="方正仿宋_GBK" w:cs="方正仿宋_GBK"/>
          <w:sz w:val="32"/>
          <w:szCs w:val="32"/>
        </w:rPr>
        <w:t>附表：</w:t>
      </w:r>
    </w:p>
    <w:tbl>
      <w:tblPr>
        <w:jc w:val="lef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5867"/>
        <w:gridCol w:w="1798"/>
      </w:tblGrid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序号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商品名称或服务项目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1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惠普CS500无线键鼠套装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2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罗技无线键鼠套装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3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罗技有线鼠标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4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罗技有线键盘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5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打印机上门维修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6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6类网线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7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VGA+USB切换器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8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内存条8G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9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HDMI2.0高清线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10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光纤收发器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11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超5类网线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12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四口信息面板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13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超五类非屏蔽信息模块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14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光纤跳线LC-LC单模电信级3米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15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USB拓展坞五合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一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16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8口千兆铁盒交换机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17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5口千兆铁盒交换机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18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惠普光盘DVD+R4.7G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19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京瓷Ecosysp5021cdn（彩色打印机）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20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HPDeskjet1050（彩色打印机）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21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HPlaserjetp1025color（彩色打印机）粉盒或硒鼓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22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Brother DCP-T42ow （彩色打印机）粉盒或硒鼓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23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震旦AD369s           粉盒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24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Hplaserjetp1505     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25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Hpdeskjetm1005mfp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26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Hplaserjetp1108   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27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Hplaserjetp1008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28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HP5200 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29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HPDeskjet1020plus   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30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联想M7216nwa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31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联想j2400l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32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佳能LBP7010c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33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佳能L11121e 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34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佳能LBP2900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35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佳能F152800 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36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佳能DADF-u1 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37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得力M2500D 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38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Fujixerox DocuprintM118z   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39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 xml:space="preserve">Fujixerox Docuprintp218b   </w:t>
            </w:r>
            <w:bookmarkStart w:id="0" w:name="_GoBack"/>
            <w:bookmarkEnd w:id="0"/>
            <w:r>
              <w:rPr>
                <w:rFonts w:ascii="方正仿宋_GBK" w:eastAsia="方正仿宋_GBK" w:cs="方正仿宋_GBK"/>
                <w:sz w:val="32"/>
                <w:szCs w:val="32"/>
              </w:rPr>
              <w:t>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40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光电通MF4030DN（传真带打印机）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41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中盈NX-500F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42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三星ML-1666 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  <w:tr>
        <w:tc>
          <w:tcPr>
            <w:tcW w:w="856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43</w:t>
            </w:r>
          </w:p>
        </w:tc>
        <w:tc>
          <w:tcPr>
            <w:tcW w:w="5867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京瓷Ecosysp2040dn    粉盒或硒鼓</w:t>
            </w:r>
          </w:p>
        </w:tc>
        <w:tc>
          <w:tcPr>
            <w:tcW w:w="1798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560" w:lineRule="exact"/>
              <w:rPr>
                <w:rFonts w:ascii="方正仿宋_GBK" w:eastAsia="方正仿宋_GBK" w:cs="方正仿宋_GBK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altName w:val="微软雅黑"/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altName w:val="微软雅黑"/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altName w:val="微软雅黑"/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仿宋_GBK">
    <w:altName w:val="微软雅黑"/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Wingdings 2">
    <w:altName w:val="Symbol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6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57">
    <w:name w:val="page number"/>
    <w:basedOn w:val="10"/>
  </w:style>
  <w:style w:type="paragraph" w:styleId="58">
    <w:name w:val="index 5"/>
    <w:basedOn w:val="0"/>
    <w:autoRedefine/>
    <w:next w:val="0"/>
    <w:pPr>
      <w:ind w:left="1680"/>
    </w:pPr>
  </w:style>
  <w:style w:type="paragraph" w:styleId="59">
    <w:name w:val="index 8"/>
    <w:basedOn w:val="0"/>
    <w:autoRedefine/>
    <w:next w:val="0"/>
    <w:pPr>
      <w:ind w:left="2940"/>
    </w:pPr>
  </w:style>
  <w:style w:type="paragraph" w:styleId="60">
    <w:name w:val="toc 1"/>
    <w:basedOn w:val="0"/>
    <w:autoRedefine/>
    <w:next w:val="0"/>
  </w:style>
  <w:style w:type="paragraph" w:customStyle="1" w:styleId="61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2">
    <w:name w:val="样式 3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1 小四"/>
    <w:next w:val="58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4">
    <w:name w:val="样式 3 小四"/>
    <w:next w:val="60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5">
    <w:name w:val="样式 2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6">
    <w:name w:val="样式 4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7">
    <w:name w:val="样式 5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8">
    <w:name w:val="样式 6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9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0">
    <w:name w:val="样式 7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1">
    <w:name w:val="样式 8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2">
    <w:name w:val="样式 9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3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4">
    <w:name w:val="样式 10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5">
    <w:name w:val="样式 11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76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7">
    <w:name w:val="样式 3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8">
    <w:name w:val="样式 3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79">
    <w:name w:val="样式 4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0">
    <w:name w:val="样式 4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1">
    <w:name w:val="样式 4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2">
    <w:name w:val="样式 4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3">
    <w:name w:val="样式 4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4">
    <w:name w:val="样式 4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5">
    <w:name w:val="样式 4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6">
    <w:name w:val="样式 4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7">
    <w:name w:val="样式 4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8">
    <w:name w:val="样式 4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89">
    <w:name w:val="样式 5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0">
    <w:name w:val="样式 5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1">
    <w:name w:val="样式 5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2">
    <w:name w:val="样式 5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3">
    <w:name w:val="样式 5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4">
    <w:name w:val="样式 5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5">
    <w:name w:val="样式 5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6">
    <w:name w:val="样式 5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7">
    <w:name w:val="样式 5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8">
    <w:name w:val="样式 5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99">
    <w:name w:val="样式 6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0">
    <w:name w:val="样式 6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1">
    <w:name w:val="样式 6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2">
    <w:name w:val="样式 6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3">
    <w:name w:val="样式 6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4">
    <w:name w:val="样式 6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5">
    <w:name w:val="样式 6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6">
    <w:name w:val="样式 6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7">
    <w:name w:val="样式 6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8">
    <w:name w:val="样式 6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09">
    <w:name w:val="样式 7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0">
    <w:name w:val="样式 7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1">
    <w:name w:val="样式 7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2">
    <w:name w:val="样式 7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3">
    <w:name w:val="样式 7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4">
    <w:name w:val="样式 7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5">
    <w:name w:val="样式 7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6">
    <w:name w:val="样式 7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7">
    <w:name w:val="样式 7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8">
    <w:name w:val="样式 7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19">
    <w:name w:val="样式 8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120">
    <w:name w:val="样式 8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1">
    <w:name w:val="样式 8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2">
    <w:name w:val="样式 8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504</TotalTime>
  <Application>Yozo_Office</Application>
  <Pages>6</Pages>
  <Words>1249</Words>
  <Characters>1594</Characters>
  <Lines>222</Lines>
  <Paragraphs>134</Paragraphs>
  <CharactersWithSpaces>1682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乌日娜</cp:lastModifiedBy>
  <cp:revision>2</cp:revision>
  <cp:lastPrinted>2025-07-02T10:14:00Z</cp:lastPrinted>
  <dcterms:created xsi:type="dcterms:W3CDTF">2025-05-16T10:09:00Z</dcterms:created>
  <dcterms:modified xsi:type="dcterms:W3CDTF">2026-02-09T07:45:32Z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