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ind w:firstLine="0"/>
        <w:rPr>
          <w:rFonts w:ascii="方正黑体_GBK" w:eastAsia="方正黑体_GBK" w:cs="方正黑体_GBK"/>
          <w:sz w:val="32"/>
          <w:szCs w:val="32"/>
        </w:rPr>
      </w:pPr>
      <w:bookmarkStart w:id="0" w:name="_GoBack"/>
      <w:bookmarkEnd w:id="0"/>
      <w:r>
        <w:rPr>
          <w:rFonts w:ascii="方正黑体_GBK" w:eastAsia="方正黑体_GBK" w:cs="方正黑体_GBK" w:hint="eastAsia"/>
          <w:sz w:val="32"/>
          <w:szCs w:val="32"/>
        </w:rPr>
        <w:t>附件1</w:t>
      </w:r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比选采购需求书</w:t>
      </w:r>
    </w:p>
    <w:tbl>
      <w:tblPr>
        <w:jc w:val="left"/>
        <w:tblInd w:w="0" w:type="dxa"/>
        <w:tblW w:w="9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8"/>
        <w:gridCol w:w="6862"/>
      </w:tblGrid>
      <w:tr>
        <w:tc>
          <w:tcPr>
            <w:tcW w:w="906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楷体_GBK" w:eastAsia="方正楷体_GBK" w:cs="方正楷体_GBK" w:hint="eastAsia"/>
                <w:sz w:val="32"/>
                <w:szCs w:val="32"/>
              </w:rPr>
              <w:t>基础信息栏</w:t>
            </w: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包头海关办公楼一楼业务现场更换窗户项目</w:t>
            </w: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需求部门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综合保障科</w:t>
            </w: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采购预算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290000</w:t>
            </w: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审批文件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中共包头海关委员会会议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纪要（2026年第2期）</w:t>
            </w: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经费来源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行政运行基本支出</w:t>
            </w: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评审方法</w:t>
            </w:r>
          </w:p>
        </w:tc>
        <w:tc>
          <w:tcPr>
            <w:tcW w:w="6862" w:type="dxa"/>
            <w:vAlign w:val="center"/>
          </w:tcPr>
          <w:p>
            <w:pPr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sym w:font="Wingdings 2" w:char="A3"/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综合评分法（权重：价格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30%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、评审因素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70%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）</w:t>
            </w:r>
          </w:p>
        </w:tc>
      </w:tr>
      <w:tr>
        <w:trPr>
          <w:trHeight w:val="567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编制人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复核人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（科室负责人）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审核人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（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主管关领导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）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</w:p>
        </w:tc>
      </w:tr>
      <w:tr>
        <w:tc>
          <w:tcPr>
            <w:tcW w:w="906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详细需求栏</w:t>
            </w:r>
          </w:p>
        </w:tc>
      </w:tr>
      <w:tr>
        <w:trPr>
          <w:trHeight w:val="4731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说明</w:t>
            </w:r>
          </w:p>
        </w:tc>
        <w:tc>
          <w:tcPr>
            <w:tcW w:w="6862" w:type="dxa"/>
            <w:vAlign w:val="center"/>
          </w:tcPr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1.不满足资格条件的响应文件将按无效响应文件处理。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2.详细需求栏中所有加“★”项的需求均为实质性要求，不满足实质性要求的响应文件将按无效响应文件处理。</w:t>
            </w:r>
          </w:p>
        </w:tc>
      </w:tr>
      <w:tr>
        <w:trPr>
          <w:trHeight w:val="3568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资格条件</w:t>
            </w:r>
          </w:p>
        </w:tc>
        <w:tc>
          <w:tcPr>
            <w:tcW w:w="6862" w:type="dxa"/>
            <w:vAlign w:val="center"/>
          </w:tcPr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1. 具有独立承担民事责任的能力，持有有效的营业执照，经营范围包含门窗制作、安装或建筑装修装饰工程相关内容。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2. 具有履行合同所必需的专业技术人员、生产及施工设备，具备独立完成本项目的能力，不接受联合体参选，不允许转包、违法分包。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3. 近3年内，在经营活动中无重大违法违规记录、无重大工程质量安全事故、无恶意低价中标及违约失信记录。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4. 须具备建筑装修装饰工程专业承包资质及有效的安全生产许可证，拥有类似机关单位、公共建筑门窗更换项目施工经验。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5. 参选供应商须在比选前踏勘项目现场，充分了解施工环境、作业条件、尺寸规格等实际情况，未踏勘现场导致的报价失误、施工纠纷，由供应商自行承担责任。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 </w:t>
            </w:r>
          </w:p>
        </w:tc>
      </w:tr>
      <w:tr>
        <w:trPr>
          <w:trHeight w:val="1082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★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实质性需求</w:t>
            </w:r>
          </w:p>
        </w:tc>
        <w:tc>
          <w:tcPr>
            <w:tcW w:w="6862" w:type="dxa"/>
          </w:tcPr>
          <w:p>
            <w:pPr>
              <w:spacing w:line="400" w:lineRule="exact"/>
              <w:ind w:firstLine="0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一、工期：10自然日。</w:t>
            </w:r>
          </w:p>
          <w:p>
            <w:pPr>
              <w:spacing w:line="400" w:lineRule="exact"/>
              <w:ind w:firstLine="0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二、施工内容：更换窗户总面积约280㎡，纱窗51个，包含原有门窗户拆除、垃圾清运、新门窗制作、运输、安装、调试及质保售后等全部工作，要求完工后门窗具备优异的防风沙、保温、密封、隔音及安全性能，适配机关大楼办公环境。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三、技术与质量要求：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1.窗户型材要求：采用优质铝合金型材，主型材壁厚≥1.8mm，符合GB/T 8478-2020《铝合金门窗》标准，提供型材质量检测报告，严禁使用薄壁劣质型材。表面处理可采用阳极氧化、粉末喷涂等，色泽应一致，表面应光滑平整无缺陷。隔热条采用PA66尼龙隔热条（宽度≥20mm），禁止使用PVC隔热条。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2. 玻璃配置要求：采用双层中空钢化玻璃，固定玻璃用单片玻璃不应小于5毫米厚；两层玻璃中间的中空空气层厚度不应小于12毫米。所有玻璃必须为钢化安全玻璃，符合GB15763.2-2005标准，具备3C认证标识，防止破碎后伤人。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3. 性能等级要求：门窗气密性≥6级，水密性≥4级，抗风压性能≥9级，隔音性能满足办公场所噪音控制标准，符合建筑节能相关规范。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4. 五金配件要求：选用国内一线品牌优质五金配件，具备防盗、耐用、易开启特性，提供五金品牌合格证及质保承诺，严禁使用杂牌、劣质五金。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5. 密封防水要求：密封胶条采用三元乙丙（EPDM）耐老化材质，窗框与墙体接缝采用发泡填充+耐候密封胶双重密封处理，确保无渗水、漏风、结露问题。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6. 施工规范要求：施工期间实行分区域、错峰、封闭围挡作业，每日施工垃圾日产日清，保持现场整洁，做好安全防护，杜绝安全事故，不干扰正常业务办理。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 xml:space="preserve">7. 验收标准：严格按照《建筑门窗工程施工及验收规范》（GB50210）及国家相关标准执行，验收合格后方可交付。    </w:t>
            </w:r>
          </w:p>
        </w:tc>
      </w:tr>
      <w:tr>
        <w:trPr>
          <w:trHeight w:val="3753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</w:tc>
        <w:tc>
          <w:tcPr>
            <w:tcW w:w="6862" w:type="dxa"/>
          </w:tcPr>
          <w:p>
            <w:pPr>
              <w:pStyle w:val="27"/>
              <w:spacing w:line="400" w:lineRule="exact"/>
              <w:jc w:val="left"/>
              <w:rPr>
                <w:rFonts w:ascii="Times New Roman" w:eastAsia="方正仿宋_GBK" w:cs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bCs/>
                <w:sz w:val="28"/>
                <w:szCs w:val="28"/>
              </w:rPr>
              <w:t>一、价格部分30分。</w:t>
            </w:r>
          </w:p>
          <w:p>
            <w:pPr>
              <w:pStyle w:val="27"/>
              <w:spacing w:line="400" w:lineRule="exact"/>
              <w:jc w:val="lef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 xml:space="preserve">1.计算方法为：比选基准价/报价×30，比选基准价为符合资格条件的最低报价，得分四舍五入保留2位小数点。 </w:t>
            </w:r>
          </w:p>
          <w:p>
            <w:pPr>
              <w:pStyle w:val="27"/>
              <w:spacing w:line="400" w:lineRule="exact"/>
              <w:jc w:val="lef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2.参选报价低于有效平均报价15%以上的，视为异常低价，供应商需现场提供成本明细、材料采购合同、人工费用清单等证明材料，无法证明报价合理性的，直接判定为无效申请。</w:t>
            </w:r>
          </w:p>
          <w:p>
            <w:pPr>
              <w:pStyle w:val="27"/>
              <w:spacing w:line="400" w:lineRule="exact"/>
              <w:jc w:val="lef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3. 报价超过最高限价的，价格分为0，按无效申请处理。</w:t>
            </w:r>
          </w:p>
          <w:p>
            <w:pPr>
              <w:pStyle w:val="27"/>
              <w:spacing w:line="400" w:lineRule="exact"/>
              <w:jc w:val="left"/>
              <w:rPr>
                <w:rFonts w:ascii="Times New Roman" w:eastAsia="方正仿宋_GBK" w:cs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bCs/>
                <w:sz w:val="28"/>
                <w:szCs w:val="28"/>
              </w:rPr>
              <w:t>二、技术部分45分。</w:t>
            </w:r>
          </w:p>
          <w:p>
            <w:pPr>
              <w:pStyle w:val="27"/>
              <w:spacing w:line="400" w:lineRule="exact"/>
              <w:jc w:val="lef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1.门窗技术方案，门窗型材、玻璃、性能、五金、密封材料等配置完全满足实质性需求，且品牌优质、性能优于标准，得15-20分；基本满足需求，无明显缺陷，得8-14分；不满足需求，得0-7分。</w:t>
            </w:r>
          </w:p>
          <w:p>
            <w:pPr>
              <w:pStyle w:val="27"/>
              <w:spacing w:line="400" w:lineRule="exact"/>
              <w:jc w:val="lef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2.施工组织方案， 施工流程、工期安排科学合理，针对性强，分区域作业方案完善，不影响业务办理，得8-10分；方案较合理，基本不影响业务，得4-7分；方案不合理，得0-3分。</w:t>
            </w:r>
          </w:p>
          <w:p>
            <w:pPr>
              <w:pStyle w:val="27"/>
              <w:spacing w:line="400" w:lineRule="exact"/>
              <w:jc w:val="lef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3.质量控制措施，材料进场检验、施工过程管控、成品保护、验收流程完善，质量保障措施到位，得7-9分；措施较完善，得3-6分；措施缺失，得0-2分。</w:t>
            </w:r>
          </w:p>
          <w:p>
            <w:pPr>
              <w:pStyle w:val="27"/>
              <w:spacing w:line="400" w:lineRule="exact"/>
              <w:jc w:val="lef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4.安全文明施工方案，安全防护、围挡施工、噪音控制、垃圾清运、现场管理措施全面，符合机关单位施工要求，得4-6分；措施较全面，得2-3分；措施不完善，得0-1分。</w:t>
            </w:r>
          </w:p>
          <w:p>
            <w:pPr>
              <w:pStyle w:val="27"/>
              <w:spacing w:line="400" w:lineRule="exact"/>
              <w:jc w:val="left"/>
              <w:rPr>
                <w:rFonts w:ascii="Times New Roman" w:eastAsia="方正仿宋_GBK" w:cs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bCs/>
                <w:sz w:val="28"/>
                <w:szCs w:val="28"/>
              </w:rPr>
              <w:t>三、商务部分25分。</w:t>
            </w:r>
          </w:p>
          <w:p>
            <w:pPr>
              <w:pStyle w:val="27"/>
              <w:spacing w:line="400" w:lineRule="exact"/>
              <w:jc w:val="lef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1.类似项目业绩，近3年每提供1个单项合同金额20万元及以上的机关/事业单位/公共建筑门窗更换项目业绩，得5分，最多得15分；无相关业绩不得分（需提供合同、验收报告复印件加盖公章）。</w:t>
            </w:r>
          </w:p>
          <w:p>
            <w:pPr>
              <w:pStyle w:val="27"/>
              <w:spacing w:line="400" w:lineRule="exact"/>
              <w:jc w:val="lef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2.企业资质与信誉，具备建筑装修装饰工程专业承包资质及安全生产许可证，得5分；缺一项扣3分，未提供不得分。提供近3年无违法违规、无失信记录承诺，得2分，未提供不得分。</w:t>
            </w:r>
          </w:p>
          <w:p>
            <w:pPr>
              <w:pStyle w:val="27"/>
              <w:spacing w:line="400" w:lineRule="exact"/>
              <w:jc w:val="lef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3.售后服务方案，质保期承诺、售后响应时间、维修服务流程完善，2小时内响应、24小时内到场处置，得3分；方案较完善，得1-2分；方案简单，得0分。</w:t>
            </w:r>
          </w:p>
          <w:p>
            <w:pPr>
              <w:spacing w:line="560" w:lineRule="exact"/>
              <w:jc w:val="lef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</w:p>
        </w:tc>
      </w:tr>
      <w:tr>
        <w:trPr>
          <w:trHeight w:val="2545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其他因素</w:t>
            </w:r>
          </w:p>
        </w:tc>
        <w:tc>
          <w:tcPr>
            <w:tcW w:w="6862" w:type="dxa"/>
          </w:tcPr>
          <w:p>
            <w:pPr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1、公告期限（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5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个工作日）</w:t>
            </w:r>
          </w:p>
          <w:p>
            <w:pPr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2、响应文件份数（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4份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）</w:t>
            </w:r>
          </w:p>
        </w:tc>
      </w:tr>
    </w:tbl>
    <w:p>
      <w:pPr>
        <w:spacing w:line="240" w:lineRule="auto"/>
        <w:rPr>
          <w:rFonts w:ascii="方正仿宋_GBK" w:eastAsia="方正仿宋_GBK" w:cs="方正仿宋_GBK"/>
          <w:sz w:val="32"/>
          <w:szCs w:val="32"/>
        </w:rPr>
      </w:pPr>
    </w:p>
    <w:p>
      <w:pPr>
        <w:spacing w:line="560" w:lineRule="exact"/>
        <w:jc w:val="right"/>
        <w:rPr>
          <w:rFonts w:ascii="方正仿宋_GBK" w:eastAsia="方正仿宋_GBK" w:cs="方正仿宋_GBK"/>
          <w:sz w:val="32"/>
          <w:szCs w:val="32"/>
        </w:rPr>
      </w:pPr>
    </w:p>
    <w:p>
      <w:pPr>
        <w:rPr>
          <w:rFonts w:ascii="宋体"/>
        </w:rPr>
      </w:pPr>
    </w:p>
    <w:sectPr>
      <w:footerReference w:type="default" r:id="rId2"/>
      <w:footerReference w:type="even" r:id="rId3"/>
      <w:pgSz w:w="11906" w:h="16838"/>
      <w:pgMar w:top="1440" w:right="1800" w:bottom="1440" w:left="1800" w:header="851" w:footer="992" w:gutter="0"/>
      <w:pgNumType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variable"/>
    <w:sig w:usb0="00000000" w:usb1="0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2000019F" w:csb1="00000000"/>
  </w:font>
  <w:font w:name="Arial">
    <w:altName w:val="Times New Roman"/>
    <w:panose1 w:val="020B0604020202020204"/>
    <w:charset w:val="01"/>
    <w:family w:val="swiss"/>
    <w:pitch w:val="variable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variable"/>
    <w:sig w:usb0="00000001" w:usb1="080E0000" w:usb2="00000000" w:usb3="00000000" w:csb0="00040000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20"/>
      <w:framePr w:w="0" w:hRule="auto" w:wrap="around" w:vAnchor="text" w:hAnchor="margin" w:xAlign="right" w:y="1" w:anchorLock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6"/>
      </w:tabs>
    </w:pPr>
    <w:r>
      <w:rPr>
        <w:rStyle w:val="17"/>
      </w:rPr>
      <w:fldChar w:fldCharType="begin"/>
    </w:r>
    <w:r>
      <w:rPr>
        <w:rStyle w:val="17"/>
      </w:rPr>
      <w:instrText>Page</w:instrText>
    </w:r>
    <w:r>
      <w:rPr>
        <w:rStyle w:val="17"/>
      </w:rPr>
      <w:fldChar w:fldCharType="separate"/>
    </w:r>
    <w:r>
      <w:rPr>
        <w:rStyle w:val="17"/>
      </w:rPr>
      <w:t>1</w:t>
    </w:r>
    <w:r>
      <w:rPr>
        <w:rStyle w:val="17"/>
      </w:rPr>
      <w:fldChar w:fldCharType="end"/>
    </w:r>
  </w:p>
  <w:p>
    <w:pPr>
      <w:pStyle w:val="20"/>
      <w:tabs>
        <w:tab w:val="center" w:pos="4153"/>
        <w:tab w:val="right" w:pos="8306"/>
      </w:tabs>
      <w:ind w:right="360"/>
    </w:pPr>
  </w:p>
</w:ftr>
</file>

<file path=word/footer2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6"/>
      <w:framePr w:w="0" w:hRule="auto" w:wrap="around" w:vAnchor="text" w:hAnchor="margin" w:xAlign="right" w:y="1" w:anchorLock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6"/>
      </w:tabs>
    </w:pPr>
    <w:r>
      <w:rPr>
        <w:rStyle w:val="17"/>
      </w:rPr>
      <w:fldChar w:fldCharType="begin"/>
    </w:r>
    <w:r>
      <w:rPr>
        <w:rStyle w:val="17"/>
      </w:rPr>
      <w:instrText>Page</w:instrText>
    </w:r>
    <w:r>
      <w:rPr>
        <w:rStyle w:val="17"/>
      </w:rPr>
      <w:fldChar w:fldCharType="separate"/>
    </w:r>
    <w:r>
      <w:rPr>
        <w:rStyle w:val="17"/>
      </w:rPr>
      <w:t>1</w:t>
    </w:r>
    <w:r>
      <w:rPr>
        <w:rStyle w:val="17"/>
      </w:rPr>
      <w:fldChar w:fldCharType="end"/>
    </w:r>
  </w:p>
  <w:p>
    <w:pPr>
      <w:pStyle w:val="16"/>
      <w:tabs>
        <w:tab w:val="center" w:pos="4153"/>
        <w:tab w:val="right" w:pos="8306"/>
      </w:tabs>
      <w:ind w:right="360"/>
    </w:pP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bestFit" w:percent="110"/>
  <w:doNotDisplayPageBoundaries/>
  <w:displayBackgroundShape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useAltKinsokuLineBreakRules/>
    <w:splitPgBreakAndParaMark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index 6"/>
    <w:basedOn w:val="0"/>
    <w:autoRedefine/>
    <w:next w:val="0"/>
    <w:pPr>
      <w:ind w:left="2100"/>
    </w:pPr>
  </w:style>
  <w:style w:type="paragraph" w:styleId="16">
    <w:name w:val="footer"/>
    <w:next w:val="15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eastAsia="宋体" w:cs="Arial" w:hAnsi="Calibri"/>
      <w:kern w:val="2"/>
      <w:sz w:val="18"/>
      <w:szCs w:val="18"/>
      <w:lang w:val="en-US" w:eastAsia="zh-CN" w:bidi="ar-SA"/>
    </w:rPr>
  </w:style>
  <w:style w:type="character" w:styleId="17">
    <w:name w:val="page number"/>
  </w:style>
  <w:style w:type="character" w:styleId="18">
    <w:name w:val="endnote reference"/>
    <w:basedOn w:val="10"/>
    <w:rPr>
      <w:vertAlign w:val="superscript"/>
    </w:rPr>
  </w:style>
  <w:style w:type="paragraph" w:customStyle="1" w:styleId="19">
    <w:name w:val="样式 22 10 磅"/>
    <w:next w:val="18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小五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eastAsia="宋体" w:cs="Arial" w:hAnsi="Calibri"/>
      <w:kern w:val="2"/>
      <w:sz w:val="18"/>
      <w:szCs w:val="18"/>
      <w:lang w:val="en-US" w:eastAsia="zh-CN" w:bidi="ar-SA"/>
    </w:rPr>
  </w:style>
  <w:style w:type="paragraph" w:styleId="21">
    <w:name w:val="toc 3"/>
    <w:basedOn w:val="0"/>
    <w:autoRedefine/>
    <w:next w:val="0"/>
    <w:pPr>
      <w:ind w:left="840"/>
    </w:pPr>
  </w:style>
  <w:style w:type="paragraph" w:customStyle="1" w:styleId="22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3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4">
    <w:name w:val="null3"/>
    <w:next w:val="15"/>
    <w:rPr>
      <w:rFonts w:ascii="Calibri" w:eastAsia="宋体" w:cs="Arial" w:hAnsi="Calibri"/>
      <w:lang w:val="en-US" w:eastAsia="zh-CN" w:bidi="ar-SA"/>
    </w:rPr>
  </w:style>
  <w:style w:type="paragraph" w:styleId="25">
    <w:name w:val="index 8"/>
    <w:basedOn w:val="0"/>
    <w:autoRedefine/>
    <w:next w:val="0"/>
    <w:pPr>
      <w:ind w:left="2940"/>
    </w:pPr>
  </w:style>
  <w:style w:type="paragraph" w:customStyle="1" w:styleId="26">
    <w:name w:val="样式 6 10 磅"/>
    <w:next w:val="21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styles" Target="styles.xml"/><Relationship Id="rId5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341</TotalTime>
  <Application>Yozo_Office</Application>
  <Pages>4</Pages>
  <Words>1913</Words>
  <Characters>2041</Characters>
  <Lines>90</Lines>
  <Paragraphs>59</Paragraphs>
  <CharactersWithSpaces>2061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冯强</dc:creator>
  <cp:lastModifiedBy>李紫萌</cp:lastModifiedBy>
  <cp:revision>0</cp:revision>
  <cp:lastPrinted>2026-04-10T07:41:06Z</cp:lastPrinted>
  <dcterms:created xsi:type="dcterms:W3CDTF">2025-07-16T06:21:43Z</dcterms:created>
  <dcterms:modified xsi:type="dcterms:W3CDTF">2026-04-10T09:46:02Z</dcterms:modified>
</cp:coreProperties>
</file>