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ind w:firstLineChars="450" w:firstLine="2456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727"/>
      </w:tblGrid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东乌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海关制服洗护服务项目</w:t>
            </w:r>
          </w:p>
        </w:tc>
      </w:tr>
      <w:tr>
        <w:trPr>
          <w:trHeight w:val="918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72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  <w:lang w:val="en-US" w:eastAsia="zh-CN"/>
              </w:rPr>
              <w:t>27360</w:t>
            </w:r>
            <w:r>
              <w:rPr>
                <w:rFonts w:ascii="方正仿宋_GBK" w:eastAsia="方正仿宋_GBK" w:cs="方正仿宋_GBK" w:hint="eastAsia"/>
                <w:sz w:val="28"/>
                <w:szCs w:val="28"/>
                <w:lang w:val="en-US" w:eastAsia="zh-CN"/>
              </w:rPr>
              <w:t>.00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（服务费/年）</w:t>
            </w:r>
          </w:p>
        </w:tc>
      </w:tr>
      <w:t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727" w:type="dxa"/>
            <w:vAlign w:val="center"/>
          </w:tcPr>
          <w:p>
            <w:pPr>
              <w:pStyle w:val="28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F052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85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370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 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 xml:space="preserve">详细需求栏中所有加“★”项的需求均为实质性要求，不满足实质性要求的响应文件将按无效响应文件处理。 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注：本采购项目为最低价采购模式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。</w:t>
            </w:r>
          </w:p>
        </w:tc>
      </w:tr>
      <w:tr>
        <w:trPr>
          <w:trHeight w:val="893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</w:t>
            </w:r>
          </w:p>
        </w:tc>
        <w:tc>
          <w:tcPr>
            <w:tcW w:w="6727" w:type="dxa"/>
            <w:vAlign w:val="center"/>
          </w:tcPr>
          <w:p>
            <w:pPr>
              <w:pStyle w:val="79"/>
              <w:spacing w:line="400" w:lineRule="exact"/>
              <w:ind w:firstLineChars="100" w:firstLine="386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 供应商须为在中华人民共和国境内依法注册、具有独立承担民事责任能力的法人或其他组织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。</w:t>
            </w:r>
          </w:p>
          <w:p>
            <w:pPr>
              <w:pStyle w:val="79"/>
              <w:spacing w:line="400" w:lineRule="exact"/>
              <w:ind w:firstLineChars="100" w:firstLine="386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 营业执照经营范围须包含衣物洗涤、服装清洗、洗衣服务等相关内容。  </w:t>
            </w:r>
          </w:p>
          <w:p>
            <w:pPr>
              <w:pStyle w:val="79"/>
              <w:spacing w:line="400" w:lineRule="exact"/>
              <w:ind w:firstLineChars="100" w:firstLine="386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3. 具备固定经营场所、专业洗涤设备及完善的洗涤、消毒、熨烫、分拣、配送能力。  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ind w:firstLineChars="100" w:firstLine="386"/>
              <w:jc w:val="left"/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4. 遵守国家关于洗涤、环保、消防、安全生产等相关法律法规，近3年内无重大违法违规记录、无重大安全及质量事故。</w:t>
            </w:r>
          </w:p>
          <w:p/>
        </w:tc>
      </w:tr>
      <w:tr>
        <w:trPr>
          <w:trHeight w:val="237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★实质性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Style w:val="80"/>
              <w:spacing w:line="400" w:lineRule="exact"/>
              <w:ind w:firstLineChars="100" w:firstLine="386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 供应商实际经营地位于内蒙古自治区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锡林浩特市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，为采购方单位人员（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38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人）提供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白衬衫、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制服、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制式西裤、查验棉服、查验夹克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等的清洗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（包括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消毒、熨烫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）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等全流程服务。</w:t>
            </w:r>
          </w:p>
          <w:p>
            <w:pPr>
              <w:pStyle w:val="200"/>
              <w:spacing w:line="400" w:lineRule="exact"/>
              <w:ind w:left="0" w:firstLineChars="100" w:firstLine="386"/>
              <w:rPr>
                <w:rFonts w:ascii="方正仿宋_GBK" w:eastAsia="方正仿宋_GBK" w:cs="方正仿宋_GBK"/>
                <w:sz w:val="32"/>
                <w:szCs w:val="32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2. 制服清洗额度为60元/月/人，全年预算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27360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元（如超此金额视为无效）,供应商详细列明以上制式服装洗涤价格，保证每月额度的基础上，以预算价为基准，按照折扣形式报价，低价位供应商为成交供应商。</w:t>
            </w:r>
          </w:p>
          <w:p>
            <w:pPr>
              <w:pStyle w:val="80"/>
              <w:spacing w:line="400" w:lineRule="exact"/>
              <w:ind w:firstLineChars="100" w:firstLine="386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 洗涤方式须根据面料材质合理选择，包括水洗、干洗、轻柔洗等，严禁混洗、错洗。</w:t>
            </w:r>
          </w:p>
          <w:p>
            <w:pPr>
              <w:pStyle w:val="80"/>
              <w:spacing w:line="400" w:lineRule="exact"/>
              <w:ind w:firstLineChars="100" w:firstLine="386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 提供破损修补、纽扣更换、简单缝补等配套服务，确保制服整洁、完好、可正常穿着。  </w:t>
            </w:r>
          </w:p>
          <w:p>
            <w:pPr>
              <w:pStyle w:val="80"/>
              <w:spacing w:line="400" w:lineRule="exact"/>
              <w:ind w:firstLineChars="100" w:firstLine="386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 洗涤后衣物洁净、无污渍、无异味、无变形、无褪色、无损伤。</w:t>
            </w:r>
          </w:p>
          <w:p>
            <w:pPr>
              <w:pStyle w:val="80"/>
              <w:spacing w:line="400" w:lineRule="exact"/>
              <w:ind w:firstLineChars="100" w:firstLine="386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 严格执行一客一洗、分类洗涤、消毒到位，符合公共纺织品洗涤卫生标准，洗涤环境干净卫生，做到防尘、防潮、防污、防蛀。。</w:t>
            </w:r>
          </w:p>
          <w:p>
            <w:pPr>
              <w:pStyle w:val="80"/>
              <w:spacing w:line="400" w:lineRule="exact"/>
              <w:ind w:left="0" w:firstLineChars="100" w:firstLine="386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 使用合格、环保、中性洗涤用品，不使用对人体和面料有害的清洗剂。  </w:t>
            </w:r>
          </w:p>
          <w:p>
            <w:pPr>
              <w:pStyle w:val="196"/>
              <w:spacing w:line="400" w:lineRule="exact"/>
              <w:ind w:left="0" w:firstLineChars="100" w:firstLine="386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 常规洗涤熨烫服务时限不应超过72小时。</w:t>
            </w:r>
          </w:p>
          <w:p>
            <w:pPr>
              <w:pStyle w:val="46"/>
              <w:spacing w:line="360" w:lineRule="exact"/>
              <w:ind w:left="0" w:firstLineChars="100" w:firstLine="386"/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9.其他单位清洗服务（包括公车坐垫、会议室窗帘、值班室床上用品等洗涤），供应商应免费上门取送件，清洗费用双方协商以市场价格结算。</w:t>
            </w:r>
          </w:p>
          <w:p>
            <w:pPr>
              <w:pStyle w:val="298"/>
              <w:spacing w:line="360" w:lineRule="exact"/>
              <w:ind w:firstLineChars="100" w:firstLine="386"/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10.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在服务期内，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采购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方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根据实际工作需求，向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供应商另增人员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，相关费用按照双方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原合同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约定的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价格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标准执行。</w:t>
            </w:r>
          </w:p>
          <w:p>
            <w:pPr>
              <w:pStyle w:val="46"/>
              <w:spacing w:line="360" w:lineRule="exact"/>
              <w:ind w:firstLineChars="100" w:firstLine="386"/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11.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付款条件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以双方签订的合同中约定为准</w:t>
            </w:r>
          </w:p>
          <w:p>
            <w:pPr>
              <w:pStyle w:val="46"/>
              <w:spacing w:line="360" w:lineRule="exact"/>
              <w:ind w:left="0" w:firstLineChars="100" w:firstLine="386"/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12.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自合同签订之日起一年，当期合同期满采购人按照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val="en-US" w:eastAsia="zh-CN"/>
              </w:rPr>
              <w:t>需求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/>
              </w:rPr>
              <w:t>文件要求和合同中约定的内容进行考核，如考核合格后可直接续签下一年度的合同。</w:t>
            </w:r>
          </w:p>
          <w:p>
            <w:pPr>
              <w:pStyle w:val="46"/>
              <w:spacing w:line="360" w:lineRule="exact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 xml:space="preserve">   （注：以上实质性需要，供应商须提供实施方案、承诺书等</w:t>
            </w:r>
            <w:bookmarkStart w:id="0" w:name="_GoBack"/>
            <w:bookmarkEnd w:id="0"/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相关材料）</w:t>
            </w:r>
          </w:p>
        </w:tc>
      </w:tr>
      <w:tr>
        <w:trPr>
          <w:trHeight w:val="699"/>
        </w:trPr>
        <w:tc>
          <w:tcPr>
            <w:tcW w:w="1795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72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评审方法按照最低价法</w:t>
            </w:r>
          </w:p>
        </w:tc>
      </w:tr>
    </w:tbl>
    <w:p>
      <w:pPr>
        <w:jc w:val="left"/>
        <w:rPr>
          <w:rFonts w:ascii="宋体"/>
        </w:rPr>
      </w:pPr>
    </w:p>
    <w:sectPr>
      <w:footerReference w:type="default" r:id="rId2"/>
      <w:pgSz w:w="11907" w:h="16840"/>
      <w:pgMar w:top="1701" w:right="1418" w:bottom="1701" w:left="1418" w:header="1814" w:footer="1474" w:gutter="0"/>
      <w:pgNumType w:start="0"/>
      <w:titlePg/>
      <w:docGrid w:type="linesAndChars" w:linePitch="580" w:charSpace="216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0000000000000000000"/>
    <w:charset w:val="86"/>
    <w:family w:val="script"/>
    <w:pitch w:val="variable"/>
    <w:sig w:usb0="00000000" w:usb1="00000000" w:usb2="00082016" w:usb3="00000000" w:csb0="00040001" w:csb1="00000000"/>
  </w:font>
  <w:font w:name="方正楷体_GBK">
    <w:altName w:val="Microsoft YaHei UI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variable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1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4</w:t>
    </w:r>
    <w:r>
      <w:rPr>
        <w:sz w:val="32"/>
        <w:szCs w:val="3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ABD23E92"/>
    <w:multiLevelType w:val="singleLevel"/>
    <w:tmpl w:val="61DD5A31"/>
    <w:lvl w:ilvl="0">
      <w:start w:val="1"/>
      <w:numFmt w:val="decimal"/>
      <w:lvlRestart w:val="0"/>
      <w:pStyle w:val="16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7"/>
  <w:displayBackgroundShape/>
  <w:bordersDoNotSurroundHeader w:val="0"/>
  <w:bordersDoNotSurroundFooter w:val="0"/>
  <w:defaultTabStop w:val="420"/>
  <w:drawingGridHorizontalSpacing w:val="157"/>
  <w:drawingGridVerticalSpacing w:val="28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10">
    <w:name w:val="Default Paragraph Font"/>
  </w:style>
  <w:style w:type="paragraph" w:styleId="15">
    <w:name w:val="table of authorities"/>
    <w:basedOn w:val="0"/>
    <w:next w:val="0"/>
    <w:pPr>
      <w:ind w:left="420"/>
    </w:pPr>
  </w:style>
  <w:style w:type="paragraph" w:styleId="16">
    <w:name w:val="List Number"/>
    <w:basedOn w:val="0"/>
    <w:pPr>
      <w:numPr>
        <w:ilvl w:val="0"/>
        <w:numId w:val="1"/>
      </w:numPr>
    </w:pPr>
  </w:style>
  <w:style w:type="paragraph" w:styleId="17">
    <w:name w:val="caption"/>
    <w:next w:val="0"/>
    <w:pPr>
      <w:widowControl w:val="0"/>
      <w:jc w:val="both"/>
    </w:pPr>
    <w:rPr>
      <w:rFonts w:ascii="Arial" w:eastAsia="黑体" w:cs="Arial" w:hAnsi="Arial"/>
      <w:b/>
      <w:bCs/>
      <w:kern w:val="2"/>
      <w:lang w:val="en-US" w:eastAsia="zh-CN" w:bidi="ar-SA"/>
    </w:rPr>
  </w:style>
  <w:style w:type="paragraph" w:styleId="18">
    <w:name w:val="annotation text"/>
    <w:basedOn w:val="0"/>
    <w:pPr>
      <w:jc w:val="left"/>
    </w:pPr>
  </w:style>
  <w:style w:type="paragraph" w:styleId="19">
    <w:name w:val="toc 5"/>
    <w:basedOn w:val="0"/>
    <w:autoRedefine/>
    <w:next w:val="0"/>
    <w:pPr>
      <w:ind w:left="1680"/>
    </w:pPr>
  </w:style>
  <w:style w:type="paragraph" w:styleId="20">
    <w:name w:val="Balloon Text"/>
    <w:basedOn w:val="0"/>
    <w:rPr>
      <w:sz w:val="18"/>
      <w:szCs w:val="18"/>
    </w:rPr>
  </w:style>
  <w:style w:type="paragraph" w:styleId="21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2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23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24">
    <w:name w:val="page number"/>
    <w:basedOn w:val="10"/>
  </w:style>
  <w:style w:type="character" w:styleId="25">
    <w:name w:val="annotation reference"/>
    <w:basedOn w:val="10"/>
    <w:rPr>
      <w:sz w:val="21"/>
      <w:szCs w:val="21"/>
    </w:rPr>
  </w:style>
  <w:style w:type="paragraph" w:customStyle="1" w:styleId="26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8 10 磅"/>
    <w:next w:val="19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2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7 10 磅"/>
    <w:pPr>
      <w:widowControl w:val="0"/>
      <w:jc w:val="both"/>
    </w:pPr>
    <w:rPr>
      <w:rFonts w:ascii="Arial" w:eastAsia="黑体" w:cs="Arial" w:hAnsi="Arial"/>
      <w:b/>
      <w:bCs/>
      <w:kern w:val="2"/>
      <w:lang w:val="en-US" w:eastAsia="zh-CN" w:bidi="ar-SA"/>
    </w:rPr>
  </w:style>
  <w:style w:type="paragraph" w:customStyle="1" w:styleId="36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28 10 磅"/>
    <w:next w:val="15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0 10 磅"/>
    <w:next w:val="33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33 10 磅"/>
    <w:next w:val="16"/>
    <w:pPr>
      <w:widowControl w:val="0"/>
      <w:ind w:firstLineChars="200" w:firstLine="20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3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5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1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4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5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6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7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8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9">
    <w:name w:val="样式 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1">
    <w:name w:val="样式 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2">
    <w:name w:val="样式 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3">
    <w:name w:val="样式 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5">
    <w:name w:val="样式 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6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7">
    <w:name w:val="样式 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8">
    <w:name w:val="样式 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53 10 磅"/>
    <w:next w:val="82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0">
    <w:name w:val="样式 54 10 磅"/>
    <w:next w:val="83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2">
    <w:name w:val="样式 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3">
    <w:name w:val="样式 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4">
    <w:name w:val="样式 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5">
    <w:name w:val="样式 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6">
    <w:name w:val="样式 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7">
    <w:name w:val="样式 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8">
    <w:name w:val="样式 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9">
    <w:name w:val="样式 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0">
    <w:name w:val="样式 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1">
    <w:name w:val="样式 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2">
    <w:name w:val="样式 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3">
    <w:name w:val="样式 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4">
    <w:name w:val="样式 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5">
    <w:name w:val="样式 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6">
    <w:name w:val="样式 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7">
    <w:name w:val="样式 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8">
    <w:name w:val="样式 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99">
    <w:name w:val="样式 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0">
    <w:name w:val="样式 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1">
    <w:name w:val="样式 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2">
    <w:name w:val="样式 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3">
    <w:name w:val="样式 7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4">
    <w:name w:val="样式 7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5">
    <w:name w:val="样式 7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6">
    <w:name w:val="样式 8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7">
    <w:name w:val="样式 8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8">
    <w:name w:val="样式 8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09">
    <w:name w:val="样式 8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0">
    <w:name w:val="样式 8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1">
    <w:name w:val="样式 8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2">
    <w:name w:val="样式 8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3">
    <w:name w:val="样式 8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4">
    <w:name w:val="样式 8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5">
    <w:name w:val="样式 8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6">
    <w:name w:val="样式 9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7">
    <w:name w:val="样式 9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8">
    <w:name w:val="样式 9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19">
    <w:name w:val="样式 9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0">
    <w:name w:val="样式 9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1">
    <w:name w:val="样式 9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2">
    <w:name w:val="样式 9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3">
    <w:name w:val="样式 9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4">
    <w:name w:val="样式 9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5">
    <w:name w:val="样式 9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6">
    <w:name w:val="样式 10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7">
    <w:name w:val="样式 10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8">
    <w:name w:val="样式 10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29">
    <w:name w:val="样式 10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0">
    <w:name w:val="样式 10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1">
    <w:name w:val="样式 10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2">
    <w:name w:val="样式 10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3">
    <w:name w:val="样式 10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4">
    <w:name w:val="样式 10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5">
    <w:name w:val="样式 10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6">
    <w:name w:val="样式 1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7">
    <w:name w:val="样式 1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8">
    <w:name w:val="样式 1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39">
    <w:name w:val="样式 1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0">
    <w:name w:val="样式 1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1">
    <w:name w:val="样式 1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2">
    <w:name w:val="样式 1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3">
    <w:name w:val="样式 1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4">
    <w:name w:val="样式 1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5">
    <w:name w:val="样式 1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6">
    <w:name w:val="样式 1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7">
    <w:name w:val="样式 1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8">
    <w:name w:val="样式 1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49">
    <w:name w:val="样式 1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0">
    <w:name w:val="样式 1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1">
    <w:name w:val="样式 1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2">
    <w:name w:val="样式 1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3">
    <w:name w:val="样式 1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4">
    <w:name w:val="样式 1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5">
    <w:name w:val="样式 1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6">
    <w:name w:val="样式 1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7">
    <w:name w:val="样式 1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8">
    <w:name w:val="样式 1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59">
    <w:name w:val="样式 1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0">
    <w:name w:val="样式 1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1">
    <w:name w:val="样式 1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2">
    <w:name w:val="样式 1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3">
    <w:name w:val="样式 1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4">
    <w:name w:val="样式 1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5">
    <w:name w:val="样式 1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6">
    <w:name w:val="样式 1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7">
    <w:name w:val="样式 1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8">
    <w:name w:val="样式 1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9">
    <w:name w:val="样式 14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0">
    <w:name w:val="样式 14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1">
    <w:name w:val="样式 14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2">
    <w:name w:val="样式 14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3">
    <w:name w:val="样式 14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4">
    <w:name w:val="样式 14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5">
    <w:name w:val="样式 14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6">
    <w:name w:val="样式 1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7">
    <w:name w:val="样式 15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8">
    <w:name w:val="样式 15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79">
    <w:name w:val="样式 15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0">
    <w:name w:val="样式 15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1">
    <w:name w:val="样式 15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2">
    <w:name w:val="样式 15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3">
    <w:name w:val="样式 15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4">
    <w:name w:val="样式 15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5">
    <w:name w:val="样式 15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6">
    <w:name w:val="样式 16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7">
    <w:name w:val="样式 16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8">
    <w:name w:val="样式 16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89">
    <w:name w:val="样式 16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0">
    <w:name w:val="样式 16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1">
    <w:name w:val="样式 16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2">
    <w:name w:val="样式 16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3">
    <w:name w:val="样式 16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4">
    <w:name w:val="样式 16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5">
    <w:name w:val="样式 16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6">
    <w:name w:val="样式 17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7">
    <w:name w:val="样式 17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8">
    <w:name w:val="样式 17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9">
    <w:name w:val="样式 17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0">
    <w:name w:val="样式 17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8">
    <w:name w:val="样式 17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0">
    <w:name w:val="样式 17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346</TotalTime>
  <Application>Yozo_Office</Application>
  <Pages>3</Pages>
  <Words>968</Words>
  <Characters>1008</Characters>
  <Lines>67</Lines>
  <Paragraphs>36</Paragraphs>
  <CharactersWithSpaces>1034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杨璐</dc:creator>
  <cp:lastModifiedBy>牧仁</cp:lastModifiedBy>
  <cp:revision>12</cp:revision>
  <cp:lastPrinted>2026-04-09T07:25:57Z</cp:lastPrinted>
  <dcterms:created xsi:type="dcterms:W3CDTF">2025-08-08T09:37:00Z</dcterms:created>
  <dcterms:modified xsi:type="dcterms:W3CDTF">2026-04-17T03:55:49Z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eyJoZGlkIjoiY2NhMGM3YjkwYzZhZjE2NzhkYzc5NzRkZjU1YmU5OTYiLCJ1c2VySWQiOiIzMTgzMzE3NTgifQ==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B362E6F743FC422786852A81DF23C79B_12</vt:lpwstr>
  </property>
</Properties>
</file>