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firstLine="0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包头海关办公楼窗户密封胶条更换及打胶作业采购项目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综合保障科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48000元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审批文件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中共包头海关委员会会议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纪要（2026年第2期）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经费来源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财政经费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</w:tc>
      </w:tr>
      <w:tr>
        <w:trPr>
          <w:trHeight w:val="567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编制人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复核人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（科室负责人）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审核人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主管关领导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）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4731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3568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1.具有独立承担民事责任的能力。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有效的营业执照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3.具有履行合同所必需的设备、专业技术人员及施工能力。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4.本项目不接受联合体投标、不允许分包转包。 </w:t>
            </w:r>
          </w:p>
        </w:tc>
      </w:tr>
      <w:tr>
        <w:trPr>
          <w:trHeight w:val="108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spacing w:line="400" w:lineRule="exact"/>
              <w:ind w:firstLine="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一、工期：15个自然日。</w:t>
            </w:r>
          </w:p>
          <w:p>
            <w:pPr>
              <w:spacing w:line="400" w:lineRule="exact"/>
              <w:ind w:firstLine="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二、施工内容： </w:t>
            </w:r>
          </w:p>
          <w:p>
            <w:pPr>
              <w:spacing w:line="400" w:lineRule="exact"/>
              <w:ind w:firstLine="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1.包头海关办公楼窗户共423扇，其中平开式内开窗户343扇，单扇窗周长约4m，内开内倒窗80扇，单扇窗周长约2m，以工程实际完工量为准。</w:t>
            </w:r>
          </w:p>
          <w:p>
            <w:pPr>
              <w:spacing w:line="400" w:lineRule="exact"/>
              <w:ind w:firstLine="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2.窗框与墙体收口缝、窗扇与窗框接缝、玻璃压条缝、开启扇四周等全部位密封处理。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三、主要工作内容：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 旧密封条拆除：清除老化、破损密封条，清理槽口内灰尘、油污、残渣；​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 新密封条安装：更换符合规格的密封条，接口严密、连续，无断点、无松动；​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3. 旧密封胶清除：彻底铲除开裂、粉化、脱落的旧胶，清理缝道至干净、干燥、坚实；​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4. 密封打胶：窗框内外侧、窗扇接缝、玻璃压条、墙体收口等部位，施打密封胶，胶缝饱满、连续、光滑、无气泡、无断胶，宽度与深度符合规范；​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5. 现场清理：施工垃圾袋装清运至指定地点，窗框、玻璃、窗台清洁，恢复原状；​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6. 成品保护：施工中保护玻璃、窗框、墙面、地面，避免污染与损坏。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四、技术与质量要求：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 密封条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，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 xml:space="preserve">材质：三元乙丙橡胶（EPDM），耐老化、弹性好、不易变形；规格：适配原窗槽口；外观：表面平整、无裂纹、无气泡、无杂质，断面均匀。 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 密封胶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，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类型：中性固化、单组分、弹性硅酮耐候密封胶，非酸性、无腐蚀；颜色：外侧黑色、内侧瓷白/透明；适用温度：耐紫外线、耐老化、不开裂、不脱落；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五、商务要求： 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 报价要求：报价为固定总价，含人工、材料、机械、运输、清运、成品保护、验收、质保、税费等全部费用，结算不另行增项；​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 工期要求：按合同约定，逾期完工按合同总价0.5%/天支付违约金；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3. 质保服务：质保期内免费上门维修、更换材料，接到报修后24小时内响应、48小时内到场处理；​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3753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545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6862" w:type="dxa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1、公告期限（3个工作日）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2、响应文件份数（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2份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）</w:t>
            </w:r>
          </w:p>
        </w:tc>
      </w:tr>
    </w:tbl>
    <w:p>
      <w:pPr>
        <w:spacing w:line="240" w:lineRule="auto"/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jc w:val="right"/>
        <w:rPr>
          <w:rFonts w:ascii="方正仿宋_GBK" w:eastAsia="方正仿宋_GBK" w:cs="方正仿宋_GBK"/>
          <w:sz w:val="32"/>
          <w:szCs w:val="32"/>
        </w:rPr>
      </w:pPr>
    </w:p>
    <w:p>
      <w:pPr>
        <w:rPr>
          <w:rFonts w:ascii="宋体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20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1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footer"/>
    <w:next w:val="15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character" w:styleId="17">
    <w:name w:val="page number"/>
  </w:style>
  <w:style w:type="character" w:styleId="18">
    <w:name w:val="endnote reference"/>
    <w:basedOn w:val="10"/>
    <w:rPr>
      <w:vertAlign w:val="superscript"/>
    </w:rPr>
  </w:style>
  <w:style w:type="paragraph" w:customStyle="1" w:styleId="19">
    <w:name w:val="样式 22 10 磅"/>
    <w:next w:val="1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customStyle="1" w:styleId="21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273</TotalTime>
  <Application>Yozo_Office</Application>
  <Pages>3</Pages>
  <Words>972</Words>
  <Characters>1008</Characters>
  <Lines>69</Lines>
  <Paragraphs>53</Paragraphs>
  <CharactersWithSpaces>1031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冯强</dc:creator>
  <cp:lastModifiedBy>李紫萌</cp:lastModifiedBy>
  <cp:revision>0</cp:revision>
  <dcterms:created xsi:type="dcterms:W3CDTF">2025-07-16T06:21:43Z</dcterms:created>
  <dcterms:modified xsi:type="dcterms:W3CDTF">2026-04-24T13:26:40Z</dcterms:modified>
</cp:coreProperties>
</file>