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jc w:val="left"/>
        <w:tblInd w:w="0" w:type="dxa"/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6857"/>
      </w:tblGrid>
      <w:tr>
        <w:tc>
          <w:tcPr>
            <w:tcW w:w="86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交流干部宿舍房间部分维修项目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1.3万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57" w:type="dxa"/>
            <w:vAlign w:val="center"/>
          </w:tcPr>
          <w:p>
            <w:pPr>
              <w:pStyle w:val="136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86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2000"/>
        </w:trPr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57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424"/>
        </w:trPr>
        <w:tc>
          <w:tcPr>
            <w:tcW w:w="1825" w:type="dxa"/>
            <w:vAlign w:val="center"/>
          </w:tcPr>
          <w:p>
            <w:pPr>
              <w:pStyle w:val="132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资格条件</w:t>
            </w:r>
          </w:p>
        </w:tc>
        <w:tc>
          <w:tcPr>
            <w:tcW w:w="6857" w:type="dxa"/>
            <w:vAlign w:val="center"/>
          </w:tcPr>
          <w:p>
            <w:pPr>
              <w:pStyle w:val="229"/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pStyle w:val="229"/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具有建筑装修装饰资质。</w:t>
            </w:r>
          </w:p>
          <w:p>
            <w:pPr>
              <w:pStyle w:val="23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3.未被列入失信被执行人、税收违法黑名单。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4.提供其他书面资质证明材料，包括：工商营业执照或三合一证照复印件、企业资质复印件、法人授权书、具备独立承担本项目实施能力承诺书。</w:t>
            </w:r>
          </w:p>
        </w:tc>
      </w:tr>
      <w:tr>
        <w:trPr>
          <w:trHeight w:val="3676"/>
        </w:trPr>
        <w:tc>
          <w:tcPr>
            <w:tcW w:w="1825" w:type="dxa"/>
            <w:vAlign w:val="center"/>
          </w:tcPr>
          <w:p>
            <w:pPr>
              <w:pStyle w:val="83"/>
              <w:spacing w:line="400" w:lineRule="exact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★</w:t>
            </w:r>
          </w:p>
          <w:p>
            <w:pPr>
              <w:pStyle w:val="83"/>
              <w:spacing w:line="400" w:lineRule="exact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实质性需求</w:t>
            </w:r>
          </w:p>
        </w:tc>
        <w:tc>
          <w:tcPr>
            <w:tcW w:w="6857" w:type="dxa"/>
          </w:tcPr>
          <w:p>
            <w:pPr>
              <w:pStyle w:val="231"/>
              <w:snapToGrid w:val="0"/>
              <w:spacing w:line="360" w:lineRule="exact"/>
              <w:ind w:firstLineChars="200" w:firstLine="772"/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</w:pP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1.</w:t>
            </w:r>
            <w:r>
              <w:rPr>
                <w:rStyle w:val="231Char"/>
                <w:rFonts w:ascii="Times New Roman" w:eastAsia="方正仿宋_GBK" w:cs="Times New Roman" w:hAnsi="Times New Roman"/>
                <w:bCs/>
                <w:sz w:val="28"/>
                <w:szCs w:val="28"/>
              </w:rPr>
              <w:t>施工内容：</w: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详见《</w: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fldChar w:fldCharType="begin"/>
            </w:r>
            <w:r>
              <w:instrText>HYPERLINK "http://10.67.1.184/HBPlusWebApp/HidealGW/QBPages/QBFrontController.aspx?resourceID=12ff5f88-c9f3-4442-b8ef-3bc8ec494fb9&amp;_ResponsedPageLoadingHint=true#"</w:instrTex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fldChar w:fldCharType="separate"/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交流干部宿舍房间维修明细</w: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fldChar w:fldCharType="end"/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》。</w:t>
            </w:r>
          </w:p>
          <w:p>
            <w:pPr>
              <w:pStyle w:val="232"/>
              <w:snapToGrid w:val="0"/>
              <w:spacing w:line="360" w:lineRule="exact"/>
              <w:ind w:firstLineChars="200" w:firstLine="772"/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</w:pPr>
            <w:r>
              <w:rPr>
                <w:rStyle w:val="231Char"/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2.工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期：</w:t>
            </w:r>
            <w:r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15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天，</w:t>
            </w:r>
            <w:r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保质保量，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按时完工。</w:t>
            </w:r>
          </w:p>
          <w:p>
            <w:pPr>
              <w:pStyle w:val="231"/>
              <w:snapToGrid w:val="0"/>
              <w:spacing w:line="360" w:lineRule="exact"/>
              <w:ind w:firstLineChars="200" w:firstLine="772"/>
              <w:rPr>
                <w:rStyle w:val="231Char"/>
                <w:rFonts w:ascii="Times New Roman" w:eastAsia="方正仿宋_GBK" w:cs="Times New Roman" w:hAnsi="Times New Roman"/>
                <w:bCs/>
                <w:sz w:val="28"/>
                <w:szCs w:val="28"/>
              </w:rPr>
            </w:pP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3.质量要求：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符合国家及行业相关规范和标准</w: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，并达到合格工程标准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</w:t>
            </w: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同时满足建设单位需求</w:t>
            </w:r>
            <w:r>
              <w:rPr>
                <w:rStyle w:val="231Char"/>
                <w:rFonts w:ascii="Times New Roman" w:eastAsia="方正仿宋_GBK" w:cs="Times New Roman" w:hAnsi="Times New Roman"/>
                <w:bCs/>
                <w:sz w:val="28"/>
                <w:szCs w:val="28"/>
              </w:rPr>
              <w:t>。</w:t>
            </w:r>
          </w:p>
          <w:p>
            <w:pPr>
              <w:pStyle w:val="231"/>
              <w:snapToGrid w:val="0"/>
              <w:spacing w:line="360" w:lineRule="exact"/>
              <w:ind w:firstLineChars="200" w:firstLine="772"/>
              <w:rPr>
                <w:rStyle w:val="231Char"/>
                <w:rFonts w:ascii="Times New Roman" w:eastAsia="方正仿宋_GBK" w:cs="Times New Roman" w:hAnsi="Times New Roman"/>
                <w:bCs/>
                <w:sz w:val="28"/>
                <w:szCs w:val="28"/>
              </w:rPr>
            </w:pPr>
            <w:r>
              <w:rPr>
                <w:rStyle w:val="231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4.安全要求：必须确保安全文明施工，执行国家现行相关规定。</w:t>
            </w:r>
          </w:p>
          <w:p>
            <w:pPr>
              <w:pStyle w:val="231"/>
              <w:snapToGrid w:val="0"/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Style w:val="233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5.支付方式：</w:t>
            </w:r>
            <w:r>
              <w:rPr>
                <w:rFonts w:ascii="Times New Roman" w:eastAsia="方正仿宋_GBK" w:cs="Times New Roman" w:hAnsi="Times New Roman"/>
                <w:snapToGrid w:val="0"/>
                <w:sz w:val="28"/>
                <w:szCs w:val="28"/>
              </w:rPr>
              <w:t>施工方按照合同约定完成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交流干部宿舍房间部分维修项目</w:t>
            </w:r>
            <w:r>
              <w:rPr>
                <w:rFonts w:ascii="Times New Roman" w:eastAsia="方正仿宋_GBK" w:cs="Times New Roman" w:hAnsi="Times New Roman"/>
                <w:snapToGrid w:val="0"/>
                <w:sz w:val="28"/>
                <w:szCs w:val="28"/>
              </w:rPr>
              <w:t>，经我方验收合格后，施工方按照合同约定金额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开具全款有效发票。我方收到发票后支付施工方合同总金额的97％</w:t>
            </w:r>
            <w:r>
              <w:rPr>
                <w:rFonts w:ascii="Times New Roman" w:eastAsia="方正仿宋_GBK" w:cs="Times New Roman" w:hAnsi="Times New Roman"/>
                <w:snapToGrid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剩余3％留做质保金，待2年缺陷责任期届满、无质量问题后，我方一次性无息支付质保金。</w:t>
            </w:r>
          </w:p>
          <w:p>
            <w:pPr>
              <w:pStyle w:val="83"/>
              <w:spacing w:line="400" w:lineRule="exact"/>
              <w:ind w:firstLineChars="200" w:firstLine="772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Style w:val="231Char"/>
                <w:rFonts w:ascii="Times New Roman" w:eastAsia="方正仿宋_GBK" w:cs="Times New Roman" w:hAnsi="Times New Roman"/>
                <w:bCs/>
                <w:sz w:val="28"/>
                <w:szCs w:val="28"/>
              </w:rPr>
              <w:t>6.保修期：该项目保修期2年，自验收合格之日起计算。保修期内出现施工质量问题，由乙方无偿维修并承担全部损失。</w:t>
            </w:r>
          </w:p>
        </w:tc>
      </w:tr>
      <w:tr>
        <w:trPr>
          <w:trHeight w:val="1627"/>
        </w:trPr>
        <w:tc>
          <w:tcPr>
            <w:tcW w:w="1825" w:type="dxa"/>
            <w:vAlign w:val="center"/>
          </w:tcPr>
          <w:p>
            <w:pPr>
              <w:pStyle w:val="83"/>
              <w:spacing w:line="400" w:lineRule="exact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  <w:t>评审因素</w:t>
            </w:r>
          </w:p>
        </w:tc>
        <w:tc>
          <w:tcPr>
            <w:tcW w:w="6857" w:type="dxa"/>
          </w:tcPr>
          <w:p>
            <w:pPr>
              <w:pStyle w:val="83"/>
              <w:spacing w:line="400" w:lineRule="exact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</w:p>
          <w:p>
            <w:pPr>
              <w:pStyle w:val="83"/>
              <w:spacing w:line="400" w:lineRule="exact"/>
              <w:rPr>
                <w:rFonts w:ascii="方正仿宋_GBK" w:eastAsia="方正仿宋_GBK" w:cs="方正仿宋_GBK" w:hint="eastAsia"/>
                <w:bCs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  <w:bookmarkStart w:id="0" w:name="_GoBack"/>
            <w:bookmarkEnd w:id="0"/>
          </w:p>
        </w:tc>
      </w:tr>
    </w:tbl>
    <w:p>
      <w:pPr>
        <w:pStyle w:val="83"/>
        <w:spacing w:line="400" w:lineRule="exact"/>
        <w:rPr>
          <w:rFonts w:ascii="方正仿宋_GBK" w:eastAsia="方正仿宋_GBK" w:cs="方正仿宋_GBK" w:hint="eastAsia"/>
          <w:bCs/>
          <w:sz w:val="28"/>
          <w:szCs w:val="28"/>
        </w:rPr>
      </w:pP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  <w:font w:name="ＭＳ 明朝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AA8369A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">
    <w:nsid w:val="C3D39E8B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2">
    <w:nsid w:val="AC0B4617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>
    <w:nsid w:val="2DB41618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0" w:after="0"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oc 5"/>
    <w:basedOn w:val="0"/>
    <w:autoRedefine/>
    <w:next w:val="0"/>
    <w:pPr>
      <w:ind w:left="168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8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8 10 磅"/>
    <w:next w:val="15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6">
    <w:name w:val="List 2"/>
    <w:basedOn w:val="0"/>
    <w:pPr>
      <w:ind w:left="840" w:hanging="420"/>
    </w:pPr>
  </w:style>
  <w:style w:type="paragraph" w:customStyle="1" w:styleId="27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List Paragraph"/>
    <w:next w:val="69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4">
    <w:name w:val="List"/>
    <w:basedOn w:val="0"/>
    <w:pPr>
      <w:ind w:left="420" w:hanging="420"/>
    </w:pPr>
  </w:style>
  <w:style w:type="paragraph" w:styleId="35">
    <w:name w:val="List 3"/>
    <w:basedOn w:val="0"/>
    <w:pPr>
      <w:ind w:left="1260" w:hanging="420"/>
    </w:pPr>
  </w:style>
  <w:style w:type="paragraph" w:styleId="36">
    <w:name w:val="List Number 4"/>
    <w:basedOn w:val="0"/>
    <w:pPr>
      <w:numPr>
        <w:ilvl w:val="0"/>
        <w:numId w:val="1"/>
      </w:numPr>
    </w:pPr>
  </w:style>
  <w:style w:type="paragraph" w:styleId="3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38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39">
    <w:name w:val="endnote reference"/>
    <w:basedOn w:val="10"/>
    <w:rPr>
      <w:vertAlign w:val="superscript"/>
    </w:rPr>
  </w:style>
  <w:style w:type="paragraph" w:styleId="40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styleId="41">
    <w:name w:val="List Bullet 5"/>
    <w:basedOn w:val="0"/>
    <w:pPr>
      <w:numPr>
        <w:ilvl w:val="0"/>
        <w:numId w:val="2"/>
      </w:numPr>
    </w:pPr>
  </w:style>
  <w:style w:type="paragraph" w:customStyle="1" w:styleId="4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35 10 磅"/>
    <w:next w:val="62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5">
    <w:name w:val="样式 3 小四"/>
    <w:next w:val="4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46">
    <w:name w:val="样式 12 小四"/>
    <w:next w:val="41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styleId="47">
    <w:name w:val="List Bullet 2"/>
    <w:basedOn w:val="0"/>
    <w:pPr>
      <w:numPr>
        <w:ilvl w:val="0"/>
        <w:numId w:val="3"/>
      </w:numPr>
    </w:pPr>
  </w:style>
  <w:style w:type="paragraph" w:styleId="48">
    <w:name w:val="List Bullet 3"/>
    <w:basedOn w:val="0"/>
    <w:pPr>
      <w:numPr>
        <w:ilvl w:val="0"/>
        <w:numId w:val="4"/>
      </w:numPr>
    </w:pPr>
  </w:style>
  <w:style w:type="paragraph" w:customStyle="1" w:styleId="49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37 10 磅"/>
    <w:next w:val="4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54 10 磅"/>
    <w:next w:val="8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53">
    <w:name w:val="toc 1"/>
    <w:basedOn w:val="0"/>
    <w:autoRedefine/>
    <w:next w:val="0"/>
  </w:style>
  <w:style w:type="paragraph" w:styleId="54">
    <w:name w:val="toc 7"/>
    <w:basedOn w:val="0"/>
    <w:autoRedefine/>
    <w:next w:val="0"/>
    <w:pPr>
      <w:ind w:left="2520"/>
    </w:pPr>
  </w:style>
  <w:style w:type="paragraph" w:styleId="55">
    <w:name w:val="Normal Indent"/>
    <w:basedOn w:val="0"/>
    <w:pPr>
      <w:ind w:firstLine="420"/>
    </w:pPr>
  </w:style>
  <w:style w:type="character" w:styleId="56">
    <w:name w:val="line number"/>
    <w:basedOn w:val="10"/>
  </w:style>
  <w:style w:type="paragraph" w:styleId="57">
    <w:name w:val="table of authorities"/>
    <w:basedOn w:val="0"/>
    <w:next w:val="0"/>
    <w:pPr>
      <w:ind w:left="420"/>
    </w:pPr>
  </w:style>
  <w:style w:type="paragraph" w:styleId="58">
    <w:name w:val="toa heading"/>
    <w:basedOn w:val="0"/>
    <w:next w:val="0"/>
    <w:pPr>
      <w:spacing w:before="120"/>
    </w:pPr>
    <w:rPr>
      <w:rFonts w:ascii="Arial" w:hAnsi="Arial"/>
      <w:sz w:val="24"/>
      <w:szCs w:val="24"/>
    </w:rPr>
  </w:style>
  <w:style w:type="paragraph" w:customStyle="1" w:styleId="5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小四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62">
    <w:name w:val="样式 1 小四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63">
    <w:name w:val="样式 2 小四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64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25 10 磅"/>
    <w:next w:val="49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33 10 磅"/>
    <w:next w:val="6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36 10 磅"/>
    <w:next w:val="61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41 10 磅"/>
    <w:next w:val="6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42 10 磅"/>
    <w:next w:val="67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43 10 磅"/>
    <w:next w:val="6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25 11 磅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3">
    <w:name w:val="样式 24 11 磅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4">
    <w:name w:val="样式 23 11 磅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5">
    <w:name w:val="样式 22 11 磅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6">
    <w:name w:val="样式 21 11 磅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7">
    <w:name w:val="样式 20 11 磅"/>
    <w:next w:val="116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8">
    <w:name w:val="样式 19 11 磅"/>
    <w:next w:val="115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99">
    <w:name w:val="样式 18 11 磅"/>
    <w:next w:val="114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0">
    <w:name w:val="样式 17 11 磅"/>
    <w:next w:val="113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1">
    <w:name w:val="样式 16 11 磅"/>
    <w:next w:val="112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2">
    <w:name w:val="样式 15 11 磅"/>
    <w:next w:val="111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3">
    <w:name w:val="样式 14 11 磅"/>
    <w:next w:val="110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4">
    <w:name w:val="样式 13 11 磅"/>
    <w:next w:val="109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5">
    <w:name w:val="样式 12 11 磅"/>
    <w:next w:val="108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6">
    <w:name w:val="样式 11 11 磅"/>
    <w:next w:val="107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7">
    <w:name w:val="样式 10 11 磅"/>
    <w:next w:val="106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8">
    <w:name w:val="样式 9 11 磅"/>
    <w:next w:val="105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09">
    <w:name w:val="样式 8 11 磅"/>
    <w:next w:val="104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0">
    <w:name w:val="样式 7 11 磅"/>
    <w:next w:val="103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1">
    <w:name w:val="样式 6 11 磅"/>
    <w:next w:val="102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2">
    <w:name w:val="样式 5 11 磅"/>
    <w:next w:val="101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3">
    <w:name w:val="样式 4 11 磅"/>
    <w:next w:val="100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4">
    <w:name w:val="样式 3 11 磅"/>
    <w:next w:val="99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5">
    <w:name w:val="样式 2 11 磅"/>
    <w:next w:val="98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6">
    <w:name w:val="样式 1 11 磅"/>
    <w:next w:val="97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zh-CN" w:bidi="ar-SA"/>
    </w:rPr>
  </w:style>
  <w:style w:type="paragraph" w:customStyle="1" w:styleId="11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127">
    <w:name w:val="Hyperlink"/>
    <w:basedOn w:val="10"/>
    <w:rPr>
      <w:color w:val="0000FF"/>
      <w:u w:val="single"/>
    </w:rPr>
  </w:style>
  <w:style w:type="paragraph" w:customStyle="1" w:styleId="128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73 10 磅"/>
    <w:next w:val="10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7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8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9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0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77 10 磅"/>
    <w:link w:val="231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231Char">
    <w:name w:val="样式 77 10 磅 Char"/>
    <w:basedOn w:val="10"/>
    <w:link w:val="231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2">
    <w:name w:val="样式 78 10 磅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customStyle="1" w:styleId="233">
    <w:name w:val="样式 79 10 磅"/>
    <w:link w:val="233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233Char">
    <w:name w:val="样式 79 10 磅 Char"/>
    <w:basedOn w:val="10"/>
    <w:link w:val="233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4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148</TotalTime>
  <Application>Yozo_Office</Application>
  <Pages>2</Pages>
  <Words>568</Words>
  <Characters>588</Characters>
  <Lines>53</Lines>
  <Paragraphs>28</Paragraphs>
  <CharactersWithSpaces>589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杨璐</cp:lastModifiedBy>
  <cp:revision>1</cp:revision>
  <dcterms:created xsi:type="dcterms:W3CDTF">2025-05-12T01:25:53Z</dcterms:created>
  <dcterms:modified xsi:type="dcterms:W3CDTF">2026-05-14T01:16:50Z</dcterms:modified>
</cp:coreProperties>
</file>