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ind w:firstLine="0"/>
        <w:rPr>
          <w:rFonts w:asci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cs="方正黑体_GBK" w:hint="eastAsia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比选采购需求书</w:t>
      </w:r>
    </w:p>
    <w:tbl>
      <w:tblPr>
        <w:jc w:val="left"/>
        <w:tblInd w:w="0" w:type="dxa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6862"/>
      </w:tblGrid>
      <w:tr>
        <w:tc>
          <w:tcPr>
            <w:tcW w:w="90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楷体_GBK" w:eastAsia="方正楷体_GBK" w:cs="方正楷体_GBK" w:hint="eastAsia"/>
                <w:sz w:val="32"/>
                <w:szCs w:val="32"/>
              </w:rPr>
              <w:t>基础信息栏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东乌海关珠恩嘎达布其口岸监管查验设备校准项目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需求部门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中华人民共和国东乌海关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采购预算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cs="方正仿宋_GBK" w:hAnsi="Times New Roman"/>
                <w:sz w:val="28"/>
                <w:szCs w:val="28"/>
              </w:rPr>
              <w:t>15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万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元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审批文件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——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经费来源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财政拨款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评审方法</w:t>
            </w:r>
          </w:p>
        </w:tc>
        <w:tc>
          <w:tcPr>
            <w:tcW w:w="6862" w:type="dxa"/>
            <w:vAlign w:val="center"/>
          </w:tcPr>
          <w:p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☑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最低价法</w:t>
            </w:r>
          </w:p>
          <w:p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sym w:font="Wingdings 2" w:char="A3"/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综合评分法</w:t>
            </w:r>
          </w:p>
        </w:tc>
      </w:tr>
      <w:tr>
        <w:trPr>
          <w:trHeight w:val="567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编制人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复核人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（科室负责人）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审核人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（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部门负责人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）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90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楷体_GBK" w:eastAsia="方正楷体_GBK" w:cs="方正楷体_GBK" w:hint="eastAsia"/>
                <w:sz w:val="32"/>
                <w:szCs w:val="32"/>
              </w:rPr>
              <w:t>详细需求栏</w:t>
            </w:r>
          </w:p>
        </w:tc>
      </w:tr>
      <w:tr>
        <w:trPr>
          <w:trHeight w:val="4731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说明</w:t>
            </w:r>
          </w:p>
        </w:tc>
        <w:tc>
          <w:tcPr>
            <w:tcW w:w="6862" w:type="dxa"/>
            <w:vAlign w:val="center"/>
          </w:tcPr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1.不满足资格条件的响应文件将按无效响应文件处理。</w:t>
            </w:r>
          </w:p>
          <w:p>
            <w:pPr>
              <w:spacing w:line="40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2.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详细需求栏中所有加“★”项的需求均为实质性要求，不满足实质性要求的响应文件将按无效响应文件处理。</w:t>
            </w:r>
          </w:p>
          <w:p>
            <w:pPr>
              <w:spacing w:line="40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注：本采购项目为固定单价采购模式，比价方式以各项耗材单价总和进行比价。以采购清单中实际发生量乘以供货方投标单价进行结算，总额不超过预算金额。</w:t>
            </w:r>
          </w:p>
        </w:tc>
      </w:tr>
      <w:tr>
        <w:trPr>
          <w:trHeight w:val="3568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资格条件</w:t>
            </w:r>
          </w:p>
        </w:tc>
        <w:tc>
          <w:tcPr>
            <w:tcW w:w="6862" w:type="dxa"/>
            <w:vAlign w:val="center"/>
          </w:tcPr>
          <w:p>
            <w:pPr>
              <w:spacing w:line="40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1.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具有独立承担民事责任的能力。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.具有CNAS认证资质。</w:t>
            </w:r>
          </w:p>
          <w:p>
            <w:pPr>
              <w:spacing w:line="40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工商营业执照、三合一证照中的经营范围包括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网络设备安装、调试、维护等内容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。</w:t>
            </w:r>
          </w:p>
          <w:p>
            <w:pPr>
              <w:spacing w:line="40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.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提供其他书面资质证明材料，包括工商营业执照或三合一证照复印件、法人授权书、具备独立承担本项目实施能力承诺书。</w:t>
            </w:r>
          </w:p>
        </w:tc>
      </w:tr>
      <w:tr>
        <w:trPr>
          <w:trHeight w:val="1082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★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</w:tc>
        <w:tc>
          <w:tcPr>
            <w:tcW w:w="6862" w:type="dxa"/>
          </w:tcPr>
          <w:p>
            <w:pPr>
              <w:pStyle w:val="70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一、服务内容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车辆核辐射探测门4个，行人核辐射探测门2个，智能闸机6台，红外测温仪2个，生物安全柜1个，X光机2台，CT机1台，毫米波1台，核辐射剂量仪1个，手持式核素识别仪1台，PCR快速检测仪1台，高压灭菌锅2个，核酸提取仪1个，免疫法快检设备1台,以上设备的校准维护。</w:t>
            </w:r>
          </w:p>
          <w:p>
            <w:pPr>
              <w:pStyle w:val="7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ind w:firstLine="0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二、服务要求：具有CNAS认证资质，出具CNAS认证报告。</w:t>
            </w: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其中需要实验室校准的设备及纸质报告的邮寄费用均由供应商支付。</w:t>
            </w:r>
          </w:p>
          <w:p>
            <w:pPr>
              <w:pStyle w:val="73"/>
              <w:spacing w:line="400" w:lineRule="exact"/>
              <w:rPr>
                <w:rFonts w:ascii="Nimbus Roman" w:eastAsia="方正仿宋_GBK" w:cs="Nimbus Roman" w:hAnsi="Nimbus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三、服务地点：</w:t>
            </w: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锡林郭勒盟东乌珠穆沁旗珠恩嘎达布其口岸。</w:t>
            </w:r>
          </w:p>
          <w:p>
            <w:pPr>
              <w:pStyle w:val="73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四、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支付方式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：签订合同后，供应商开具有效发票，我方收到发票后，</w:t>
            </w: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验收合格后付全款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支付。</w:t>
            </w:r>
          </w:p>
          <w:p>
            <w:pPr>
              <w:pStyle w:val="27"/>
              <w:spacing w:line="36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五、成交条件：符合采购要求且报价最低的供应商为成交供应商。成交供应商应在规定时间内与采购人签订合同。若成交供应商无正当理由放弃成交、未按时签订合同构成违约的，应向采购人书面说明，并支付违约金。违约金的计算方式为：本项目预算金额的3%，采购人有权取消其成交资格，并可按报价由低到高的顺序顺延确定下一候选供应商为成交供应商。</w:t>
            </w:r>
          </w:p>
          <w:p>
            <w:pPr>
              <w:pStyle w:val="27"/>
              <w:spacing w:line="360" w:lineRule="exact"/>
              <w:rPr>
                <w:rFonts w:ascii="Nimbus Roman" w:eastAsia="方正仿宋_GBK" w:cs="Nimbus Roman" w:hAnsi="Nimbus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六、服务方式：自合同签订之日起</w:t>
            </w:r>
            <w:r>
              <w:rPr>
                <w:rFonts w:ascii="Nimbus Roman" w:eastAsia="方正仿宋_GBK" w:cs="Nimbus Roman" w:hAnsi="Nimbus Roman"/>
                <w:sz w:val="28"/>
                <w:szCs w:val="28"/>
                <w:lang w:val="en-US" w:eastAsia="zh-CN"/>
              </w:rPr>
              <w:t>30</w:t>
            </w: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天内完成所有设备的校准服务。</w:t>
            </w:r>
          </w:p>
          <w:p>
            <w:pPr>
              <w:pStyle w:val="74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七、产品质保期：1年。</w:t>
            </w:r>
          </w:p>
        </w:tc>
      </w:tr>
      <w:tr>
        <w:trPr>
          <w:trHeight w:val="3752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</w:tc>
        <w:tc>
          <w:tcPr>
            <w:tcW w:w="6862" w:type="dxa"/>
          </w:tcPr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rPr>
          <w:trHeight w:val="2545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其他因素</w:t>
            </w:r>
          </w:p>
        </w:tc>
        <w:tc>
          <w:tcPr>
            <w:tcW w:w="6862" w:type="dxa"/>
          </w:tcPr>
          <w:p>
            <w:pPr>
              <w:pStyle w:val="69"/>
              <w:spacing w:line="400" w:lineRule="exact"/>
              <w:jc w:val="left"/>
              <w:rPr>
                <w:rFonts w:ascii="Times New Roman" w:eastAsia="方正仿宋_GBK" w:cs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cs="方正仿宋_GBK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方正仿宋_GBK" w:cs="方正仿宋_GBK" w:hAnsi="Times New Roman"/>
                <w:sz w:val="28"/>
                <w:szCs w:val="28"/>
              </w:rPr>
              <w:t>.</w:t>
            </w:r>
            <w:r>
              <w:rPr>
                <w:rFonts w:ascii="Times New Roman" w:eastAsia="方正仿宋_GBK" w:cs="方正仿宋_GBK" w:hAnsi="Times New Roman" w:hint="eastAsia"/>
                <w:sz w:val="28"/>
                <w:szCs w:val="28"/>
              </w:rPr>
              <w:t>公告期限（3个工作日）</w:t>
            </w:r>
          </w:p>
          <w:p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cs="方正仿宋_GBK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方正仿宋_GBK" w:cs="方正仿宋_GBK" w:hAnsi="Times New Roman"/>
                <w:sz w:val="28"/>
                <w:szCs w:val="28"/>
              </w:rPr>
              <w:t>.</w:t>
            </w:r>
            <w:r>
              <w:rPr>
                <w:rFonts w:ascii="Times New Roman" w:eastAsia="方正仿宋_GBK" w:cs="方正仿宋_GBK" w:hAnsi="Times New Roman" w:hint="eastAsia"/>
                <w:sz w:val="28"/>
                <w:szCs w:val="28"/>
              </w:rPr>
              <w:t>响应文件份数（</w:t>
            </w:r>
            <w:r>
              <w:rPr>
                <w:rFonts w:ascii="Times New Roman" w:eastAsia="方正仿宋_GBK" w:cs="方正仿宋_GBK" w:hAnsi="Times New Roman"/>
                <w:sz w:val="28"/>
                <w:szCs w:val="28"/>
              </w:rPr>
              <w:t>3</w:t>
            </w:r>
            <w:r>
              <w:rPr>
                <w:rFonts w:ascii="Times New Roman" w:eastAsia="方正仿宋_GBK" w:cs="方正仿宋_GBK" w:hAnsi="Times New Roman" w:hint="eastAsia"/>
                <w:sz w:val="28"/>
                <w:szCs w:val="28"/>
              </w:rPr>
              <w:t>份）</w:t>
            </w:r>
          </w:p>
        </w:tc>
      </w:tr>
    </w:tbl>
    <w:p>
      <w:pPr>
        <w:spacing w:line="560" w:lineRule="exact"/>
        <w:rPr>
          <w:rFonts w:ascii="方正仿宋_GBK" w:eastAsia="方正仿宋_GBK" w:cs="方正仿宋_GBK"/>
          <w:sz w:val="32"/>
          <w:szCs w:val="32"/>
        </w:rPr>
      </w:pPr>
    </w:p>
    <w:sectPr>
      <w:footerReference w:type="default" r:id="rId2"/>
      <w:footerReference w:type="even" r:id="rId3"/>
      <w:pgSz w:w="11906" w:h="16838"/>
      <w:pgMar w:top="1440" w:right="1800" w:bottom="1440" w:left="180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Wingdings 2">
    <w:altName w:val="方正宋体S-超大字符集(SIP)"/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Nimbus Roman">
    <w:altName w:val="Courier New"/>
    <w:panose1 w:val="00000500000000000000"/>
    <w:charset w:val="00"/>
    <w:family w:val="auto"/>
    <w:pitch w:val="variable"/>
    <w:sig w:usb0="00000287" w:usb1="00000800" w:usb2="00000000" w:usb3="00000000" w:csb0="6000009F" w:csb1="00000000"/>
  </w:font>
  <w:font w:name="宋体">
    <w:altName w:val="华文宋体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方正兰亭黑_GBK">
    <w:altName w:val="Arial Unicode MS"/>
    <w:panose1 w:val="02000000000000000000"/>
    <w:charset w:val="86"/>
    <w:family w:val="script"/>
    <w:pitch w:val="variable"/>
    <w:sig w:usb0="A00002BF" w:usb1="3ACF7CFA" w:usb2="00080016" w:usb3="00000000" w:csb0="00040001" w:csb1="00000000"/>
  </w:font>
  <w:font w:name="黑体">
    <w:altName w:val="方正黑体_GBK"/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Courier New">
    <w:altName w:val="DejaVu Sans"/>
    <w:panose1 w:val="020704090202050904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right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57"/>
      </w:rPr>
      <w:fldChar w:fldCharType="begin"/>
    </w:r>
    <w:r>
      <w:rPr>
        <w:rStyle w:val="57"/>
      </w:rPr>
      <w:instrText>Page</w:instrText>
    </w:r>
    <w:r>
      <w:rPr>
        <w:rStyle w:val="57"/>
      </w:rPr>
      <w:fldChar w:fldCharType="separate"/>
    </w:r>
    <w:r>
      <w:rPr>
        <w:rStyle w:val="57"/>
      </w:rPr>
      <w:t>1</w:t>
    </w:r>
    <w:r>
      <w:rPr>
        <w:rStyle w:val="57"/>
      </w:rPr>
      <w:fldChar w:fldCharType="end"/>
    </w:r>
  </w:p>
  <w:p>
    <w:pPr>
      <w:pStyle w:val="16"/>
      <w:tabs>
        <w:tab w:val="center" w:pos="4153"/>
        <w:tab w:val="right" w:pos="8306"/>
      </w:tabs>
      <w:ind w:right="360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right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57"/>
      </w:rPr>
      <w:fldChar w:fldCharType="begin"/>
    </w:r>
    <w:r>
      <w:rPr>
        <w:rStyle w:val="57"/>
      </w:rPr>
      <w:instrText>Page</w:instrText>
    </w:r>
    <w:r>
      <w:rPr>
        <w:rStyle w:val="57"/>
      </w:rPr>
      <w:fldChar w:fldCharType="separate"/>
    </w:r>
    <w:r>
      <w:rPr>
        <w:rStyle w:val="57"/>
      </w:rPr>
      <w:t>1</w:t>
    </w:r>
    <w:r>
      <w:rPr>
        <w:rStyle w:val="57"/>
      </w:rPr>
      <w:fldChar w:fldCharType="end"/>
    </w:r>
  </w:p>
  <w:p>
    <w:pPr>
      <w:pStyle w:val="16"/>
      <w:tabs>
        <w:tab w:val="center" w:pos="4153"/>
        <w:tab w:val="right" w:pos="8306"/>
      </w:tabs>
      <w:ind w:right="360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8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OWRlNmFjNTE0YmQzNDgwNGMxODI4OWJlYzRjMWE3MTc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index heading"/>
    <w:basedOn w:val="0"/>
    <w:rPr>
      <w:rFonts w:ascii="Arial" w:hAnsi="Arial"/>
      <w:b/>
    </w:rPr>
  </w:style>
  <w:style w:type="paragraph" w:customStyle="1" w:styleId="19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6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8 10 磅"/>
    <w:next w:val="28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6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8">
    <w:name w:val="样式 1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9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0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1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3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45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6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7">
    <w:name w:val="样式 2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8">
    <w:name w:val="样式 3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9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2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2">
    <w:name w:val="样式 2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3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styleId="57">
    <w:name w:val="page number"/>
    <w:basedOn w:val="10"/>
  </w:style>
  <w:style w:type="paragraph" w:styleId="58">
    <w:name w:val="index 5"/>
    <w:basedOn w:val="0"/>
    <w:autoRedefine/>
    <w:next w:val="0"/>
    <w:pPr>
      <w:ind w:left="1680"/>
    </w:pPr>
  </w:style>
  <w:style w:type="paragraph" w:styleId="59">
    <w:name w:val="index 8"/>
    <w:basedOn w:val="0"/>
    <w:autoRedefine/>
    <w:next w:val="0"/>
    <w:pPr>
      <w:ind w:left="2940"/>
    </w:pPr>
  </w:style>
  <w:style w:type="paragraph" w:styleId="60">
    <w:name w:val="toc 1"/>
    <w:basedOn w:val="0"/>
    <w:autoRedefine/>
    <w:next w:val="0"/>
  </w:style>
  <w:style w:type="paragraph" w:customStyle="1" w:styleId="61">
    <w:name w:val="样式 3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2">
    <w:name w:val="样式 3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3">
    <w:name w:val="样式 1 小四"/>
    <w:next w:val="58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64">
    <w:name w:val="样式 3 小四"/>
    <w:next w:val="60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65">
    <w:name w:val="样式 2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66">
    <w:name w:val="样式 4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67">
    <w:name w:val="样式 5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68">
    <w:name w:val="样式 6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69">
    <w:name w:val="样式 3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0">
    <w:name w:val="样式 7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71">
    <w:name w:val="样式 8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72">
    <w:name w:val="样式 9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73">
    <w:name w:val="样式 3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4">
    <w:name w:val="样式 10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75">
    <w:name w:val="样式 11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76">
    <w:name w:val="样式 12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styleId="77">
    <w:name w:val="macro"/>
    <w:next w:val="1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jc w:val="left"/>
    </w:pPr>
    <w:rPr>
      <w:rFonts w:ascii="Courier New" w:eastAsia="宋体" w:cs="Times New Roman" w:hAnsi="Courier New"/>
      <w:sz w:val="24"/>
      <w:szCs w:val="24"/>
      <w:lang w:val="en-US" w:eastAsia="zh-CN" w:bidi="ar-SA"/>
    </w:rPr>
  </w:style>
  <w:style w:type="paragraph" w:customStyle="1" w:styleId="78">
    <w:name w:val="样式 3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79">
    <w:name w:val="样式 13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80">
    <w:name w:val="样式 3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81">
    <w:name w:val="样式 3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720</TotalTime>
  <Application>Yozo_Office</Application>
  <Pages>3</Pages>
  <Words>876</Words>
  <Characters>901</Characters>
  <Lines>70</Lines>
  <Paragraphs>43</Paragraphs>
  <CharactersWithSpaces>901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阿牧古龙</dc:creator>
  <cp:lastModifiedBy>安国强</cp:lastModifiedBy>
  <cp:revision>2</cp:revision>
  <cp:lastPrinted>2025-07-02T10:14:00Z</cp:lastPrinted>
  <dcterms:created xsi:type="dcterms:W3CDTF">2025-05-16T10:09:00Z</dcterms:created>
  <dcterms:modified xsi:type="dcterms:W3CDTF">2026-05-29T10:58:54Z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2052-11.8.2.12065</vt:lpwstr>
  </property>
  <property fmtid="{D5CDD505-2E9C-101B-9397-08002B2CF9AE}" pid="3" name="ICV">
    <vt:lpwstr>8BFDB32D35E2409A96B744D0C7FC1FE2</vt:lpwstr>
  </property>
</Properties>
</file>