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6"/>
        <w:ind w:firstLine="0"/>
        <w:rPr>
          <w:rFonts w:ascii="Times New Roman" w:eastAsia="方正黑体_GBK" w:cs="Times New Roman" w:hAnsi="Times New Roman"/>
          <w:sz w:val="32"/>
          <w:szCs w:val="32"/>
          <w:lang w:bidi="ar-SA"/>
        </w:rPr>
      </w:pPr>
      <w:bookmarkStart w:id="0" w:name="_GoBack"/>
      <w:bookmarkEnd w:id="0"/>
      <w:r>
        <w:rPr>
          <w:rFonts w:ascii="Times New Roman" w:eastAsia="方正黑体_GBK" w:cs="Times New Roman" w:hAnsi="Times New Roman"/>
          <w:sz w:val="32"/>
          <w:szCs w:val="32"/>
          <w:lang w:bidi="ar-SA"/>
        </w:rPr>
        <w:t>附件1</w:t>
      </w:r>
    </w:p>
    <w:p>
      <w:pPr>
        <w:pStyle w:val="16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bidi="ar-SA"/>
        </w:rPr>
        <w:t>比选采购需求书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基础信息栏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项目名称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东乌海关</w:t>
            </w:r>
            <w:r>
              <w:rPr>
                <w:rFonts w:ascii="Nimbus Roman" w:eastAsia="方正仿宋_GBK" w:cs="Nimbus Roman" w:hAnsi="Nimbus Roman"/>
                <w:bCs/>
                <w:sz w:val="28"/>
                <w:szCs w:val="28"/>
              </w:rPr>
              <w:t>微小气候监测仪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设备采购项目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需求部门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中华人民共和国东乌海关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采购预算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  <w:t>13.5万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审批文件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——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经费来源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24"/>
              <w:spacing w:line="560" w:lineRule="exact"/>
              <w:jc w:val="center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财政拨款</w:t>
            </w: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评审方法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√最低价法</w:t>
            </w:r>
          </w:p>
          <w:p>
            <w:pPr>
              <w:pStyle w:val="16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sym w:font="Wingdings 2" w:char="A3"/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综合评分法（权重：价格XX%、评审因素XX%）</w:t>
            </w:r>
          </w:p>
        </w:tc>
      </w:tr>
      <w:tr>
        <w:trPr>
          <w:trHeight w:val="567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编制人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复核人</w:t>
            </w:r>
          </w:p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（科室负责人）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审核人</w:t>
            </w:r>
          </w:p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（主管关领导）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</w:p>
        </w:tc>
      </w:tr>
      <w:tr>
        <w:tc>
          <w:tcPr>
            <w:tcW w:w="90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楷体_GBK" w:cs="Times New Roman" w:hAnsi="Times New Roman"/>
                <w:sz w:val="32"/>
                <w:szCs w:val="32"/>
                <w:lang w:bidi="ar-SA"/>
              </w:rPr>
              <w:t>详细需求栏</w:t>
            </w:r>
          </w:p>
        </w:tc>
      </w:tr>
      <w:tr>
        <w:trPr>
          <w:trHeight w:val="3155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说明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1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bidi="ar-SA"/>
              </w:rPr>
              <w:t>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不满足资格条件的响应文件将按无效响应文件处理。</w:t>
            </w:r>
          </w:p>
          <w:p>
            <w:pPr>
              <w:pStyle w:val="16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2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.详细需求栏中所有加“★”项的需求均为实质性要求，不满足实质性要求的响应文件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  <w:lang w:val="en-US" w:eastAsia="zh-CN" w:bidi="ar-SA"/>
              </w:rPr>
              <w:t>将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按无效响应文件处理。</w:t>
            </w:r>
          </w:p>
        </w:tc>
      </w:tr>
      <w:tr>
        <w:trPr>
          <w:trHeight w:val="2627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资格条件</w:t>
            </w:r>
          </w:p>
        </w:tc>
        <w:tc>
          <w:tcPr>
            <w:tcW w:w="6862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、</w:t>
            </w:r>
            <w:r>
              <w:rPr>
                <w:rFonts w:ascii="Nimbus Roman" w:eastAsia="方正仿宋_GBK" w:cs="Nimbus Roman" w:hAnsi="Nimbus Roman"/>
                <w:kern w:val="2"/>
                <w:sz w:val="28"/>
                <w:szCs w:val="28"/>
              </w:rPr>
              <w:t>法人或者其他组织提供营业执照等证明文件，自然人提供身份证明；报名人出示身份证原件，提供复印件；报名人出具经法定代表人签字、公司盖章的“授权委托书”。</w:t>
            </w:r>
          </w:p>
          <w:p>
            <w:pPr>
              <w:pStyle w:val="1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2.具有独立承担民事责任的能力。</w:t>
            </w:r>
          </w:p>
          <w:p>
            <w:pPr>
              <w:pStyle w:val="1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3.具备销售该类货物应具备的相应资质。</w:t>
            </w:r>
          </w:p>
          <w:p>
            <w:pPr>
              <w:pStyle w:val="1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4.提供货物质量保证承诺书。</w:t>
            </w:r>
          </w:p>
          <w:p>
            <w:pPr>
              <w:pStyle w:val="1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5.提供相关营业执照、经办人授权等材料。</w:t>
            </w:r>
          </w:p>
          <w:p>
            <w:pPr>
              <w:pStyle w:val="1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6.三年内在经营活动中没有重大违法记录的书面证明（须有“信用中国”或“中国政府采购网”等机构查询记录）。</w:t>
            </w:r>
          </w:p>
          <w:p>
            <w:pPr>
              <w:pStyle w:val="1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 w:bidi="ar-SA"/>
              </w:rPr>
              <w:t>7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  <w:t>.能够及时提供售后服务。</w:t>
            </w:r>
          </w:p>
        </w:tc>
      </w:tr>
      <w:tr>
        <w:trPr>
          <w:trHeight w:val="1082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★</w:t>
            </w:r>
          </w:p>
          <w:p>
            <w:pPr>
              <w:pStyle w:val="16"/>
              <w:spacing w:line="400" w:lineRule="exact"/>
              <w:ind w:left="0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6"/>
              <w:spacing w:line="400" w:lineRule="exact"/>
              <w:ind w:left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一、设施设备需求：</w:t>
            </w:r>
          </w:p>
          <w:p>
            <w:pPr>
              <w:pStyle w:val="16"/>
              <w:spacing w:line="400" w:lineRule="exact"/>
              <w:ind w:left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设备名称：</w:t>
            </w:r>
            <w:r>
              <w:rPr>
                <w:rFonts w:ascii="Nimbus Roman" w:eastAsia="方正仿宋_GBK" w:cs="Nimbus Roman" w:hAnsi="Nimbus Roman"/>
                <w:bCs/>
                <w:sz w:val="28"/>
                <w:szCs w:val="28"/>
              </w:rPr>
              <w:t>微小气候监测仪</w:t>
            </w:r>
          </w:p>
          <w:p>
            <w:pPr>
              <w:pStyle w:val="30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line="560" w:lineRule="exact"/>
              <w:rPr>
                <w:rFonts w:ascii="Nimbus Roman" w:eastAsia="方正仿宋_GBK" w:cs="Nimbus Roman" w:hAnsi="Nimbus Roma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需求数量：1套</w:t>
            </w:r>
          </w:p>
          <w:p>
            <w:pPr>
              <w:pStyle w:val="16"/>
              <w:spacing w:line="400" w:lineRule="exact"/>
              <w:ind w:left="0"/>
              <w:rPr>
                <w:rFonts w:ascii="Nimbus Roman" w:eastAsia="方正仿宋_GBK" w:cs="Nimbus Roman" w:hAnsi="Nimbus Roman"/>
                <w:b/>
                <w:bCs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主要技术指标：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 xml:space="preserve">微小气候监测仪采用一体化设计，集成CO2、CO、甲醛、可吸入颗粒物（PM2.5和PM10）、温度、湿度、风速、噪声、照度、可燃气体、烟雾等于一体；系统模块化设计，便于维护和升级扩容。  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微小气候监测仪可单独工作，也可组成监测网络，多台监测仪的数据可通过云平台，在服务器端同时显示。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能够显示所有探测器的名称、测量数值、实时曲线、实时报表。软件具有报警提示功能，采用声光的形式报警，可设置和修改各个探测器报警阈值，自动存储报警记录，报警记录可按日期进行查询。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安装方式:固定式、半固定式、移动式。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数据传输方式:以太网、4G、WIFI。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显示屏:7寸彩色，电容触摸屏，可通过仪器界面直接进行仪器操控。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工作环境:0-50</w:t>
            </w:r>
            <w:r>
              <w:rPr>
                <w:rFonts w:ascii="Times New Roman" w:eastAsia="方正仿宋_GBK" w:cs="Nimbus Roman" w:hAnsi="Times New Roman" w:hint="eastAsia"/>
                <w:sz w:val="28"/>
                <w:szCs w:val="28"/>
                <w:lang w:eastAsia="zh-CN"/>
              </w:rPr>
              <w:t>℃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/5-95%非凝露。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 xml:space="preserve">工作电压:AC200-250V、50/60HZ。 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内置可充电锂电池和外接交流电供电方式，如果外电源断开后，内置电池可供仪器工作不小于8小时上。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功率：≤12W。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重量：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>≤2.5Kg。</w:t>
            </w:r>
          </w:p>
          <w:p>
            <w:pPr>
              <w:pStyle w:val="16"/>
              <w:numPr>
                <w:ilvl w:val="0"/>
                <w:numId w:val="1"/>
              </w:numPr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尺寸：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eastAsia="zh-CN"/>
              </w:rPr>
              <w:t xml:space="preserve">≤308mm×218mm×48mm(L×W×H)。 </w:t>
            </w:r>
          </w:p>
          <w:p>
            <w:pPr>
              <w:pStyle w:val="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firstLine="0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二、服务要求：上门安装调试、质量三包、售后退换、应急响应。</w:t>
            </w:r>
          </w:p>
          <w:p>
            <w:pPr>
              <w:pStyle w:val="2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三、供货地点：锡林郭勒盟东乌珠穆沁旗珠恩嘎达布其口岸。</w:t>
            </w:r>
          </w:p>
          <w:p>
            <w:pPr>
              <w:pStyle w:val="26"/>
              <w:spacing w:line="40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四、支付方式：验收合格后付全款，采购方付款前需要供货方开具发票等结算材料。</w:t>
            </w:r>
          </w:p>
          <w:p>
            <w:pPr>
              <w:pStyle w:val="17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五、成交条件：符合采购要求且报价最低的供应商为成交供应商。成交供应商应在规定时间内与采购人签订合同。若成交供应商无正当理由放弃成交、未按时签订合同构成违约的，应向采购人书面说明，并支付违约金。违约金的计算方式为：本项目预算金额的3%，采购人有权取消其成交资格，并可按报价由低到高的顺序顺延确定下一候选供应商为成交供应商。</w:t>
            </w:r>
          </w:p>
          <w:p>
            <w:pPr>
              <w:pStyle w:val="17"/>
              <w:spacing w:line="360" w:lineRule="exac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六、供货方式：自合同签订之日起</w:t>
            </w:r>
            <w:r>
              <w:rPr>
                <w:rFonts w:ascii="Nimbus Roman" w:eastAsia="方正仿宋_GBK" w:cs="Nimbus Roman" w:hAnsi="Nimbus Roman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天交货。</w:t>
            </w:r>
          </w:p>
          <w:p>
            <w:pPr>
              <w:pStyle w:val="18"/>
              <w:spacing w:line="360" w:lineRule="exact"/>
              <w:ind w:left="0"/>
              <w:rPr>
                <w:rFonts w:ascii="Nimbus Roman" w:cs="Nimbus Roman" w:hAnsi="Nimbus Roma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七、产品质保期：不低于1年。</w:t>
            </w:r>
          </w:p>
        </w:tc>
      </w:tr>
      <w:tr>
        <w:trPr>
          <w:trHeight w:val="3753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评审因素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6"/>
              <w:spacing w:line="56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  <w:lang w:bidi="ar-SA"/>
              </w:rPr>
            </w:pPr>
          </w:p>
        </w:tc>
      </w:tr>
      <w:tr>
        <w:trPr>
          <w:trHeight w:val="2545"/>
        </w:trPr>
        <w:tc>
          <w:tcPr>
            <w:tcW w:w="2198" w:type="dxa"/>
            <w:tcBorders>
              <w:tl2br w:val="nil"/>
              <w:tr2bl w:val="nil"/>
            </w:tcBorders>
            <w:vAlign w:val="center"/>
          </w:tcPr>
          <w:p>
            <w:pPr>
              <w:pStyle w:val="16"/>
              <w:spacing w:line="560" w:lineRule="exact"/>
              <w:jc w:val="center"/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  <w:lang w:bidi="ar-SA"/>
              </w:rPr>
              <w:t>其他因素</w:t>
            </w:r>
          </w:p>
        </w:tc>
        <w:tc>
          <w:tcPr>
            <w:tcW w:w="6862" w:type="dxa"/>
            <w:tcBorders>
              <w:tl2br w:val="nil"/>
              <w:tr2bl w:val="nil"/>
            </w:tcBorders>
          </w:tcPr>
          <w:p>
            <w:pPr>
              <w:pStyle w:val="16"/>
              <w:spacing w:line="400" w:lineRule="exact"/>
              <w:jc w:val="left"/>
              <w:rPr>
                <w:rFonts w:ascii="Nimbus Roman" w:eastAsia="方正仿宋_GBK" w:cs="Nimbus Roman" w:hAnsi="Nimbus Roman"/>
                <w:sz w:val="28"/>
                <w:szCs w:val="28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1、公告期限（3个工作日）</w:t>
            </w:r>
          </w:p>
          <w:p>
            <w:pPr>
              <w:pStyle w:val="16"/>
              <w:spacing w:line="400" w:lineRule="exact"/>
              <w:jc w:val="left"/>
              <w:rPr>
                <w:rFonts w:ascii="Nimbus Roman" w:cs="Nimbus Roman" w:hAnsi="Nimbus Roman"/>
              </w:rPr>
            </w:pPr>
            <w:r>
              <w:rPr>
                <w:rFonts w:ascii="Nimbus Roman" w:eastAsia="方正仿宋_GBK" w:cs="Nimbus Roman" w:hAnsi="Nimbus Roman"/>
                <w:sz w:val="28"/>
                <w:szCs w:val="28"/>
              </w:rPr>
              <w:t>2、响应文件份数（2份）</w:t>
            </w:r>
          </w:p>
        </w:tc>
      </w:tr>
    </w:tbl>
    <w:p>
      <w:pPr>
        <w:pStyle w:val="16"/>
        <w:spacing w:line="240" w:lineRule="auto"/>
        <w:rPr>
          <w:rFonts w:ascii="Times New Roman" w:eastAsia="方正仿宋_GBK" w:cs="Times New Roman" w:hAnsi="Times New Roman"/>
          <w:sz w:val="32"/>
          <w:szCs w:val="32"/>
          <w:lang w:bidi="ar-SA"/>
        </w:rPr>
      </w:pP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altName w:val="阳光吾坚体"/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Nimbus Roman">
    <w:altName w:val="Courier New"/>
    <w:panose1 w:val="00000500000000000000"/>
    <w:charset w:val="00"/>
    <w:family w:val="auto"/>
    <w:pitch w:val="variable"/>
    <w:sig w:usb0="00000287" w:usb1="00000800" w:usb2="00000000" w:usb3="00000000" w:csb0="6000009F" w:csb1="00000000"/>
  </w:font>
  <w:font w:name="Wingdings 2">
    <w:altName w:val="DejaVu Sans"/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宋体">
    <w:altName w:val="华文宋体"/>
    <w:panose1 w:val="02010600030101010101"/>
    <w:charset w:val="34"/>
    <w:family w:val="auto"/>
    <w:pitch w:val="variable"/>
    <w:sig w:usb0="00000203" w:usb1="288F0000" w:usb2="0000000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B4C6AB9E"/>
    <w:multiLevelType w:val="singleLevel"/>
    <w:tmpl w:val="B4C6AB9E"/>
    <w:lvl w:ilvl="0">
      <w:start w:val="1"/>
      <w:numFmt w:val="decimal"/>
      <w:lvlRestart w:val="0"/>
      <w:suff w:val="nothing"/>
      <w:lvlText w:val="%1、"/>
      <w:lvlJc w:val="left"/>
      <w:pPr>
        <w:ind w:left="0" w:hanging="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8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16">
    <w:name w:val="样式 18 10 磅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7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9">
    <w:name w:val="List Continue 3"/>
    <w:basedOn w:val="0"/>
    <w:pPr>
      <w:spacing w:after="120"/>
      <w:ind w:left="1260"/>
    </w:pPr>
  </w:style>
  <w:style w:type="paragraph" w:styleId="20">
    <w:name w:val="List Continue 4"/>
    <w:basedOn w:val="0"/>
    <w:pPr>
      <w:spacing w:after="120"/>
      <w:ind w:left="1680"/>
    </w:pPr>
  </w:style>
  <w:style w:type="paragraph" w:styleId="21">
    <w:name w:val="List Continue 5"/>
    <w:basedOn w:val="0"/>
    <w:pPr>
      <w:spacing w:after="120"/>
      <w:ind w:left="2100"/>
    </w:pPr>
  </w:style>
  <w:style w:type="paragraph" w:customStyle="1" w:styleId="22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小四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customStyle="1" w:styleId="31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180</TotalTime>
  <Application>Yozo_Office</Application>
  <Pages>4</Pages>
  <Words>1154</Words>
  <Characters>1244</Characters>
  <Lines>72</Lines>
  <Paragraphs>60</Paragraphs>
  <CharactersWithSpaces>1248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wangdong</dc:creator>
  <cp:lastModifiedBy>安国强</cp:lastModifiedBy>
  <cp:revision>0</cp:revision>
  <dcterms:created xsi:type="dcterms:W3CDTF">2026-04-13T03:33:00Z</dcterms:created>
  <dcterms:modified xsi:type="dcterms:W3CDTF">2026-05-29T11:01:39Z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eyJoZGlkIjoiYzdiOWIxNmIwYTBiODI2NzlkZjI1MzgzMmQ3YWExYzUiLCJ1c2VySWQiOiI3NzMwMiJ9</vt:lpwstr>
  </property>
  <property fmtid="{D5CDD505-2E9C-101B-9397-08002B2CF9AE}" pid="4" name="ICV">
    <vt:lpwstr>095A75B494F44005AF1EE4E9B0A92696_12</vt:lpwstr>
  </property>
</Properties>
</file>