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比选采购需求书（B版）</w:t>
      </w:r>
    </w:p>
    <w:tbl>
      <w:tblPr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6727"/>
      </w:tblGrid>
      <w:t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72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  <w:lang w:val="en-US" w:eastAsia="zh-CN"/>
              </w:rPr>
              <w:t>二连海关技术中心实验室所需气体</w:t>
            </w:r>
            <w:r>
              <w:rPr>
                <w:rFonts w:ascii="方正仿宋_GBK" w:eastAsia="方正仿宋_GBK" w:cs="方正仿宋_GBK"/>
                <w:sz w:val="32"/>
                <w:szCs w:val="32"/>
              </w:rPr>
              <w:t>采购项目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72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59220元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727" w:type="dxa"/>
            <w:vAlign w:val="center"/>
          </w:tcPr>
          <w:p>
            <w:pPr>
              <w:pStyle w:val="26"/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F052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综合评分法（权重：价格XX%、评审因素XX%）</w:t>
            </w:r>
          </w:p>
        </w:tc>
      </w:tr>
      <w:t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2000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727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 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 xml:space="preserve">详细需求栏中所有加“★”项的需求均为实质性要求，不满足实质性要求的响应文件将按无效响应文件处理。 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注：本采购项目为固定单价采购模式，比价方式以各项试剂单价总和进行比价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。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以采购清单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中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实际发生量乘以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供货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方投标单价进行结算，总额不超过预算资金。</w:t>
            </w:r>
          </w:p>
        </w:tc>
      </w:tr>
      <w:tr>
        <w:trPr>
          <w:trHeight w:val="3568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</w:t>
            </w:r>
          </w:p>
        </w:tc>
        <w:tc>
          <w:tcPr>
            <w:tcW w:w="6727" w:type="dxa"/>
            <w:vAlign w:val="center"/>
          </w:tcPr>
          <w:p>
            <w:pPr>
              <w:pStyle w:val="43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具有独立承担民事责任的能力。</w:t>
            </w:r>
          </w:p>
          <w:p>
            <w:pPr>
              <w:spacing w:line="360" w:lineRule="exact"/>
              <w:ind w:firstLineChars="200" w:firstLine="772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供应商须提供以下材料：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供应商、生产商有效期内营业执照（经营范围含气体生产、销售、充装，涉及危化品需明确品类）。供应商、生产商无重大违法记录、无安全事故。涉及易燃易爆有毒腐蚀性气体须提供危险化学品经营许可证，气体充装单位须有有效期内的《气体充装许可证》，危险货物道路运输经营许可证（供应商自有运输或委托运输协议+第三方运输资质（含押运员、驾驶员从业资格证）、其他法律法规规定须具备的生产、经营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、销售、招标等相关资质条件。</w:t>
            </w:r>
          </w:p>
          <w:p>
            <w:pPr>
              <w:spacing w:line="360" w:lineRule="exact"/>
              <w:ind w:firstLineChars="200" w:firstLine="772"/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3.产品与质量证明：提供气瓶制造许可证、定期检验合格证（瓶身标注有效期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，严禁使用超期未检/报废瓶）气体质量检测报告（高纯气体须第三方检测，标注纯度、杂质含量），必要时提供溯源证明。气瓶须有合格证、充装记录、警示标签、安全技术说明书（SDS），高纯气须用专用瓶，无混装记录，必要时提供清洁/干燥证明。 </w:t>
            </w:r>
          </w:p>
        </w:tc>
      </w:tr>
      <w:tr>
        <w:trPr>
          <w:trHeight w:val="5213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、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</w:t>
            </w:r>
          </w:p>
        </w:tc>
        <w:tc>
          <w:tcPr>
            <w:tcW w:w="6727" w:type="dxa"/>
          </w:tcPr>
          <w:p>
            <w:pPr>
              <w:pStyle w:val="44"/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一、检测试剂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采购需求：</w:t>
            </w:r>
          </w:p>
          <w:p>
            <w:pPr>
              <w:pStyle w:val="44"/>
              <w:spacing w:line="360" w:lineRule="exact"/>
              <w:ind w:firstLineChars="200" w:firstLine="772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采购的高纯气体种类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见附表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，供应的气体技术要求应能不低于附表备注中的品质要求。</w:t>
            </w:r>
          </w:p>
          <w:p>
            <w:pPr>
              <w:pStyle w:val="44"/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二、付款条件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：</w:t>
            </w:r>
          </w:p>
          <w:p>
            <w:pPr>
              <w:pStyle w:val="44"/>
              <w:spacing w:line="360" w:lineRule="exact"/>
              <w:ind w:firstLineChars="200" w:firstLine="772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验收合格后，以实际供货数量为准结算，在试剂耗材交货并经采购方验收合格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后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一个月内付该批次全款，采购方付款前需要供货方开具发票、收据等结算材料。</w:t>
            </w:r>
          </w:p>
          <w:p>
            <w:pPr>
              <w:pStyle w:val="44"/>
              <w:spacing w:line="360" w:lineRule="exact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三、供货方式：</w:t>
            </w:r>
          </w:p>
          <w:p>
            <w:pPr>
              <w:spacing w:line="360" w:lineRule="exact"/>
              <w:ind w:firstLineChars="200" w:firstLine="772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合同签订后，按采购方每批计划和供货通知的要求，供货方必须按照服务承诺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及时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将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气体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运至采购方指定地点，由采购方负责验收。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相应费用由供货方承担。如收到的试剂易耗品不满足使用需求，需退换成符合要求的试剂易耗品，期间退换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费用由供货方承担。</w:t>
            </w:r>
          </w:p>
          <w:p>
            <w:pPr>
              <w:pStyle w:val="187"/>
              <w:spacing w:line="360" w:lineRule="exact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四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化矿室专用气体特殊要求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：</w:t>
            </w:r>
          </w:p>
          <w:p>
            <w:pPr>
              <w:pStyle w:val="188"/>
              <w:spacing w:line="240" w:lineRule="exact"/>
              <w:jc w:val="left"/>
              <w:rPr>
                <w:rFonts w:ascii="仿宋" w:eastAsia="仿宋" w:cs="仿宋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附表中3-7为化矿室专用气体，需满足以下要求：</w:t>
            </w:r>
          </w:p>
          <w:p>
            <w:pPr>
              <w:spacing w:line="360" w:lineRule="exact"/>
              <w:ind w:firstLineChars="200" w:firstLine="772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供货数量限制：因需求方实验室气瓶室空间条件限制，各类气体单次上限如下：氧气≤5瓶，乙炔≤2瓶，氩气≤2瓶，氮气≤2瓶，氩甲烷≤2瓶。供应方须严格按照需求方实际需求量配送气体，严禁超量配送或不足量配送。</w:t>
            </w:r>
          </w:p>
          <w:p>
            <w:pPr>
              <w:spacing w:line="360" w:lineRule="exact"/>
              <w:ind w:firstLineChars="200" w:firstLine="772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2.配送及服务要求：供应方在接到需求方送气通知电话后，须于6小时内完成送气上门服务，并负责将新气瓶与实验室气路系统连接调试到位；同时，当日需将气瓶室内的空瓶全部清运离场，不得在现场滞留。</w:t>
            </w:r>
          </w:p>
          <w:p>
            <w:pPr>
              <w:spacing w:line="360" w:lineRule="exact"/>
              <w:ind w:firstLineChars="200" w:firstLine="772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3.质量保障及售后：供应方配送的气体气瓶若存在漏气等质量问题，须为需求方免费更换合格气瓶，且相关更换产生的人工、运输等费用由供应方自行承担。</w:t>
            </w:r>
          </w:p>
          <w:p>
            <w:pPr>
              <w:spacing w:line="360" w:lineRule="exact"/>
              <w:ind w:firstLineChars="200" w:firstLine="772"/>
              <w:rPr>
                <w:rStyle w:val="39Char"/>
                <w:rFonts w:ascii="Times New Roman" w:eastAsia="方正仿宋_GBK" w:cs="Times New Roman" w:hAnsi="Times New Roman" w:hint="eastAsia"/>
                <w:sz w:val="28"/>
                <w:szCs w:val="28"/>
              </w:rPr>
            </w:pPr>
          </w:p>
        </w:tc>
      </w:tr>
      <w:tr>
        <w:trPr>
          <w:trHeight w:val="699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72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评审方法按照最低价法</w:t>
            </w:r>
          </w:p>
        </w:tc>
      </w:tr>
    </w:tbl>
    <w:p>
      <w:pPr>
        <w:jc w:val="left"/>
      </w:pPr>
    </w:p>
    <w:p>
      <w:pPr>
        <w:jc w:val="left"/>
      </w:pPr>
      <w:r>
        <w:rPr>
          <w:rFonts w:hint="eastAsia"/>
        </w:rPr>
        <w:t>附表：</w:t>
      </w: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13"/>
        <w:gridCol w:w="1727"/>
        <w:gridCol w:w="942"/>
        <w:gridCol w:w="1099"/>
        <w:gridCol w:w="3301"/>
      </w:tblGrid>
      <w:tr>
        <w:tc>
          <w:tcPr>
            <w:tcW w:w="804" w:type="dxa"/>
            <w:vAlign w:val="center"/>
          </w:tcPr>
          <w:p>
            <w:pPr>
              <w:pStyle w:val="209"/>
              <w:spacing w:line="240" w:lineRule="exact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序号</w:t>
            </w:r>
          </w:p>
        </w:tc>
        <w:tc>
          <w:tcPr>
            <w:tcW w:w="1413" w:type="dxa"/>
            <w:vAlign w:val="center"/>
          </w:tcPr>
          <w:p>
            <w:pPr>
              <w:pStyle w:val="210"/>
              <w:spacing w:line="240" w:lineRule="exact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货物名称</w:t>
            </w:r>
          </w:p>
        </w:tc>
        <w:tc>
          <w:tcPr>
            <w:tcW w:w="1727" w:type="dxa"/>
            <w:vAlign w:val="center"/>
          </w:tcPr>
          <w:p>
            <w:pPr>
              <w:pStyle w:val="211"/>
              <w:spacing w:line="240" w:lineRule="exact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规格</w:t>
            </w:r>
          </w:p>
        </w:tc>
        <w:tc>
          <w:tcPr>
            <w:tcW w:w="942" w:type="dxa"/>
            <w:vAlign w:val="center"/>
          </w:tcPr>
          <w:p>
            <w:pPr>
              <w:pStyle w:val="212"/>
              <w:spacing w:line="240" w:lineRule="exact"/>
              <w:jc w:val="center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数量</w:t>
            </w:r>
          </w:p>
        </w:tc>
        <w:tc>
          <w:tcPr>
            <w:tcW w:w="1099" w:type="dxa"/>
            <w:vAlign w:val="center"/>
          </w:tcPr>
          <w:p>
            <w:pPr>
              <w:pStyle w:val="213"/>
              <w:spacing w:line="240" w:lineRule="exact"/>
              <w:jc w:val="center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单位</w:t>
            </w:r>
          </w:p>
        </w:tc>
        <w:tc>
          <w:tcPr>
            <w:tcW w:w="3301" w:type="dxa"/>
            <w:vAlign w:val="center"/>
          </w:tcPr>
          <w:p>
            <w:pPr>
              <w:pStyle w:val="214"/>
              <w:spacing w:line="240" w:lineRule="exact"/>
              <w:jc w:val="left"/>
              <w:rPr>
                <w:rFonts w:ascii="Times New Roman" w:eastAsia="仿宋_GB2312" w:cs="Times New Roman" w:hAnsi="Times New Roman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2"/>
              </w:rPr>
              <w:t>备注</w:t>
            </w:r>
          </w:p>
        </w:tc>
      </w:tr>
      <w:tr>
        <w:trPr>
          <w:trHeight w:val="569"/>
        </w:trPr>
        <w:tc>
          <w:tcPr>
            <w:tcW w:w="804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1</w:t>
            </w:r>
          </w:p>
        </w:tc>
        <w:tc>
          <w:tcPr>
            <w:tcW w:w="1413" w:type="dxa"/>
            <w:vAlign w:val="center"/>
          </w:tcPr>
          <w:p>
            <w:pPr>
              <w:pStyle w:val="215"/>
              <w:rPr>
                <w:rFonts w:ascii="Times New Roman" w:eastAsia="宋体" w:cs="Times New Roman" w:hAnsi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氧气</w:t>
            </w:r>
          </w:p>
        </w:tc>
        <w:tc>
          <w:tcPr>
            <w:tcW w:w="1727" w:type="dxa"/>
            <w:vAlign w:val="center"/>
          </w:tcPr>
          <w:p>
            <w:pPr>
              <w:pStyle w:val="216"/>
              <w:rPr>
                <w:rFonts w:ascii="Times New Roman" w:cs="Times New Roman" w:hAnsi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99.9%</w:t>
            </w:r>
          </w:p>
        </w:tc>
        <w:tc>
          <w:tcPr>
            <w:tcW w:w="942" w:type="dxa"/>
            <w:vAlign w:val="center"/>
          </w:tcPr>
          <w:p>
            <w:pPr>
              <w:pStyle w:val="217"/>
              <w:rPr>
                <w:rFonts w:ascii="Times New Roman" w:eastAsia="Times New Roman" w:cs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99" w:type="dxa"/>
            <w:vAlign w:val="center"/>
          </w:tcPr>
          <w:p>
            <w:pPr>
              <w:pStyle w:val="218"/>
              <w:rPr>
                <w:rFonts w:ascii="Times New Roman" w:eastAsia="宋体" w:cs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18"/>
                <w:szCs w:val="18"/>
              </w:rPr>
              <w:t>瓶</w:t>
            </w:r>
          </w:p>
        </w:tc>
        <w:tc>
          <w:tcPr>
            <w:tcW w:w="3301" w:type="dxa"/>
            <w:vMerge w:val="restart"/>
          </w:tcPr>
          <w:p>
            <w:pPr>
              <w:pStyle w:val="248"/>
              <w:spacing w:line="240" w:lineRule="exact"/>
              <w:jc w:val="left"/>
              <w:rPr>
                <w:rFonts w:ascii="Times New Roman" w:eastAsia="仿宋_GB2312" w:cs="Times New Roman" w:hAnsi="Times New Roman" w:hint="eastAsia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1.供货数量限制：因需求方实验室气瓶室空间条件限制，各类气体单次上限如下：氧气</w:t>
            </w:r>
            <w:r>
              <w:rPr>
                <w:rFonts w:ascii="Times New Roman" w:eastAsia="仿宋_GB2312" w:cs="Times New Roman" w:hAnsi="Times New Roman" w:hint="eastAsia"/>
                <w:sz w:val="18"/>
                <w:szCs w:val="18"/>
              </w:rPr>
              <w:t>≤5瓶，乙炔≤2瓶，氩气≤2瓶，氮气≤</w:t>
            </w: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2瓶，氩甲烷</w:t>
            </w:r>
            <w:r>
              <w:rPr>
                <w:rFonts w:ascii="Times New Roman" w:eastAsia="仿宋_GB2312" w:cs="Times New Roman" w:hAnsi="Times New Roman" w:hint="eastAsia"/>
                <w:sz w:val="18"/>
                <w:szCs w:val="18"/>
              </w:rPr>
              <w:t>≤2瓶。供应方须严格按照需求方实际需求量配送气体，严禁超量配送或不足量配送。</w:t>
            </w:r>
          </w:p>
          <w:p>
            <w:pPr>
              <w:pStyle w:val="248"/>
              <w:spacing w:line="240" w:lineRule="exact"/>
              <w:jc w:val="left"/>
              <w:rPr>
                <w:rFonts w:ascii="Times New Roman" w:eastAsia="仿宋_GB2312" w:cs="Times New Roman" w:hAnsi="Times New Roman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 w:hint="eastAsia"/>
                <w:sz w:val="18"/>
                <w:szCs w:val="18"/>
              </w:rPr>
              <w:t>2.</w:t>
            </w: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配送及服务要求：供应方在接到需求方送气通知电话后，须于6小时内完成送气上门服务，并负责将新气瓶与实验室气路系统连接调试到位；同时，当日需将气瓶室内的空瓶全部清运离场，不得在现场滞留。</w:t>
            </w:r>
          </w:p>
          <w:p>
            <w:pPr>
              <w:pStyle w:val="248"/>
              <w:spacing w:line="240" w:lineRule="exact"/>
              <w:jc w:val="left"/>
              <w:rPr>
                <w:rFonts w:ascii="Times New Roman" w:eastAsia="仿宋_GB2312" w:cs="Times New Roman" w:hAnsi="Times New Roman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3.质量保障及售后：供应方配送的气体气瓶若存在漏气等质量问题，须为需求方免费更换合格气瓶，且相关更换产生的人工、运输等费用由供应方自行承担。</w:t>
            </w:r>
          </w:p>
          <w:p>
            <w:pPr>
              <w:pStyle w:val="24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</w:tc>
      </w:tr>
      <w:tr>
        <w:trPr>
          <w:trHeight w:val="569"/>
        </w:trPr>
        <w:tc>
          <w:tcPr>
            <w:tcW w:w="804" w:type="dxa"/>
            <w:vAlign w:val="center"/>
          </w:tcPr>
          <w:p>
            <w:pPr>
              <w:pStyle w:val="219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2</w:t>
            </w:r>
          </w:p>
        </w:tc>
        <w:tc>
          <w:tcPr>
            <w:tcW w:w="1413" w:type="dxa"/>
            <w:vAlign w:val="center"/>
          </w:tcPr>
          <w:p>
            <w:pPr>
              <w:pStyle w:val="220"/>
              <w:rPr>
                <w:rFonts w:ascii="Times New Roman" w:eastAsia="宋体" w:cs="Times New Roman" w:hAnsi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乙炔</w:t>
            </w:r>
          </w:p>
        </w:tc>
        <w:tc>
          <w:tcPr>
            <w:tcW w:w="1727" w:type="dxa"/>
            <w:vAlign w:val="center"/>
          </w:tcPr>
          <w:p>
            <w:pPr>
              <w:pStyle w:val="221"/>
              <w:rPr>
                <w:rFonts w:ascii="Times New Roman" w:eastAsia="宋体" w:cs="Times New Roman" w:hAnsi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99.5%</w:t>
            </w:r>
          </w:p>
        </w:tc>
        <w:tc>
          <w:tcPr>
            <w:tcW w:w="942" w:type="dxa"/>
            <w:vAlign w:val="center"/>
          </w:tcPr>
          <w:p>
            <w:pPr>
              <w:pStyle w:val="222"/>
              <w:rPr>
                <w:rFonts w:ascii="Times New Roman" w:eastAsia="Calibri" w:cs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cs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Times New Roman" w:eastAsia="宋体" w:cs="Times New Roman" w:hAnsi="Times New Roman"/>
                <w:color w:val="000000"/>
                <w:sz w:val="18"/>
                <w:szCs w:val="18"/>
              </w:rPr>
              <w:t>瓶</w:t>
            </w:r>
          </w:p>
        </w:tc>
        <w:tc>
          <w:tcPr>
            <w:tcW w:w="3301" w:type="dxa"/>
            <w:vMerge/>
          </w:tcPr>
          <w:p/>
        </w:tc>
      </w:tr>
      <w:tr>
        <w:trPr>
          <w:trHeight w:val="569"/>
        </w:trPr>
        <w:tc>
          <w:tcPr>
            <w:tcW w:w="804" w:type="dxa"/>
            <w:vAlign w:val="center"/>
          </w:tcPr>
          <w:p>
            <w:pPr>
              <w:pStyle w:val="223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3</w:t>
            </w:r>
          </w:p>
        </w:tc>
        <w:tc>
          <w:tcPr>
            <w:tcW w:w="1413" w:type="dxa"/>
            <w:vAlign w:val="center"/>
          </w:tcPr>
          <w:p>
            <w:pPr>
              <w:pStyle w:val="224"/>
              <w:rPr>
                <w:rFonts w:ascii="Times New Roman" w:eastAsia="宋体" w:cs="Times New Roman" w:hAnsi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氮气</w:t>
            </w:r>
          </w:p>
        </w:tc>
        <w:tc>
          <w:tcPr>
            <w:tcW w:w="1727" w:type="dxa"/>
            <w:vAlign w:val="center"/>
          </w:tcPr>
          <w:p>
            <w:pPr>
              <w:pStyle w:val="225"/>
              <w:rPr>
                <w:rFonts w:ascii="Times New Roman" w:eastAsia="宋体" w:cs="Times New Roman" w:hAnsi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99.5%</w:t>
            </w:r>
          </w:p>
        </w:tc>
        <w:tc>
          <w:tcPr>
            <w:tcW w:w="942" w:type="dxa"/>
            <w:vAlign w:val="center"/>
          </w:tcPr>
          <w:p>
            <w:pPr>
              <w:pStyle w:val="226"/>
              <w:rPr>
                <w:rFonts w:ascii="Times New Roman" w:eastAsia="Times New Roman" w:cs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Times New Roman" w:eastAsia="宋体" w:cs="Times New Roman" w:hAnsi="Times New Roman"/>
                <w:color w:val="000000"/>
                <w:sz w:val="18"/>
                <w:szCs w:val="18"/>
              </w:rPr>
              <w:t>瓶</w:t>
            </w:r>
          </w:p>
        </w:tc>
        <w:tc>
          <w:tcPr>
            <w:tcW w:w="3301" w:type="dxa"/>
            <w:vMerge/>
          </w:tcPr>
          <w:p/>
        </w:tc>
      </w:tr>
      <w:tr>
        <w:trPr>
          <w:trHeight w:val="569"/>
        </w:trPr>
        <w:tc>
          <w:tcPr>
            <w:tcW w:w="804" w:type="dxa"/>
            <w:vAlign w:val="center"/>
          </w:tcPr>
          <w:p>
            <w:pPr>
              <w:pStyle w:val="227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4</w:t>
            </w:r>
          </w:p>
        </w:tc>
        <w:tc>
          <w:tcPr>
            <w:tcW w:w="1413" w:type="dxa"/>
            <w:vAlign w:val="center"/>
          </w:tcPr>
          <w:p>
            <w:pPr>
              <w:pStyle w:val="228"/>
              <w:rPr>
                <w:rFonts w:ascii="Times New Roman" w:eastAsia="仿宋_GB2312" w:cs="Times New Roman" w:hAnsi="Times New Roman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氩气</w:t>
            </w:r>
          </w:p>
        </w:tc>
        <w:tc>
          <w:tcPr>
            <w:tcW w:w="1727" w:type="dxa"/>
            <w:vAlign w:val="center"/>
          </w:tcPr>
          <w:p>
            <w:pPr>
              <w:pStyle w:val="229"/>
              <w:rPr>
                <w:rFonts w:ascii="Times New Roman" w:eastAsia="仿宋_GB2312" w:cs="Times New Roman" w:hAnsi="Times New Roman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99.9%</w:t>
            </w:r>
          </w:p>
        </w:tc>
        <w:tc>
          <w:tcPr>
            <w:tcW w:w="942" w:type="dxa"/>
            <w:vAlign w:val="center"/>
          </w:tcPr>
          <w:p>
            <w:pPr>
              <w:pStyle w:val="230"/>
              <w:rPr>
                <w:rFonts w:ascii="Times New Roman" w:eastAsia="Calibri" w:cs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cs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Times New Roman" w:eastAsia="宋体" w:cs="Times New Roman" w:hAnsi="Times New Roman"/>
                <w:color w:val="000000"/>
                <w:sz w:val="18"/>
                <w:szCs w:val="18"/>
              </w:rPr>
              <w:t>瓶</w:t>
            </w:r>
          </w:p>
        </w:tc>
        <w:tc>
          <w:tcPr>
            <w:tcW w:w="3301" w:type="dxa"/>
            <w:vMerge/>
          </w:tcPr>
          <w:p/>
        </w:tc>
      </w:tr>
      <w:tr>
        <w:trPr>
          <w:trHeight w:val="2309"/>
        </w:trPr>
        <w:tc>
          <w:tcPr>
            <w:tcW w:w="804" w:type="dxa"/>
            <w:vAlign w:val="center"/>
          </w:tcPr>
          <w:p>
            <w:pPr>
              <w:pStyle w:val="231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5</w:t>
            </w:r>
          </w:p>
        </w:tc>
        <w:tc>
          <w:tcPr>
            <w:tcW w:w="1413" w:type="dxa"/>
            <w:vAlign w:val="center"/>
          </w:tcPr>
          <w:p>
            <w:pPr>
              <w:pStyle w:val="232"/>
              <w:rPr>
                <w:rFonts w:ascii="Times New Roman" w:eastAsia="宋体" w:cs="Times New Roman" w:hAnsi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氩甲烷</w:t>
            </w:r>
          </w:p>
        </w:tc>
        <w:tc>
          <w:tcPr>
            <w:tcW w:w="1727" w:type="dxa"/>
            <w:vAlign w:val="center"/>
          </w:tcPr>
          <w:p>
            <w:pPr>
              <w:pStyle w:val="233"/>
              <w:rPr>
                <w:rFonts w:ascii="Times New Roman" w:eastAsia="宋体" w:cs="Times New Roman" w:hAnsi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甲烷浓度10%（大连大特气体有限公司）</w:t>
            </w:r>
          </w:p>
        </w:tc>
        <w:tc>
          <w:tcPr>
            <w:tcW w:w="942" w:type="dxa"/>
            <w:vAlign w:val="center"/>
          </w:tcPr>
          <w:p>
            <w:pPr>
              <w:pStyle w:val="234"/>
              <w:rPr>
                <w:rFonts w:ascii="Times New Roman" w:eastAsia="Calibri" w:cs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cs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Times New Roman" w:eastAsia="宋体" w:cs="Times New Roman" w:hAnsi="Times New Roman"/>
                <w:color w:val="000000"/>
                <w:sz w:val="18"/>
                <w:szCs w:val="18"/>
              </w:rPr>
              <w:t>瓶</w:t>
            </w:r>
          </w:p>
        </w:tc>
        <w:tc>
          <w:tcPr>
            <w:tcW w:w="3301" w:type="dxa"/>
            <w:vMerge/>
          </w:tcPr>
          <w:p/>
        </w:tc>
      </w:tr>
      <w:tr>
        <w:trPr>
          <w:trHeight w:val="579"/>
        </w:trPr>
        <w:tc>
          <w:tcPr>
            <w:tcW w:w="804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6</w:t>
            </w:r>
          </w:p>
        </w:tc>
        <w:tc>
          <w:tcPr>
            <w:tcW w:w="1413" w:type="dxa"/>
            <w:vAlign w:val="center"/>
          </w:tcPr>
          <w:p>
            <w:pPr>
              <w:pStyle w:val="235"/>
              <w:rPr>
                <w:rFonts w:ascii="Times New Roman" w:eastAsia="宋体" w:cs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高纯氮气</w:t>
            </w:r>
          </w:p>
        </w:tc>
        <w:tc>
          <w:tcPr>
            <w:tcW w:w="1727" w:type="dxa"/>
            <w:vAlign w:val="center"/>
          </w:tcPr>
          <w:p>
            <w:pPr>
              <w:pStyle w:val="236"/>
              <w:rPr>
                <w:rFonts w:ascii="Times New Roman" w:eastAsia="宋体" w:cs="Times New Roman" w:hAnsi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99.999%</w:t>
            </w:r>
          </w:p>
        </w:tc>
        <w:tc>
          <w:tcPr>
            <w:tcW w:w="942" w:type="dxa"/>
            <w:vAlign w:val="center"/>
          </w:tcPr>
          <w:p>
            <w:pPr>
              <w:pStyle w:val="237"/>
              <w:rPr>
                <w:rFonts w:ascii="Times New Roman" w:eastAsia="Times New Roman" w:cs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99" w:type="dxa"/>
            <w:vAlign w:val="center"/>
          </w:tcPr>
          <w:p>
            <w:pPr>
              <w:pStyle w:val="238"/>
              <w:rPr>
                <w:rFonts w:ascii="Times New Roman" w:eastAsia="宋体" w:cs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18"/>
                <w:szCs w:val="18"/>
              </w:rPr>
              <w:t>瓶</w:t>
            </w:r>
          </w:p>
        </w:tc>
        <w:tc>
          <w:tcPr>
            <w:tcW w:w="3301" w:type="dxa"/>
            <w:vMerge/>
          </w:tcPr>
          <w:p/>
        </w:tc>
      </w:tr>
      <w:tr>
        <w:trPr>
          <w:trHeight w:val="569"/>
        </w:trPr>
        <w:tc>
          <w:tcPr>
            <w:tcW w:w="804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7</w:t>
            </w:r>
          </w:p>
        </w:tc>
        <w:tc>
          <w:tcPr>
            <w:tcW w:w="1413" w:type="dxa"/>
            <w:vAlign w:val="center"/>
          </w:tcPr>
          <w:p>
            <w:pPr>
              <w:pStyle w:val="239"/>
              <w:rPr>
                <w:rFonts w:ascii="Times New Roman" w:eastAsia="宋体" w:cs="Times New Roman" w:hAnsi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高纯氩气</w:t>
            </w:r>
          </w:p>
        </w:tc>
        <w:tc>
          <w:tcPr>
            <w:tcW w:w="1727" w:type="dxa"/>
            <w:vAlign w:val="center"/>
          </w:tcPr>
          <w:p>
            <w:pPr>
              <w:pStyle w:val="240"/>
              <w:rPr>
                <w:rFonts w:ascii="Times New Roman" w:cs="Times New Roman" w:hAnsi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18"/>
                <w:szCs w:val="18"/>
              </w:rPr>
              <w:t>99.999%</w:t>
            </w:r>
          </w:p>
        </w:tc>
        <w:tc>
          <w:tcPr>
            <w:tcW w:w="942" w:type="dxa"/>
            <w:vAlign w:val="center"/>
          </w:tcPr>
          <w:p>
            <w:pPr>
              <w:pStyle w:val="241"/>
              <w:rPr>
                <w:rFonts w:ascii="Times New Roman" w:eastAsia="Times New Roman" w:cs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99" w:type="dxa"/>
            <w:vAlign w:val="center"/>
          </w:tcPr>
          <w:p>
            <w:pPr>
              <w:pStyle w:val="242"/>
              <w:rPr>
                <w:rFonts w:ascii="Times New Roman" w:eastAsia="宋体" w:cs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18"/>
                <w:szCs w:val="18"/>
              </w:rPr>
              <w:t>瓶</w:t>
            </w:r>
          </w:p>
        </w:tc>
        <w:tc>
          <w:tcPr>
            <w:tcW w:w="3301" w:type="dxa"/>
            <w:vMerge/>
          </w:tcPr>
          <w:p/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sectPr>
      <w:footerReference w:type="default" r:id="rId2"/>
      <w:pgSz w:w="11907" w:h="16840"/>
      <w:pgMar w:top="1701" w:right="1418" w:bottom="1701" w:left="1418" w:header="1814" w:footer="1474" w:gutter="0"/>
      <w:pgNumType w:start="0"/>
      <w:titlePg/>
      <w:docGrid w:type="linesAndChars" w:linePitch="580" w:charSpace="216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Microsoft YaHei UI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方正楷体_GBK">
    <w:altName w:val="Microsoft YaHei UI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4</w:t>
    </w:r>
    <w:r>
      <w:rPr>
        <w:sz w:val="32"/>
        <w:szCs w:val="3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5FAA3C14"/>
    <w:multiLevelType w:val="singleLevel"/>
    <w:tmpl w:val="2372C850"/>
    <w:lvl w:ilvl="0">
      <w:start w:val="1"/>
      <w:numFmt w:val="decimal"/>
      <w:lvlRestart w:val="0"/>
      <w:pStyle w:val="16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10">
    <w:name w:val="Default Paragraph Font"/>
  </w:style>
  <w:style w:type="paragraph" w:styleId="15">
    <w:name w:val="table of authorities"/>
    <w:basedOn w:val="0"/>
    <w:next w:val="0"/>
    <w:pPr>
      <w:ind w:left="420"/>
    </w:pPr>
  </w:style>
  <w:style w:type="paragraph" w:styleId="16">
    <w:name w:val="List Number"/>
    <w:basedOn w:val="0"/>
    <w:pPr>
      <w:numPr>
        <w:ilvl w:val="0"/>
        <w:numId w:val="1"/>
      </w:numPr>
    </w:pPr>
  </w:style>
  <w:style w:type="paragraph" w:styleId="17">
    <w:name w:val="caption"/>
    <w:next w:val="0"/>
    <w:pPr>
      <w:widowControl w:val="0"/>
      <w:jc w:val="both"/>
    </w:pPr>
    <w:rPr>
      <w:rFonts w:ascii="Arial" w:eastAsia="黑体" w:cs="Arial" w:hAnsi="Arial"/>
      <w:b/>
      <w:bCs/>
      <w:kern w:val="2"/>
      <w:lang w:val="en-US" w:eastAsia="zh-CN" w:bidi="ar-SA"/>
    </w:rPr>
  </w:style>
  <w:style w:type="paragraph" w:styleId="18">
    <w:name w:val="annotation text"/>
    <w:basedOn w:val="0"/>
    <w:pPr>
      <w:jc w:val="left"/>
    </w:pPr>
  </w:style>
  <w:style w:type="paragraph" w:styleId="19">
    <w:name w:val="toc 5"/>
    <w:basedOn w:val="0"/>
    <w:autoRedefine/>
    <w:next w:val="0"/>
    <w:pPr>
      <w:ind w:left="1680"/>
    </w:pPr>
  </w:style>
  <w:style w:type="paragraph" w:styleId="20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21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22">
    <w:name w:val="page number"/>
    <w:basedOn w:val="10"/>
  </w:style>
  <w:style w:type="character" w:styleId="23">
    <w:name w:val="annotation reference"/>
    <w:basedOn w:val="10"/>
    <w:rPr>
      <w:sz w:val="21"/>
      <w:szCs w:val="21"/>
    </w:rPr>
  </w:style>
  <w:style w:type="paragraph" w:customStyle="1" w:styleId="24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8 10 磅"/>
    <w:next w:val="19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0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7 10 磅"/>
    <w:pPr>
      <w:widowControl w:val="0"/>
      <w:jc w:val="both"/>
    </w:pPr>
    <w:rPr>
      <w:rFonts w:ascii="Arial" w:eastAsia="黑体" w:cs="Arial" w:hAnsi="Arial"/>
      <w:b/>
      <w:bCs/>
      <w:kern w:val="2"/>
      <w:lang w:val="en-US" w:eastAsia="zh-CN" w:bidi="ar-SA"/>
    </w:rPr>
  </w:style>
  <w:style w:type="paragraph" w:customStyle="1" w:styleId="34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28 10 磅"/>
    <w:next w:val="15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6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10 10 磅"/>
    <w:next w:val="31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12 10 磅"/>
    <w:link w:val="39Char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customStyle="1" w:styleId="39Char">
    <w:name w:val="样式 12 10 磅 Char"/>
    <w:basedOn w:val="10"/>
    <w:link w:val="39"/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33 10 磅"/>
    <w:next w:val="16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1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45">
    <w:name w:val="Balloon Text"/>
    <w:basedOn w:val="0"/>
    <w:rPr>
      <w:sz w:val="18"/>
      <w:szCs w:val="18"/>
    </w:rPr>
  </w:style>
  <w:style w:type="paragraph" w:customStyle="1" w:styleId="4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6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8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1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2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3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4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5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6">
    <w:name w:val="样式 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7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5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9">
    <w:name w:val="样式 5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0">
    <w:name w:val="样式 5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1">
    <w:name w:val="样式 5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2">
    <w:name w:val="样式 5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3">
    <w:name w:val="样式 5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4">
    <w:name w:val="样式 5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5">
    <w:name w:val="样式 6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6">
    <w:name w:val="样式 6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7">
    <w:name w:val="样式 6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8">
    <w:name w:val="样式 6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9">
    <w:name w:val="样式 6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0">
    <w:name w:val="样式 6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1">
    <w:name w:val="样式 6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2">
    <w:name w:val="样式 6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3">
    <w:name w:val="样式 6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4">
    <w:name w:val="样式 6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5">
    <w:name w:val="样式 7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6">
    <w:name w:val="样式 7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7">
    <w:name w:val="样式 7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8">
    <w:name w:val="样式 7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9">
    <w:name w:val="样式 7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0">
    <w:name w:val="样式 7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1">
    <w:name w:val="样式 7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2">
    <w:name w:val="样式 7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3">
    <w:name w:val="样式 7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4">
    <w:name w:val="样式 7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5">
    <w:name w:val="样式 8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6">
    <w:name w:val="样式 8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7">
    <w:name w:val="样式 8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8">
    <w:name w:val="样式 8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9">
    <w:name w:val="样式 8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0">
    <w:name w:val="样式 8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1">
    <w:name w:val="样式 8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2">
    <w:name w:val="样式 8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3">
    <w:name w:val="样式 8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4">
    <w:name w:val="样式 8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5">
    <w:name w:val="样式 9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6">
    <w:name w:val="样式 9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7">
    <w:name w:val="样式 9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8">
    <w:name w:val="样式 9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9">
    <w:name w:val="样式 9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0">
    <w:name w:val="样式 9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1">
    <w:name w:val="样式 9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2">
    <w:name w:val="样式 9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3">
    <w:name w:val="样式 9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4">
    <w:name w:val="样式 9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5">
    <w:name w:val="样式 10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6">
    <w:name w:val="样式 10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7">
    <w:name w:val="样式 10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8">
    <w:name w:val="样式 10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9">
    <w:name w:val="样式 10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0">
    <w:name w:val="样式 10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1">
    <w:name w:val="样式 10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2">
    <w:name w:val="样式 10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3">
    <w:name w:val="样式 10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4">
    <w:name w:val="样式 10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5">
    <w:name w:val="样式 1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6">
    <w:name w:val="样式 1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7">
    <w:name w:val="样式 1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8">
    <w:name w:val="样式 1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9">
    <w:name w:val="样式 1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0">
    <w:name w:val="样式 1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1">
    <w:name w:val="样式 1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2">
    <w:name w:val="样式 1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3">
    <w:name w:val="样式 1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4">
    <w:name w:val="样式 1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5">
    <w:name w:val="样式 1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6">
    <w:name w:val="样式 1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7">
    <w:name w:val="样式 1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8">
    <w:name w:val="样式 1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9">
    <w:name w:val="样式 1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0">
    <w:name w:val="样式 1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1">
    <w:name w:val="样式 1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2">
    <w:name w:val="样式 1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3">
    <w:name w:val="样式 1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4">
    <w:name w:val="样式 1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5">
    <w:name w:val="样式 1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6">
    <w:name w:val="样式 1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7">
    <w:name w:val="样式 1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8">
    <w:name w:val="样式 1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9">
    <w:name w:val="样式 1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0">
    <w:name w:val="样式 1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1">
    <w:name w:val="样式 1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2">
    <w:name w:val="样式 1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3">
    <w:name w:val="样式 1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4">
    <w:name w:val="样式 1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5">
    <w:name w:val="样式 1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6">
    <w:name w:val="样式 1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7">
    <w:name w:val="样式 1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8">
    <w:name w:val="样式 1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9">
    <w:name w:val="样式 1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0">
    <w:name w:val="样式 1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1">
    <w:name w:val="样式 1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2">
    <w:name w:val="样式 1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3">
    <w:name w:val="样式 1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4">
    <w:name w:val="样式 1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5">
    <w:name w:val="样式 1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6">
    <w:name w:val="样式 1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7">
    <w:name w:val="样式 1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8">
    <w:name w:val="样式 15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9">
    <w:name w:val="样式 15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0">
    <w:name w:val="样式 15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1">
    <w:name w:val="样式 15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2">
    <w:name w:val="样式 15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3">
    <w:name w:val="样式 15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4">
    <w:name w:val="样式 15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5">
    <w:name w:val="样式 16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6">
    <w:name w:val="样式 16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7">
    <w:name w:val="样式 16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8">
    <w:name w:val="样式 16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9">
    <w:name w:val="样式 16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0">
    <w:name w:val="样式 16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1">
    <w:name w:val="样式 16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2">
    <w:name w:val="样式 16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3">
    <w:name w:val="样式 16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4">
    <w:name w:val="样式 16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5">
    <w:name w:val="样式 17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6">
    <w:name w:val="样式 17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7">
    <w:name w:val="样式 17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8">
    <w:name w:val="样式 17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9">
    <w:name w:val="样式 17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0">
    <w:name w:val="样式 17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1">
    <w:name w:val="样式 17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2">
    <w:name w:val="样式 17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3">
    <w:name w:val="样式 17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4">
    <w:name w:val="样式 17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5">
    <w:name w:val="样式 18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6">
    <w:name w:val="样式 18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7">
    <w:name w:val="样式 18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8">
    <w:name w:val="样式 18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9">
    <w:name w:val="样式 18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0">
    <w:name w:val="样式 18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1">
    <w:name w:val="样式 18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2">
    <w:name w:val="样式 18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3">
    <w:name w:val="样式 18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4">
    <w:name w:val="样式 18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5">
    <w:name w:val="样式 19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6">
    <w:name w:val="样式 19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7">
    <w:name w:val="样式 19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8">
    <w:name w:val="样式 19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9">
    <w:name w:val="样式 19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0">
    <w:name w:val="样式 19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1">
    <w:name w:val="样式 19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2">
    <w:name w:val="样式 19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3">
    <w:name w:val="样式 19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4">
    <w:name w:val="样式 19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5">
    <w:name w:val="样式 20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6">
    <w:name w:val="样式 20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7">
    <w:name w:val="样式 20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8">
    <w:name w:val="样式 20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9">
    <w:name w:val="样式 20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0">
    <w:name w:val="样式 20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1">
    <w:name w:val="样式 20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2">
    <w:name w:val="样式 20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3">
    <w:name w:val="样式 20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4">
    <w:name w:val="样式 20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5">
    <w:name w:val="样式 2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6">
    <w:name w:val="样式 2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7">
    <w:name w:val="样式 2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8">
    <w:name w:val="样式 2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9">
    <w:name w:val="样式 2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0">
    <w:name w:val="样式 2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1">
    <w:name w:val="样式 2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2">
    <w:name w:val="样式 2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3">
    <w:name w:val="样式 2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4">
    <w:name w:val="样式 2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5">
    <w:name w:val="样式 2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6">
    <w:name w:val="样式 2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7">
    <w:name w:val="样式 2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8">
    <w:name w:val="样式 2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9">
    <w:name w:val="样式 2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0">
    <w:name w:val="样式 2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262</TotalTime>
  <Application>Yozo_Office</Application>
  <Pages>4</Pages>
  <Words>1505</Words>
  <Characters>1562</Characters>
  <Lines>151</Lines>
  <Paragraphs>79</Paragraphs>
  <CharactersWithSpaces>1568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杨璐</dc:creator>
  <cp:lastModifiedBy>付玮</cp:lastModifiedBy>
  <cp:revision>5</cp:revision>
  <cp:lastPrinted>2025-08-11T09:46:00Z</cp:lastPrinted>
  <dcterms:created xsi:type="dcterms:W3CDTF">2025-08-08T09:37:00Z</dcterms:created>
  <dcterms:modified xsi:type="dcterms:W3CDTF">2026-06-05T02:38:10Z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eyJoZGlkIjoiMDM4NDIzZTNmZDUxOTZiNzE0NzA5OWEwNjEwYWZlOWQiLCJ1c2VySWQiOiIzMTc1NjUzMjgifQ==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B362E6F743FC422786852A81DF23C79B_12</vt:lpwstr>
  </property>
</Properties>
</file>