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r>
        <w:rPr>
          <w:rFonts w:ascii="方正黑体_GBK" w:eastAsia="方正黑体_GBK" w:cs="方正黑体_GBK" w:hint="eastAsia"/>
          <w:sz w:val="32"/>
          <w:szCs w:val="32"/>
        </w:rPr>
        <w:t>附件1</w:t>
      </w:r>
    </w:p>
    <w:p>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tbl>
      <w:tblPr>
        <w:jc w:val="cen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7011"/>
      </w:tblGrid>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7011" w:type="dxa"/>
            <w:vAlign w:val="center"/>
          </w:tcPr>
          <w:p>
            <w:pPr>
              <w:snapToGrid w:val="0"/>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呼和浩特海关技术中心策克口岸实验室楼顶防水铺设项目</w:t>
            </w:r>
            <w:r>
              <w:rPr>
                <w:rFonts w:ascii="方正仿宋_GBK" w:eastAsia="方正仿宋_GBK" w:cs="方正仿宋_GBK"/>
                <w:sz w:val="28"/>
                <w:szCs w:val="28"/>
              </w:rPr>
              <w:t>(二次)</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需求部门</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w:t>
            </w:r>
            <w:r>
              <w:rPr>
                <w:rFonts w:ascii="方正仿宋_GBK" w:eastAsia="方正仿宋_GBK" w:cs="方正仿宋_GBK"/>
                <w:sz w:val="28"/>
                <w:szCs w:val="28"/>
              </w:rPr>
              <w:t>技术</w:t>
            </w:r>
            <w:r>
              <w:rPr>
                <w:rFonts w:ascii="方正仿宋_GBK" w:eastAsia="方正仿宋_GBK" w:cs="方正仿宋_GBK" w:hint="eastAsia"/>
                <w:sz w:val="28"/>
                <w:szCs w:val="28"/>
              </w:rPr>
              <w:t>中心化矿</w:t>
            </w:r>
            <w:r>
              <w:rPr>
                <w:rFonts w:ascii="方正仿宋_GBK" w:eastAsia="方正仿宋_GBK" w:cs="方正仿宋_GBK"/>
                <w:sz w:val="28"/>
                <w:szCs w:val="28"/>
              </w:rPr>
              <w:t>实验室</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81529.60</w:t>
            </w:r>
            <w:r>
              <w:rPr>
                <w:rFonts w:ascii="方正仿宋_GBK" w:eastAsia="方正仿宋_GBK" w:cs="方正仿宋_GBK" w:hint="eastAsia"/>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7011"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最低价法</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F052"/>
            </w:r>
            <w:r>
              <w:rPr>
                <w:rFonts w:ascii="方正仿宋_GBK" w:eastAsia="方正仿宋_GBK" w:cs="方正仿宋_GBK" w:hint="eastAsia"/>
                <w:sz w:val="28"/>
                <w:szCs w:val="28"/>
              </w:rPr>
              <w:t>综合评分法（权重：价格</w:t>
            </w:r>
            <w:r>
              <w:rPr>
                <w:rFonts w:ascii="方正仿宋_GBK" w:eastAsia="方正仿宋_GBK" w:cs="方正仿宋_GBK"/>
                <w:sz w:val="28"/>
                <w:szCs w:val="28"/>
              </w:rPr>
              <w:t>50</w:t>
            </w:r>
            <w:r>
              <w:rPr>
                <w:rFonts w:ascii="方正仿宋_GBK" w:eastAsia="方正仿宋_GBK" w:cs="方正仿宋_GBK" w:hint="eastAsia"/>
                <w:sz w:val="28"/>
                <w:szCs w:val="28"/>
              </w:rPr>
              <w:t>%、评审因素</w:t>
            </w:r>
            <w:r>
              <w:rPr>
                <w:rFonts w:ascii="方正仿宋_GBK" w:eastAsia="方正仿宋_GBK" w:cs="方正仿宋_GBK"/>
                <w:sz w:val="28"/>
                <w:szCs w:val="28"/>
              </w:rPr>
              <w:t>50</w:t>
            </w:r>
            <w:r>
              <w:rPr>
                <w:rFonts w:ascii="方正仿宋_GBK" w:eastAsia="方正仿宋_GBK" w:cs="方正仿宋_GBK" w:hint="eastAsia"/>
                <w:sz w:val="28"/>
                <w:szCs w:val="28"/>
              </w:rPr>
              <w:t>%）</w:t>
            </w:r>
          </w:p>
        </w:tc>
      </w:tr>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1537"/>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2687"/>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资格条件</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1.具有独立承担民事责任的能力。</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2.具有三级及以上建筑工程施工总承包资质。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3.未被列入失信被执行人、税收违法黑名单。</w:t>
            </w:r>
          </w:p>
          <w:p>
            <w:pPr>
              <w:spacing w:line="400" w:lineRule="exact"/>
              <w:rPr>
                <w:rFonts w:ascii="方正仿宋_GBK" w:eastAsia="方正仿宋_GBK" w:cs="方正仿宋_GBK"/>
                <w:sz w:val="28"/>
                <w:szCs w:val="28"/>
              </w:rPr>
            </w:pPr>
            <w:r>
              <w:rPr>
                <w:rFonts w:ascii="Times New Roman" w:eastAsia="方正仿宋_GBK" w:cs="Times New Roman" w:hAnsi="Times New Roman" w:hint="eastAsia"/>
                <w:sz w:val="28"/>
                <w:szCs w:val="28"/>
              </w:rPr>
              <w:t>4.提供其他书面资质证明材料，包括：工商营业执照或三合一证照复印件、建筑工程施工资质复印件、法人授权书、具备独立承担本项目实施能力承诺书。</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7011" w:type="dxa"/>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一、</w:t>
            </w:r>
            <w:r>
              <w:rPr>
                <w:rFonts w:ascii="Times New Roman" w:eastAsia="方正仿宋_GBK" w:cs="Times New Roman" w:hAnsi="Times New Roman"/>
                <w:sz w:val="28"/>
                <w:szCs w:val="28"/>
              </w:rPr>
              <w:t>工期：15</w:t>
            </w:r>
            <w:r>
              <w:rPr>
                <w:rFonts w:ascii="Times New Roman" w:eastAsia="方正仿宋_GBK" w:cs="Times New Roman" w:hAnsi="Times New Roman" w:hint="eastAsia"/>
                <w:sz w:val="28"/>
                <w:szCs w:val="28"/>
              </w:rPr>
              <w:t>个</w:t>
            </w:r>
            <w:r>
              <w:rPr>
                <w:rFonts w:ascii="Times New Roman" w:eastAsia="方正仿宋_GBK" w:cs="Times New Roman" w:hAnsi="Times New Roman"/>
                <w:sz w:val="28"/>
                <w:szCs w:val="28"/>
              </w:rPr>
              <w:t>自然日</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二、</w:t>
            </w:r>
            <w:r>
              <w:rPr>
                <w:rFonts w:ascii="Times New Roman" w:eastAsia="方正仿宋_GBK" w:cs="Times New Roman" w:hAnsi="Times New Roman"/>
                <w:sz w:val="28"/>
                <w:szCs w:val="28"/>
              </w:rPr>
              <w:t>施工地点：</w:t>
            </w:r>
            <w:r>
              <w:rPr>
                <w:rFonts w:ascii="Times New Roman" w:eastAsia="方正仿宋_GBK" w:cs="Times New Roman" w:hAnsi="Times New Roman" w:hint="eastAsia"/>
                <w:sz w:val="28"/>
                <w:szCs w:val="28"/>
              </w:rPr>
              <w:t>内蒙古自治区阿拉善盟额济纳旗达来呼布镇策克口岸友谊街2号。</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三</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施工</w:t>
            </w:r>
            <w:r>
              <w:rPr>
                <w:rFonts w:ascii="Times New Roman" w:eastAsia="方正仿宋_GBK" w:cs="Times New Roman" w:hAnsi="Times New Roman"/>
                <w:sz w:val="28"/>
                <w:szCs w:val="28"/>
              </w:rPr>
              <w:t>内容：</w:t>
            </w:r>
            <w:r>
              <w:rPr>
                <w:rFonts w:ascii="Times New Roman" w:eastAsia="方正仿宋_GBK" w:cs="Times New Roman" w:hAnsi="Times New Roman" w:hint="eastAsia"/>
                <w:sz w:val="28"/>
                <w:szCs w:val="28"/>
              </w:rPr>
              <w:t>屋面原有卷材防水层拆除、新做砂浆找平层、屋面卷材防水层（SBS）及</w:t>
            </w:r>
            <w:r>
              <w:rPr>
                <w:rFonts w:ascii="Times New Roman" w:eastAsia="方正仿宋_GBK" w:cs="Times New Roman" w:hAnsi="Times New Roman"/>
                <w:sz w:val="28"/>
                <w:szCs w:val="28"/>
              </w:rPr>
              <w:t>余方弃置</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（具体</w:t>
            </w:r>
            <w:r>
              <w:rPr>
                <w:rFonts w:ascii="Times New Roman" w:eastAsia="方正仿宋_GBK" w:cs="Times New Roman" w:hAnsi="Times New Roman"/>
                <w:sz w:val="28"/>
                <w:szCs w:val="28"/>
              </w:rPr>
              <w:t>工程量详见附件</w:t>
            </w:r>
            <w:r>
              <w:rPr>
                <w:rFonts w:ascii="Times New Roman" w:eastAsia="方正仿宋_GBK" w:cs="Times New Roman" w:hAnsi="Times New Roman" w:hint="eastAsia"/>
                <w:sz w:val="28"/>
                <w:szCs w:val="28"/>
              </w:rPr>
              <w:t>：</w:t>
            </w:r>
            <w:r>
              <w:rPr>
                <w:rFonts w:ascii="方正仿宋_GBK" w:eastAsia="方正仿宋_GBK" w:cs="方正仿宋_GBK" w:hint="eastAsia"/>
                <w:sz w:val="28"/>
                <w:szCs w:val="28"/>
              </w:rPr>
              <w:t>呼和浩特海关技术中心策克口岸实验室楼顶防水铺设项目招标</w:t>
            </w:r>
            <w:r>
              <w:rPr>
                <w:rFonts w:ascii="方正仿宋_GBK" w:eastAsia="方正仿宋_GBK" w:cs="方正仿宋_GBK"/>
                <w:sz w:val="28"/>
                <w:szCs w:val="28"/>
              </w:rPr>
              <w:t>工程量清单</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四、质量要求</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符合国家及行业相关规范和标准，并达到合格工程标准，同时满足建设单位需求，施工过程中造成的损坏，由中标方承担。</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五</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安全要求：必须确保安全文明施工，执行国家现行相关规定，</w:t>
            </w:r>
            <w:r>
              <w:rPr>
                <w:rFonts w:ascii="Times New Roman" w:eastAsia="方正仿宋_GBK" w:cs="Times New Roman" w:hAnsi="Times New Roman"/>
                <w:sz w:val="28"/>
                <w:szCs w:val="28"/>
              </w:rPr>
              <w:t>施工过程中造成的</w:t>
            </w:r>
            <w:r>
              <w:rPr>
                <w:rFonts w:ascii="Times New Roman" w:eastAsia="方正仿宋_GBK" w:cs="Times New Roman" w:hAnsi="Times New Roman" w:hint="eastAsia"/>
                <w:sz w:val="28"/>
                <w:szCs w:val="28"/>
              </w:rPr>
              <w:t>所有</w:t>
            </w:r>
            <w:r>
              <w:rPr>
                <w:rFonts w:ascii="Times New Roman" w:eastAsia="方正仿宋_GBK" w:cs="Times New Roman" w:hAnsi="Times New Roman"/>
                <w:sz w:val="28"/>
                <w:szCs w:val="28"/>
              </w:rPr>
              <w:t>损失，由施工方负责赔偿。</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六、支付方式</w:t>
            </w:r>
            <w:r>
              <w:rPr>
                <w:rFonts w:ascii="Times New Roman" w:eastAsia="方正仿宋_GBK" w:cs="Times New Roman" w:hAnsi="Times New Roman"/>
                <w:sz w:val="28"/>
                <w:szCs w:val="28"/>
              </w:rPr>
              <w:t>：施工方按照合同约定完成</w:t>
            </w:r>
            <w:r>
              <w:rPr>
                <w:rFonts w:ascii="方正仿宋_GBK" w:eastAsia="方正仿宋_GBK" w:cs="方正仿宋_GBK" w:hint="eastAsia"/>
                <w:sz w:val="28"/>
                <w:szCs w:val="28"/>
              </w:rPr>
              <w:t>呼和浩特海关技术中心策克口岸实验室楼顶防水铺设项目</w:t>
            </w:r>
            <w:r>
              <w:rPr>
                <w:rFonts w:ascii="Times New Roman" w:eastAsia="方正仿宋_GBK" w:cs="Times New Roman" w:hAnsi="Times New Roman"/>
                <w:sz w:val="28"/>
                <w:szCs w:val="28"/>
              </w:rPr>
              <w:t>工作，验收合格</w:t>
            </w:r>
            <w:r>
              <w:rPr>
                <w:rFonts w:ascii="Times New Roman" w:eastAsia="方正仿宋_GBK" w:cs="Times New Roman" w:hAnsi="Times New Roman" w:hint="eastAsia"/>
                <w:sz w:val="28"/>
                <w:szCs w:val="28"/>
              </w:rPr>
              <w:t>后</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经第三方</w:t>
            </w:r>
            <w:r>
              <w:rPr>
                <w:rFonts w:ascii="Times New Roman" w:eastAsia="方正仿宋_GBK" w:cs="Times New Roman" w:hAnsi="Times New Roman"/>
                <w:sz w:val="28"/>
                <w:szCs w:val="28"/>
              </w:rPr>
              <w:t>审计公司审计，</w:t>
            </w:r>
            <w:r>
              <w:rPr>
                <w:rFonts w:ascii="Times New Roman" w:eastAsia="方正仿宋_GBK" w:cs="Times New Roman" w:hAnsi="Times New Roman" w:hint="eastAsia"/>
                <w:sz w:val="28"/>
                <w:szCs w:val="28"/>
              </w:rPr>
              <w:t>按照审计</w:t>
            </w:r>
            <w:r>
              <w:rPr>
                <w:rFonts w:ascii="Times New Roman" w:eastAsia="方正仿宋_GBK" w:cs="Times New Roman" w:hAnsi="Times New Roman"/>
                <w:sz w:val="28"/>
                <w:szCs w:val="28"/>
              </w:rPr>
              <w:t>金额</w:t>
            </w:r>
            <w:r>
              <w:rPr>
                <w:rFonts w:ascii="Times New Roman" w:eastAsia="方正仿宋_GBK" w:cs="Times New Roman" w:hAnsi="Times New Roman" w:hint="eastAsia"/>
                <w:sz w:val="28"/>
                <w:szCs w:val="28"/>
              </w:rPr>
              <w:t>支付</w:t>
            </w:r>
            <w:r>
              <w:rPr>
                <w:rFonts w:ascii="Times New Roman" w:eastAsia="方正仿宋_GBK" w:cs="Times New Roman" w:hAnsi="Times New Roman"/>
                <w:sz w:val="28"/>
                <w:szCs w:val="28"/>
              </w:rPr>
              <w:t>工程总金额。先行支付总金额的95%，剩余5</w:t>
            </w:r>
            <w:bookmarkStart w:id="0" w:name="_GoBack"/>
            <w:bookmarkEnd w:id="0"/>
            <w:r>
              <w:rPr>
                <w:rFonts w:ascii="Times New Roman" w:eastAsia="方正仿宋_GBK" w:cs="Times New Roman" w:hAnsi="Times New Roman"/>
                <w:sz w:val="28"/>
                <w:szCs w:val="28"/>
              </w:rPr>
              <w:t>%留作质保金，待2年质保期届满、无质量问题后，我方一次性支付质保金</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七、</w:t>
            </w:r>
            <w:r>
              <w:rPr>
                <w:rStyle w:val="50Char"/>
                <w:rFonts w:ascii="Times New Roman" w:eastAsia="方正仿宋_GBK" w:cs="Times New Roman" w:hAnsi="Times New Roman"/>
                <w:bCs/>
                <w:sz w:val="28"/>
                <w:szCs w:val="28"/>
              </w:rPr>
              <w:t>保修期：该项目保修期2年，自验收合格之日起计算。保修期内出现渗漏，由乙方无偿维修并承担全部损失。</w:t>
            </w:r>
          </w:p>
        </w:tc>
      </w:tr>
      <w:tr>
        <w:trPr>
          <w:trHeight w:val="70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7011" w:type="dxa"/>
          </w:tcPr>
          <w:tbl>
            <w:tblPr>
              <w:jc w:val="left"/>
              <w:tblW w:w="501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031"/>
              <w:gridCol w:w="1934"/>
              <w:gridCol w:w="3835"/>
            </w:tblGrid>
            <w:tr>
              <w:trPr>
                <w:trHeight w:val="460"/>
              </w:trPr>
              <w:tc>
                <w:tcPr>
                  <w:tcW w:w="758" w:type="pct"/>
                  <w:tcBorders>
                    <w:tl2br w:val="nil"/>
                    <w:tr2bl w:val="nil"/>
                  </w:tcBorders>
                </w:tcPr>
                <w:p>
                  <w:r>
                    <w:rPr>
                      <w:rFonts w:hint="eastAsia"/>
                    </w:rPr>
                    <w:t>评审因素</w:t>
                  </w:r>
                </w:p>
              </w:tc>
              <w:tc>
                <w:tcPr>
                  <w:tcW w:w="4241" w:type="pct"/>
                  <w:gridSpan w:val="2"/>
                  <w:tcBorders>
                    <w:tl2br w:val="nil"/>
                    <w:tr2bl w:val="nil"/>
                  </w:tcBorders>
                </w:tcPr>
                <w:p>
                  <w:r>
                    <w:rPr>
                      <w:rFonts w:hint="eastAsia"/>
                    </w:rPr>
                    <w:t>评审标准</w:t>
                  </w:r>
                </w:p>
              </w:tc>
            </w:tr>
            <w:tr>
              <w:trPr>
                <w:trHeight w:val="967"/>
              </w:trPr>
              <w:tc>
                <w:tcPr>
                  <w:tcW w:w="758" w:type="pct"/>
                  <w:tcBorders>
                    <w:tl2br w:val="nil"/>
                    <w:tr2bl w:val="nil"/>
                  </w:tcBorders>
                </w:tcPr>
                <w:p/>
                <w:p>
                  <w:r>
                    <w:rPr>
                      <w:rFonts w:hint="eastAsia"/>
                    </w:rPr>
                    <w:t>分值构成</w:t>
                  </w:r>
                </w:p>
              </w:tc>
              <w:tc>
                <w:tcPr>
                  <w:tcW w:w="4241" w:type="pct"/>
                  <w:gridSpan w:val="2"/>
                  <w:tcBorders>
                    <w:tl2br w:val="nil"/>
                    <w:tr2bl w:val="nil"/>
                  </w:tcBorders>
                </w:tcPr>
                <w:p>
                  <w:r>
                    <w:rPr>
                      <w:rFonts w:hint="eastAsia"/>
                    </w:rPr>
                    <w:t>1、技术部分</w:t>
                  </w:r>
                  <w:r>
                    <w:t>40</w:t>
                  </w:r>
                  <w:r>
                    <w:rPr>
                      <w:rFonts w:hint="eastAsia"/>
                    </w:rPr>
                    <w:t>分</w:t>
                  </w:r>
                </w:p>
                <w:p>
                  <w:r>
                    <w:rPr>
                      <w:rFonts w:hint="eastAsia"/>
                    </w:rPr>
                    <w:t>2、商务部分</w:t>
                  </w:r>
                  <w:r>
                    <w:t>10</w:t>
                  </w:r>
                  <w:r>
                    <w:rPr>
                      <w:rFonts w:hint="eastAsia"/>
                    </w:rPr>
                    <w:t>分</w:t>
                  </w:r>
                </w:p>
                <w:p>
                  <w:r>
                    <w:rPr>
                      <w:rFonts w:hint="eastAsia"/>
                    </w:rPr>
                    <w:t>3、报价得分50分</w:t>
                  </w:r>
                </w:p>
              </w:tc>
            </w:tr>
            <w:tr>
              <w:trPr>
                <w:trHeight w:val="458"/>
              </w:trPr>
              <w:tc>
                <w:tcPr>
                  <w:tcW w:w="758" w:type="pct"/>
                  <w:vMerge w:val="restart"/>
                  <w:tcBorders>
                    <w:tl2br w:val="nil"/>
                    <w:tr2bl w:val="nil"/>
                  </w:tcBorders>
                </w:tcPr>
                <w:p/>
                <w:p/>
                <w:p/>
                <w:p/>
                <w:p/>
                <w:p/>
                <w:p>
                  <w:r>
                    <w:rPr>
                      <w:rFonts w:hint="eastAsia"/>
                    </w:rPr>
                    <w:t>技术部分</w:t>
                  </w:r>
                </w:p>
                <w:p>
                  <w:r>
                    <w:rPr>
                      <w:rFonts w:hint="eastAsia"/>
                    </w:rPr>
                    <w:t>（</w:t>
                  </w:r>
                  <w:r>
                    <w:t>40</w:t>
                  </w:r>
                  <w:r>
                    <w:rPr>
                      <w:rFonts w:hint="eastAsia"/>
                    </w:rPr>
                    <w:t>分）</w:t>
                  </w:r>
                </w:p>
                <w:p/>
              </w:tc>
              <w:tc>
                <w:tcPr>
                  <w:tcW w:w="1422" w:type="pct"/>
                  <w:tcBorders>
                    <w:tl2br w:val="nil"/>
                    <w:tr2bl w:val="nil"/>
                  </w:tcBorders>
                  <w:vAlign w:val="center"/>
                </w:tcPr>
                <w:p>
                  <w:r>
                    <w:rPr>
                      <w:rFonts w:hint="eastAsia"/>
                    </w:rPr>
                    <w:t>施工组织设计</w:t>
                  </w:r>
                </w:p>
                <w:p>
                  <w:r>
                    <w:rPr>
                      <w:rFonts w:hint="eastAsia"/>
                    </w:rPr>
                    <w:t>(</w:t>
                  </w:r>
                  <w:r>
                    <w:t>10</w:t>
                  </w:r>
                  <w:r>
                    <w:rPr>
                      <w:rFonts w:hint="eastAsia"/>
                    </w:rPr>
                    <w:t>.0分)</w:t>
                  </w:r>
                </w:p>
              </w:tc>
              <w:tc>
                <w:tcPr>
                  <w:tcW w:w="2818" w:type="pct"/>
                  <w:tcBorders>
                    <w:tl2br w:val="nil"/>
                    <w:tr2bl w:val="nil"/>
                  </w:tcBorders>
                  <w:vAlign w:val="center"/>
                </w:tcPr>
                <w:p>
                  <w:r>
                    <w:rPr>
                      <w:rFonts w:hint="eastAsia"/>
                    </w:rPr>
                    <w:t>根据供应商提供的施工组织设计进行评审：1、施工方案编制；2、施工准备；3、施工实施计划及进度保证措施；4、施工方法；5、工程重点难点分析。要素内容详尽齐全逻辑合理，以上每一项要素分值</w:t>
                  </w:r>
                  <w:r>
                    <w:t>2</w:t>
                  </w:r>
                  <w:r>
                    <w:rPr>
                      <w:rFonts w:hint="eastAsia"/>
                    </w:rPr>
                    <w:t>分。</w:t>
                  </w:r>
                </w:p>
                <w:p>
                  <w:r>
                    <w:rPr>
                      <w:rFonts w:hint="eastAsia"/>
                    </w:rPr>
                    <w:t>（1）以上5项每缺少一项要素扣</w:t>
                  </w:r>
                  <w:r>
                    <w:t>2</w:t>
                  </w:r>
                  <w:r>
                    <w:rPr>
                      <w:rFonts w:hint="eastAsia"/>
                    </w:rPr>
                    <w:t>分；（2）每一项要素中若有描缺陷或不符合项目实际要求的，每有一处扣1分，每一项要素最多扣</w:t>
                  </w:r>
                  <w:r>
                    <w:t>2</w:t>
                  </w:r>
                  <w:r>
                    <w:rPr>
                      <w:rFonts w:hint="eastAsia"/>
                    </w:rPr>
                    <w:t xml:space="preserve">分。注：描述缺陷或不符合项目实际要求具体是指内容阐述不完整或凭空编造或存在不可能实 </w:t>
                  </w:r>
                </w:p>
                <w:p>
                  <w:r>
                    <w:rPr>
                      <w:rFonts w:hint="eastAsia"/>
                    </w:rPr>
                    <w:t>现的夸大情形或提供内容与项目无关或项目名称不符或方案内容与该项目技术、服务、商务及其他要求不一致等情形的内容描述。</w:t>
                  </w:r>
                </w:p>
              </w:tc>
            </w:tr>
            <w:tr>
              <w:trPr>
                <w:trHeight w:val="611"/>
              </w:trPr>
              <w:tc>
                <w:tcPr>
                  <w:tcW w:w="838" w:type="pct"/>
                  <w:vMerge/>
                  <w:tcBorders>
                    <w:tl2br w:val="nil"/>
                    <w:tr2bl w:val="nil"/>
                  </w:tcBorders>
                </w:tcPr>
                <w:p/>
              </w:tc>
              <w:tc>
                <w:tcPr>
                  <w:tcW w:w="1422" w:type="pct"/>
                  <w:tcBorders>
                    <w:tl2br w:val="nil"/>
                    <w:tr2bl w:val="nil"/>
                  </w:tcBorders>
                  <w:vAlign w:val="center"/>
                </w:tcPr>
                <w:p>
                  <w:r>
                    <w:rPr>
                      <w:rFonts w:hint="eastAsia"/>
                    </w:rPr>
                    <w:t>质量管理措施</w:t>
                  </w:r>
                </w:p>
                <w:p>
                  <w:r>
                    <w:rPr>
                      <w:rFonts w:hint="eastAsia"/>
                    </w:rPr>
                    <w:t>(</w:t>
                  </w:r>
                  <w:r>
                    <w:t>8</w:t>
                  </w:r>
                  <w:r>
                    <w:rPr>
                      <w:rFonts w:hint="eastAsia"/>
                    </w:rPr>
                    <w:t>.0分)</w:t>
                  </w:r>
                </w:p>
              </w:tc>
              <w:tc>
                <w:tcPr>
                  <w:tcW w:w="2818" w:type="pct"/>
                  <w:tcBorders>
                    <w:tl2br w:val="nil"/>
                    <w:tr2bl w:val="nil"/>
                  </w:tcBorders>
                  <w:vAlign w:val="center"/>
                </w:tcPr>
                <w:p>
                  <w:r>
                    <w:rPr>
                      <w:rFonts w:hint="eastAsia"/>
                    </w:rPr>
                    <w:t>根据供应商提供的质量管理措施进行评审：1、质量管理；2、质量监督检查；3、质量控制措施；4、质量通病防治措施等要素。要素内容详尽齐全逻辑合理，以上每一项要素分值</w:t>
                  </w:r>
                  <w:r>
                    <w:t>2</w:t>
                  </w:r>
                  <w:r>
                    <w:rPr>
                      <w:rFonts w:hint="eastAsia"/>
                    </w:rPr>
                    <w:t xml:space="preserve">分。 </w:t>
                  </w:r>
                </w:p>
                <w:p>
                  <w:r>
                    <w:rPr>
                      <w:rFonts w:hint="eastAsia"/>
                    </w:rPr>
                    <w:t>（1）以上4项每缺少一项要素扣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41"/>
              </w:trPr>
              <w:tc>
                <w:tcPr>
                  <w:tcW w:w="838" w:type="pct"/>
                  <w:vMerge/>
                  <w:tcBorders>
                    <w:tl2br w:val="nil"/>
                    <w:tr2bl w:val="nil"/>
                  </w:tcBorders>
                </w:tcPr>
                <w:p/>
              </w:tc>
              <w:tc>
                <w:tcPr>
                  <w:tcW w:w="1422" w:type="pct"/>
                  <w:tcBorders>
                    <w:tl2br w:val="nil"/>
                    <w:tr2bl w:val="nil"/>
                  </w:tcBorders>
                  <w:vAlign w:val="center"/>
                </w:tcPr>
                <w:p>
                  <w:r>
                    <w:rPr>
                      <w:rFonts w:hint="eastAsia"/>
                    </w:rPr>
                    <w:t>安全管理措施</w:t>
                  </w:r>
                </w:p>
                <w:p>
                  <w:r>
                    <w:rPr>
                      <w:rFonts w:hint="eastAsia"/>
                    </w:rPr>
                    <w:t xml:space="preserve"> (</w:t>
                  </w:r>
                  <w:r>
                    <w:t>10.0</w:t>
                  </w:r>
                  <w:r>
                    <w:rPr>
                      <w:rFonts w:hint="eastAsia"/>
                    </w:rPr>
                    <w:t>分)</w:t>
                  </w:r>
                </w:p>
              </w:tc>
              <w:tc>
                <w:tcPr>
                  <w:tcW w:w="2818" w:type="pct"/>
                  <w:tcBorders>
                    <w:tl2br w:val="nil"/>
                    <w:tr2bl w:val="nil"/>
                  </w:tcBorders>
                  <w:vAlign w:val="center"/>
                </w:tcPr>
                <w:p>
                  <w:r>
                    <w:rPr>
                      <w:rFonts w:hint="eastAsia"/>
                    </w:rPr>
                    <w:t xml:space="preserve">根据供应商提供的安全管理措施进行评审：1、安全生产管理制度；2、安全防范措施；3、施工现场维护管控措施；4、安全隐患排查；5、安全应急预案等要素。要素内容 </w:t>
                  </w:r>
                </w:p>
                <w:p>
                  <w:r>
                    <w:rPr>
                      <w:rFonts w:hint="eastAsia"/>
                    </w:rPr>
                    <w:t>详尽齐全逻辑合理，以上每一项要素分值</w:t>
                  </w:r>
                  <w:r>
                    <w:t>2</w:t>
                  </w:r>
                  <w:r>
                    <w:rPr>
                      <w:rFonts w:hint="eastAsia"/>
                    </w:rPr>
                    <w:t xml:space="preserve">分。 </w:t>
                  </w:r>
                </w:p>
                <w:p>
                  <w:r>
                    <w:rPr>
                      <w:rFonts w:hint="eastAsia"/>
                    </w:rPr>
                    <w:t>（1）以上5项每缺少一项要素扣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594"/>
              </w:trPr>
              <w:tc>
                <w:tcPr>
                  <w:tcW w:w="838" w:type="pct"/>
                  <w:vMerge/>
                  <w:tcBorders>
                    <w:tl2br w:val="nil"/>
                    <w:tr2bl w:val="nil"/>
                  </w:tcBorders>
                </w:tcPr>
                <w:p/>
              </w:tc>
              <w:tc>
                <w:tcPr>
                  <w:tcW w:w="1422" w:type="pct"/>
                  <w:tcBorders>
                    <w:tl2br w:val="nil"/>
                    <w:tr2bl w:val="nil"/>
                  </w:tcBorders>
                  <w:vAlign w:val="center"/>
                </w:tcPr>
                <w:p>
                  <w:r>
                    <w:rPr>
                      <w:rFonts w:hint="eastAsia"/>
                    </w:rPr>
                    <w:t>施工总体进度计划</w:t>
                  </w:r>
                </w:p>
                <w:p>
                  <w:r>
                    <w:rPr>
                      <w:rFonts w:hint="eastAsia"/>
                    </w:rPr>
                    <w:t>（</w:t>
                  </w:r>
                  <w:r>
                    <w:t>4</w:t>
                  </w:r>
                  <w:r>
                    <w:rPr>
                      <w:rFonts w:hint="eastAsia"/>
                    </w:rPr>
                    <w:t>.0分）</w:t>
                  </w:r>
                </w:p>
              </w:tc>
              <w:tc>
                <w:tcPr>
                  <w:tcW w:w="2818" w:type="pct"/>
                  <w:tcBorders>
                    <w:tl2br w:val="nil"/>
                    <w:tr2bl w:val="nil"/>
                  </w:tcBorders>
                  <w:vAlign w:val="center"/>
                </w:tcPr>
                <w:p>
                  <w:r>
                    <w:rPr>
                      <w:rFonts w:hint="eastAsia"/>
                    </w:rPr>
                    <w:t>根据供应商提供的施工总体进度计划进行评审：1、工期目标；2、施工进度计划（包括材料设备进场）；3、关键线路明确性；4、工期保证措施等要素。</w:t>
                  </w:r>
                </w:p>
                <w:p>
                  <w:r>
                    <w:rPr>
                      <w:rFonts w:hint="eastAsia"/>
                    </w:rPr>
                    <w:t>要素内容详尽齐全逻辑合理，以上每一项要素分值</w:t>
                  </w:r>
                  <w:r>
                    <w:t>1</w:t>
                  </w:r>
                  <w:r>
                    <w:rPr>
                      <w:rFonts w:hint="eastAsia"/>
                    </w:rPr>
                    <w:t>分。（1）以上4项每缺少一项要素扣</w:t>
                  </w:r>
                  <w:r>
                    <w:t>1</w:t>
                  </w:r>
                  <w:r>
                    <w:rPr>
                      <w:rFonts w:hint="eastAsia"/>
                    </w:rPr>
                    <w:t>分；（2）每一项要素中若有描述缺陷或不符合项目实际要求的，每有一处扣1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1422" w:type="pct"/>
                  <w:tcBorders>
                    <w:tl2br w:val="nil"/>
                    <w:tr2bl w:val="nil"/>
                  </w:tcBorders>
                  <w:vAlign w:val="center"/>
                </w:tcPr>
                <w:p>
                  <w:r>
                    <w:rPr>
                      <w:rFonts w:hint="eastAsia"/>
                    </w:rPr>
                    <w:t>环境保护管理体系与措施（</w:t>
                  </w:r>
                  <w:r>
                    <w:t>4</w:t>
                  </w:r>
                  <w:r>
                    <w:rPr>
                      <w:rFonts w:hint="eastAsia"/>
                    </w:rPr>
                    <w:t>分）</w:t>
                  </w:r>
                </w:p>
                <w:p/>
              </w:tc>
              <w:tc>
                <w:tcPr>
                  <w:tcW w:w="2818" w:type="pct"/>
                  <w:tcBorders>
                    <w:tl2br w:val="nil"/>
                    <w:tr2bl w:val="nil"/>
                  </w:tcBorders>
                  <w:vAlign w:val="center"/>
                </w:tcPr>
                <w:p>
                  <w:r>
                    <w:rPr>
                      <w:rFonts w:hint="eastAsia"/>
                    </w:rPr>
                    <w:t xml:space="preserve">根据供应商提供的环境保护管理体系与措施进行评审：1、环境保护管理；2、噪声及扬尘防治；3、污染防治；4、废弃物污染防治等要素。要素内容详尽齐全逻辑合理， </w:t>
                  </w:r>
                </w:p>
                <w:p>
                  <w:r>
                    <w:rPr>
                      <w:rFonts w:hint="eastAsia"/>
                    </w:rPr>
                    <w:t>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w:t>
                  </w:r>
                </w:p>
                <w:p>
                  <w:r>
                    <w:rPr>
                      <w:rFonts w:hint="eastAsia"/>
                    </w:rPr>
                    <w:t>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1422" w:type="pct"/>
                  <w:tcBorders>
                    <w:tl2br w:val="nil"/>
                    <w:tr2bl w:val="nil"/>
                  </w:tcBorders>
                  <w:vAlign w:val="center"/>
                </w:tcPr>
                <w:p>
                  <w:r>
                    <w:rPr>
                      <w:rFonts w:hint="eastAsia"/>
                    </w:rPr>
                    <w:t>资源配备计划</w:t>
                  </w:r>
                </w:p>
                <w:p>
                  <w:r>
                    <w:rPr>
                      <w:rFonts w:hint="eastAsia"/>
                    </w:rPr>
                    <w:t>（</w:t>
                  </w:r>
                  <w:r>
                    <w:t>4</w:t>
                  </w:r>
                  <w:r>
                    <w:rPr>
                      <w:rFonts w:hint="eastAsia"/>
                    </w:rPr>
                    <w:t>分）</w:t>
                  </w:r>
                </w:p>
              </w:tc>
              <w:tc>
                <w:tcPr>
                  <w:tcW w:w="2818" w:type="pct"/>
                  <w:tcBorders>
                    <w:tl2br w:val="nil"/>
                    <w:tr2bl w:val="nil"/>
                  </w:tcBorders>
                  <w:vAlign w:val="center"/>
                </w:tcPr>
                <w:p>
                  <w:r>
                    <w:rPr>
                      <w:rFonts w:hint="eastAsia"/>
                    </w:rPr>
                    <w:t>根据供应商提供的资源配备计划进行评审：1、劳动力配备；2、投入设备配置；3、管理组织机构；4、项目资源保障措施等要素。要素内容详尽齐全逻辑合理，以上每一项要素分值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 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839"/>
              </w:trPr>
              <w:tc>
                <w:tcPr>
                  <w:tcW w:w="758" w:type="pct"/>
                  <w:vMerge w:val="restart"/>
                  <w:tcBorders>
                    <w:tl2br w:val="nil"/>
                    <w:tr2bl w:val="nil"/>
                  </w:tcBorders>
                  <w:vAlign w:val="center"/>
                </w:tcPr>
                <w:p>
                  <w:r>
                    <w:rPr>
                      <w:rFonts w:hint="eastAsia"/>
                    </w:rPr>
                    <w:t>商务部分</w:t>
                  </w:r>
                </w:p>
                <w:p>
                  <w:r>
                    <w:rPr>
                      <w:rFonts w:hint="eastAsia"/>
                    </w:rPr>
                    <w:t>（</w:t>
                  </w:r>
                  <w:r>
                    <w:t>10</w:t>
                  </w:r>
                  <w:r>
                    <w:rPr>
                      <w:rFonts w:hint="eastAsia"/>
                    </w:rPr>
                    <w:t>分)</w:t>
                  </w:r>
                </w:p>
              </w:tc>
              <w:tc>
                <w:tcPr>
                  <w:tcW w:w="1422" w:type="pct"/>
                  <w:tcBorders>
                    <w:tl2br w:val="nil"/>
                    <w:tr2bl w:val="nil"/>
                  </w:tcBorders>
                  <w:vAlign w:val="center"/>
                </w:tcPr>
                <w:p>
                  <w:r>
                    <w:rPr>
                      <w:rFonts w:hint="eastAsia"/>
                    </w:rPr>
                    <w:t>拟派项目管理机构人员（</w:t>
                  </w:r>
                  <w:r>
                    <w:t>5</w:t>
                  </w:r>
                  <w:r>
                    <w:rPr>
                      <w:rFonts w:hint="eastAsia"/>
                    </w:rPr>
                    <w:t>分）</w:t>
                  </w:r>
                </w:p>
              </w:tc>
              <w:tc>
                <w:tcPr>
                  <w:tcW w:w="2818" w:type="pct"/>
                  <w:tcBorders>
                    <w:tl2br w:val="nil"/>
                    <w:tr2bl w:val="nil"/>
                  </w:tcBorders>
                  <w:vAlign w:val="center"/>
                </w:tcPr>
                <w:p>
                  <w:r>
                    <w:rPr>
                      <w:rFonts w:hint="eastAsia"/>
                    </w:rPr>
                    <w:t>项目管理机构配备齐全合理，除项目负责人和技术负责人外，配备质量(检)员、安全员、施工员、资(材)料员、造价师(预算员)等岗位人员每个岗位人员得</w:t>
                  </w:r>
                  <w:r>
                    <w:t>1</w:t>
                  </w:r>
                  <w:r>
                    <w:rPr>
                      <w:rFonts w:hint="eastAsia"/>
                    </w:rPr>
                    <w:t>分，最高得</w:t>
                  </w:r>
                  <w:r>
                    <w:t>5</w:t>
                  </w:r>
                  <w:r>
                    <w:rPr>
                      <w:rFonts w:hint="eastAsia"/>
                    </w:rPr>
                    <w:t>分。（注:1.安全员须具有安全生产考核合格证，且在有效期内；2.供应商须提供每个人员的岗位证书或证明材料及近1个月社保证明；3.近1个月是指2025年1月至今任意1个月。）</w:t>
                  </w:r>
                </w:p>
              </w:tc>
            </w:tr>
            <w:tr>
              <w:trPr>
                <w:trHeight w:val="1713"/>
              </w:trPr>
              <w:tc>
                <w:tcPr>
                  <w:tcW w:w="838" w:type="pct"/>
                  <w:vMerge/>
                  <w:tcBorders>
                    <w:tl2br w:val="nil"/>
                    <w:tr2bl w:val="nil"/>
                  </w:tcBorders>
                  <w:vAlign w:val="center"/>
                </w:tcPr>
                <w:p/>
              </w:tc>
              <w:tc>
                <w:tcPr>
                  <w:tcW w:w="1422" w:type="pct"/>
                  <w:tcBorders>
                    <w:tl2br w:val="nil"/>
                    <w:tr2bl w:val="nil"/>
                  </w:tcBorders>
                  <w:vAlign w:val="center"/>
                </w:tcPr>
                <w:p>
                  <w:r>
                    <w:rPr>
                      <w:rFonts w:hint="eastAsia"/>
                    </w:rPr>
                    <w:t>业绩（</w:t>
                  </w:r>
                  <w:r>
                    <w:t>5</w:t>
                  </w:r>
                  <w:r>
                    <w:rPr>
                      <w:rFonts w:hint="eastAsia"/>
                    </w:rPr>
                    <w:t>分）</w:t>
                  </w:r>
                </w:p>
              </w:tc>
              <w:tc>
                <w:tcPr>
                  <w:tcW w:w="2818" w:type="pct"/>
                  <w:tcBorders>
                    <w:tl2br w:val="nil"/>
                    <w:tr2bl w:val="nil"/>
                  </w:tcBorders>
                  <w:vAlign w:val="center"/>
                </w:tcPr>
                <w:p>
                  <w:r>
                    <w:rPr>
                      <w:rFonts w:hint="eastAsia"/>
                    </w:rPr>
                    <w:t>供应商近五年（202</w:t>
                  </w:r>
                  <w:r>
                    <w:t>1</w:t>
                  </w:r>
                  <w:r>
                    <w:rPr>
                      <w:rFonts w:hint="eastAsia"/>
                    </w:rPr>
                    <w:t>年</w:t>
                  </w:r>
                  <w:r>
                    <w:t>5</w:t>
                  </w:r>
                  <w:r>
                    <w:rPr>
                      <w:rFonts w:hint="eastAsia"/>
                    </w:rPr>
                    <w:t>月1日至今）类似项目业绩，每有一份得</w:t>
                  </w:r>
                  <w:r>
                    <w:t>1</w:t>
                  </w:r>
                  <w:r>
                    <w:rPr>
                      <w:rFonts w:hint="eastAsia"/>
                    </w:rPr>
                    <w:t>分，最多得</w:t>
                  </w:r>
                  <w:r>
                    <w:t>5</w:t>
                  </w:r>
                  <w:r>
                    <w:rPr>
                      <w:rFonts w:hint="eastAsia"/>
                    </w:rPr>
                    <w:t>分，提供合同，日期以合同签订日期为准，不提供不得分。</w:t>
                  </w:r>
                </w:p>
                <w:p>
                  <w:r>
                    <w:rPr>
                      <w:rFonts w:hint="eastAsia"/>
                    </w:rPr>
                    <w:t>（注：须提供业绩合同复印件并加盖公章，否则不得分）</w:t>
                  </w:r>
                </w:p>
              </w:tc>
            </w:tr>
            <w:tr>
              <w:trPr>
                <w:trHeight w:val="1153"/>
              </w:trPr>
              <w:tc>
                <w:tcPr>
                  <w:tcW w:w="758" w:type="pct"/>
                  <w:tcBorders>
                    <w:tl2br w:val="nil"/>
                    <w:tr2bl w:val="nil"/>
                  </w:tcBorders>
                  <w:vAlign w:val="center"/>
                </w:tcPr>
                <w:p>
                  <w:r>
                    <w:rPr>
                      <w:rFonts w:hint="eastAsia"/>
                    </w:rPr>
                    <w:t>报价</w:t>
                  </w:r>
                </w:p>
                <w:p>
                  <w:r>
                    <w:rPr>
                      <w:rFonts w:hint="eastAsia"/>
                    </w:rPr>
                    <w:t>（50分)</w:t>
                  </w:r>
                </w:p>
              </w:tc>
              <w:tc>
                <w:tcPr>
                  <w:tcW w:w="1422" w:type="pct"/>
                  <w:tcBorders>
                    <w:tl2br w:val="nil"/>
                    <w:tr2bl w:val="nil"/>
                  </w:tcBorders>
                  <w:vAlign w:val="center"/>
                </w:tcPr>
                <w:p>
                  <w:r>
                    <w:rPr>
                      <w:rFonts w:hint="eastAsia"/>
                    </w:rPr>
                    <w:t xml:space="preserve">报价得分 </w:t>
                  </w:r>
                </w:p>
                <w:p>
                  <w:r>
                    <w:rPr>
                      <w:rFonts w:hint="eastAsia"/>
                    </w:rPr>
                    <w:t>(50分)</w:t>
                  </w:r>
                </w:p>
              </w:tc>
              <w:tc>
                <w:tcPr>
                  <w:tcW w:w="2818" w:type="pct"/>
                  <w:tcBorders>
                    <w:tl2br w:val="nil"/>
                    <w:tr2bl w:val="nil"/>
                  </w:tcBorders>
                  <w:vAlign w:val="center"/>
                </w:tcPr>
                <w:p>
                  <w:pPr>
                    <w:rPr>
                      <w:lang w:val="zh-CN"/>
                    </w:rPr>
                  </w:pPr>
                  <w:r>
                    <w:rPr>
                      <w:rFonts w:hint="eastAsia"/>
                      <w:lang w:val="zh-CN"/>
                    </w:rPr>
                    <w:t>报价得分=（</w:t>
                  </w:r>
                  <w:r>
                    <w:rPr>
                      <w:rFonts w:hint="eastAsia"/>
                    </w:rPr>
                    <w:t>评审</w:t>
                  </w:r>
                  <w:r>
                    <w:rPr>
                      <w:rFonts w:hint="eastAsia"/>
                      <w:lang w:val="zh-CN"/>
                    </w:rPr>
                    <w:t>基准价/</w:t>
                  </w:r>
                  <w:r>
                    <w:rPr>
                      <w:rFonts w:hint="eastAsia"/>
                    </w:rPr>
                    <w:t>投标</w:t>
                  </w:r>
                  <w:r>
                    <w:rPr>
                      <w:rFonts w:hint="eastAsia"/>
                      <w:lang w:val="zh-CN"/>
                    </w:rPr>
                    <w:t>报价）×价格权值×100</w:t>
                  </w:r>
                </w:p>
                <w:p>
                  <w:r>
                    <w:rPr>
                      <w:rFonts w:hint="eastAsia"/>
                      <w:lang w:val="zh-CN"/>
                    </w:rPr>
                    <w:t>（注：满足</w:t>
                  </w:r>
                  <w:r>
                    <w:rPr>
                      <w:rFonts w:hint="eastAsia"/>
                    </w:rPr>
                    <w:t>比选</w:t>
                  </w:r>
                  <w:r>
                    <w:rPr>
                      <w:rFonts w:hint="eastAsia"/>
                      <w:lang w:val="zh-CN"/>
                    </w:rPr>
                    <w:t>文件要求且报价最低的供应商的价格为</w:t>
                  </w:r>
                  <w:r>
                    <w:rPr>
                      <w:rFonts w:hint="eastAsia"/>
                    </w:rPr>
                    <w:t>评审</w:t>
                  </w:r>
                  <w:r>
                    <w:rPr>
                      <w:rFonts w:hint="eastAsia"/>
                      <w:lang w:val="zh-CN"/>
                    </w:rPr>
                    <w:t>基准价，其价格分为满分。）最低报价不是成交的唯一依据。</w:t>
                  </w:r>
                </w:p>
              </w:tc>
            </w:tr>
          </w:tbl>
          <w:p>
            <w:pPr>
              <w:spacing w:line="560" w:lineRule="exact"/>
              <w:jc w:val="left"/>
              <w:rPr>
                <w:rFonts w:ascii="方正仿宋_GBK" w:eastAsia="方正仿宋_GBK" w:cs="方正仿宋_GBK"/>
                <w:sz w:val="28"/>
                <w:szCs w:val="28"/>
              </w:rPr>
            </w:pPr>
          </w:p>
        </w:tc>
      </w:tr>
      <w:tr>
        <w:trPr>
          <w:trHeight w:val="1265"/>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7011" w:type="dxa"/>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1、公告期限（</w:t>
            </w:r>
            <w:r>
              <w:rPr>
                <w:rFonts w:ascii="方正仿宋_GBK" w:eastAsia="方正仿宋_GBK" w:cs="方正仿宋_GBK"/>
                <w:sz w:val="28"/>
                <w:szCs w:val="28"/>
              </w:rPr>
              <w:t>3</w:t>
            </w:r>
            <w:r>
              <w:rPr>
                <w:rFonts w:ascii="方正仿宋_GBK" w:eastAsia="方正仿宋_GBK" w:cs="方正仿宋_GBK" w:hint="eastAsia"/>
                <w:sz w:val="28"/>
                <w:szCs w:val="28"/>
              </w:rPr>
              <w:t>个工作日）</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2、响应文件份数（正本</w:t>
            </w:r>
            <w:r>
              <w:rPr>
                <w:rFonts w:ascii="方正仿宋_GBK" w:eastAsia="方正仿宋_GBK" w:cs="方正仿宋_GBK"/>
                <w:sz w:val="28"/>
                <w:szCs w:val="28"/>
              </w:rPr>
              <w:t>1</w:t>
            </w:r>
            <w:r>
              <w:rPr>
                <w:rFonts w:ascii="方正仿宋_GBK" w:eastAsia="方正仿宋_GBK" w:cs="方正仿宋_GBK" w:hint="eastAsia"/>
                <w:sz w:val="28"/>
                <w:szCs w:val="28"/>
              </w:rPr>
              <w:t>份，</w:t>
            </w:r>
            <w:r>
              <w:rPr>
                <w:rFonts w:ascii="方正仿宋_GBK" w:eastAsia="方正仿宋_GBK" w:cs="方正仿宋_GBK"/>
                <w:sz w:val="28"/>
                <w:szCs w:val="28"/>
              </w:rPr>
              <w:t>副本</w:t>
            </w:r>
            <w:r>
              <w:rPr>
                <w:rFonts w:ascii="方正仿宋_GBK" w:eastAsia="方正仿宋_GBK" w:cs="方正仿宋_GBK" w:hint="eastAsia"/>
                <w:sz w:val="28"/>
                <w:szCs w:val="28"/>
              </w:rPr>
              <w:t>1份</w:t>
            </w:r>
            <w:r>
              <w:rPr>
                <w:rFonts w:ascii="方正仿宋_GBK" w:eastAsia="方正仿宋_GBK" w:cs="方正仿宋_GBK"/>
                <w:sz w:val="28"/>
                <w:szCs w:val="28"/>
              </w:rPr>
              <w:t>，电子版</w:t>
            </w:r>
            <w:r>
              <w:rPr>
                <w:rFonts w:ascii="方正仿宋_GBK" w:eastAsia="方正仿宋_GBK" w:cs="方正仿宋_GBK" w:hint="eastAsia"/>
                <w:sz w:val="28"/>
                <w:szCs w:val="28"/>
              </w:rPr>
              <w:t>1份）</w:t>
            </w:r>
          </w:p>
        </w:tc>
      </w:tr>
    </w:tbl>
    <w:p>
      <w:pPr>
        <w:rPr>
          <w:rFonts w:ascii="方正仿宋_GBK" w:eastAsia="方正仿宋_GBK" w:cs="方正仿宋_GBK"/>
          <w:sz w:val="32"/>
          <w:szCs w:val="32"/>
        </w:rPr>
      </w:pPr>
    </w:p>
    <w:p>
      <w:pPr>
        <w:spacing w:line="560" w:lineRule="exact"/>
        <w:jc w:val="right"/>
        <w:rPr>
          <w:rFonts w:ascii="方正仿宋_GBK" w:eastAsia="方正仿宋_GBK" w:cs="方正仿宋_GBK"/>
          <w:sz w:val="32"/>
          <w:szCs w:val="32"/>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Arial Unicode MS"/>
    <w:panose1 w:val="00000000000000000000"/>
    <w:charset w:val="86"/>
    <w:family w:val="script"/>
    <w:pitch w:val="variable"/>
    <w:sig w:usb0="00000000" w:usb1="00000000" w:usb2="00000010" w:usb3="00000000" w:csb0="00040000" w:csb1="00000000"/>
  </w:font>
  <w:font w:name="方正小标宋_GBK">
    <w:altName w:val="Arial Unicode MS"/>
    <w:panose1 w:val="00000000000000000000"/>
    <w:charset w:val="86"/>
    <w:family w:val="script"/>
    <w:pitch w:val="variable"/>
    <w:sig w:usb0="00000000" w:usb1="00000000" w:usb2="00000010" w:usb3="00000000" w:csb0="00040000" w:csb1="00000000"/>
  </w:font>
  <w:font w:name="方正楷体_GBK">
    <w:altName w:val="Arial Unicode MS"/>
    <w:panose1 w:val="00000000000000000000"/>
    <w:charset w:val="86"/>
    <w:family w:val="script"/>
    <w:pitch w:val="variable"/>
    <w:sig w:usb0="00000000" w:usb1="00000000" w:usb2="00000010" w:usb3="00000000" w:csb0="00040000" w:csb1="00000000"/>
  </w:font>
  <w:font w:name="方正仿宋_GBK">
    <w:altName w:val="Arial Unicode MS"/>
    <w:panose1 w:val="00000000000000000000"/>
    <w:charset w:val="86"/>
    <w:family w:val="script"/>
    <w:pitch w:val="variable"/>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19"/>
      </w:rPr>
      <w:fldChar w:fldCharType="begin"/>
    </w:r>
    <w:r>
      <w:rPr>
        <w:rStyle w:val="19"/>
      </w:rPr>
      <w:instrText>Page</w:instrText>
    </w:r>
    <w:r>
      <w:rPr>
        <w:rStyle w:val="19"/>
      </w:rPr>
      <w:fldChar w:fldCharType="separate"/>
    </w:r>
    <w:r>
      <w:rPr>
        <w:rStyle w:val="19"/>
      </w:rPr>
      <w:t>4</w:t>
    </w:r>
    <w:r>
      <w:rPr>
        <w:rStyle w:val="19"/>
      </w:rPr>
      <w:fldChar w:fldCharType="end"/>
    </w:r>
  </w:p>
  <w:p>
    <w:pPr>
      <w:pStyle w:val="16"/>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87"/>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index heading"/>
    <w:basedOn w:val="0"/>
    <w:rPr>
      <w:rFonts w:ascii="Arial" w:hAnsi="Arial"/>
      <w:b/>
    </w:rPr>
  </w:style>
  <w:style w:type="character" w:styleId="19">
    <w:name w:val="page number"/>
    <w:basedOn w:val="10"/>
  </w:style>
  <w:style w:type="paragraph" w:customStyle="1" w:styleId="20">
    <w:name w:val="样式 10 磅"/>
    <w:pPr>
      <w:widowControl w:val="0"/>
      <w:jc w:val="both"/>
    </w:pPr>
    <w:rPr>
      <w:rFonts w:ascii="Calibri" w:eastAsia="宋体" w:cs="Arial" w:hAnsi="Calibri"/>
      <w:kern w:val="2"/>
      <w:sz w:val="21"/>
      <w:szCs w:val="24"/>
      <w:lang w:val="en-US" w:eastAsia="zh-CN" w:bidi="ar-SA"/>
    </w:rPr>
  </w:style>
  <w:style w:type="paragraph" w:customStyle="1" w:styleId="21">
    <w:name w:val="样式 1 10 磅"/>
    <w:pPr>
      <w:widowControl w:val="0"/>
      <w:jc w:val="both"/>
    </w:pPr>
    <w:rPr>
      <w:rFonts w:ascii="Calibri" w:eastAsia="宋体" w:cs="Arial" w:hAnsi="Calibri"/>
      <w:kern w:val="2"/>
      <w:sz w:val="21"/>
      <w:szCs w:val="24"/>
      <w:lang w:val="en-US" w:eastAsia="zh-CN" w:bidi="ar-SA"/>
    </w:rPr>
  </w:style>
  <w:style w:type="paragraph" w:customStyle="1" w:styleId="22">
    <w:name w:val="样式 2 10 磅"/>
    <w:pPr>
      <w:widowControl w:val="0"/>
      <w:jc w:val="both"/>
    </w:pPr>
    <w:rPr>
      <w:rFonts w:ascii="Calibri" w:eastAsia="宋体" w:cs="Arial" w:hAnsi="Calibri"/>
      <w:kern w:val="2"/>
      <w:sz w:val="21"/>
      <w:szCs w:val="24"/>
      <w:lang w:val="en-US" w:eastAsia="zh-CN" w:bidi="ar-SA"/>
    </w:rPr>
  </w:style>
  <w:style w:type="paragraph" w:customStyle="1" w:styleId="23">
    <w:name w:val="样式 3 10 磅"/>
    <w:pPr>
      <w:widowControl w:val="0"/>
      <w:jc w:val="both"/>
    </w:pPr>
    <w:rPr>
      <w:rFonts w:ascii="Calibri" w:eastAsia="宋体" w:cs="Arial" w:hAnsi="Calibri"/>
      <w:kern w:val="2"/>
      <w:sz w:val="21"/>
      <w:szCs w:val="24"/>
      <w:lang w:val="en-US" w:eastAsia="zh-CN" w:bidi="ar-SA"/>
    </w:rPr>
  </w:style>
  <w:style w:type="paragraph" w:customStyle="1" w:styleId="24">
    <w:name w:val="样式 4 10 磅"/>
    <w:pPr>
      <w:widowControl w:val="0"/>
      <w:jc w:val="both"/>
    </w:pPr>
    <w:rPr>
      <w:rFonts w:ascii="Calibri" w:eastAsia="宋体" w:cs="Arial" w:hAnsi="Calibri"/>
      <w:kern w:val="2"/>
      <w:sz w:val="21"/>
      <w:szCs w:val="24"/>
      <w:lang w:val="en-US" w:eastAsia="zh-CN" w:bidi="ar-SA"/>
    </w:rPr>
  </w:style>
  <w:style w:type="paragraph" w:customStyle="1" w:styleId="25">
    <w:name w:val="样式 5 10 磅"/>
    <w:pPr>
      <w:widowControl w:val="0"/>
      <w:jc w:val="both"/>
    </w:pPr>
    <w:rPr>
      <w:rFonts w:ascii="Calibri" w:eastAsia="宋体" w:cs="Arial" w:hAnsi="Calibri"/>
      <w:kern w:val="2"/>
      <w:sz w:val="21"/>
      <w:szCs w:val="24"/>
      <w:lang w:val="en-US" w:eastAsia="zh-CN" w:bidi="ar-SA"/>
    </w:rPr>
  </w:style>
  <w:style w:type="paragraph" w:customStyle="1" w:styleId="26">
    <w:name w:val="样式 6 10 磅"/>
    <w:pPr>
      <w:widowControl w:val="0"/>
      <w:jc w:val="both"/>
    </w:pPr>
    <w:rPr>
      <w:rFonts w:ascii="Calibri" w:eastAsia="宋体" w:cs="Arial" w:hAnsi="Calibri"/>
      <w:kern w:val="2"/>
      <w:sz w:val="21"/>
      <w:szCs w:val="24"/>
      <w:lang w:val="en-US" w:eastAsia="zh-CN" w:bidi="ar-SA"/>
    </w:rPr>
  </w:style>
  <w:style w:type="paragraph" w:customStyle="1" w:styleId="27">
    <w:name w:val="样式 7 10 磅"/>
    <w:pPr>
      <w:widowControl w:val="0"/>
      <w:jc w:val="both"/>
    </w:pPr>
    <w:rPr>
      <w:rFonts w:ascii="Calibri" w:eastAsia="宋体" w:cs="Arial" w:hAnsi="Calibri"/>
      <w:kern w:val="2"/>
      <w:sz w:val="21"/>
      <w:szCs w:val="24"/>
      <w:lang w:val="en-US" w:eastAsia="zh-CN" w:bidi="ar-SA"/>
    </w:rPr>
  </w:style>
  <w:style w:type="paragraph" w:customStyle="1" w:styleId="28">
    <w:name w:val="样式 8 10 磅"/>
    <w:pPr>
      <w:widowControl w:val="0"/>
      <w:jc w:val="both"/>
    </w:pPr>
    <w:rPr>
      <w:rFonts w:ascii="Calibri" w:eastAsia="宋体" w:cs="Arial" w:hAnsi="Calibri"/>
      <w:kern w:val="2"/>
      <w:sz w:val="21"/>
      <w:szCs w:val="24"/>
      <w:lang w:val="en-US" w:eastAsia="zh-CN" w:bidi="ar-SA"/>
    </w:rPr>
  </w:style>
  <w:style w:type="paragraph" w:customStyle="1" w:styleId="29">
    <w:name w:val="样式 9 10 磅"/>
    <w:pPr>
      <w:widowControl w:val="0"/>
      <w:jc w:val="both"/>
    </w:pPr>
    <w:rPr>
      <w:rFonts w:ascii="Calibri" w:eastAsia="宋体" w:cs="Arial" w:hAnsi="Calibri"/>
      <w:kern w:val="2"/>
      <w:sz w:val="21"/>
      <w:szCs w:val="24"/>
      <w:lang w:val="en-US" w:eastAsia="zh-CN" w:bidi="ar-SA"/>
    </w:rPr>
  </w:style>
  <w:style w:type="paragraph" w:customStyle="1" w:styleId="30">
    <w:name w:val="样式 10 10 磅"/>
    <w:pPr>
      <w:widowControl w:val="0"/>
      <w:jc w:val="both"/>
    </w:pPr>
    <w:rPr>
      <w:rFonts w:ascii="Calibri" w:eastAsia="宋体" w:cs="Arial" w:hAnsi="Calibri"/>
      <w:kern w:val="2"/>
      <w:sz w:val="21"/>
      <w:szCs w:val="24"/>
      <w:lang w:val="en-US" w:eastAsia="zh-CN" w:bidi="ar-SA"/>
    </w:rPr>
  </w:style>
  <w:style w:type="paragraph" w:customStyle="1" w:styleId="31">
    <w:name w:val="样式 11 10 磅"/>
    <w:pPr>
      <w:widowControl w:val="0"/>
      <w:jc w:val="both"/>
    </w:pPr>
    <w:rPr>
      <w:rFonts w:ascii="Calibri" w:eastAsia="宋体" w:cs="Arial" w:hAnsi="Calibri"/>
      <w:kern w:val="2"/>
      <w:sz w:val="21"/>
      <w:szCs w:val="24"/>
      <w:lang w:val="en-US" w:eastAsia="zh-CN" w:bidi="ar-SA"/>
    </w:rPr>
  </w:style>
  <w:style w:type="paragraph" w:customStyle="1" w:styleId="32">
    <w:name w:val="样式 12 10 磅"/>
    <w:pPr>
      <w:widowControl w:val="0"/>
      <w:jc w:val="both"/>
    </w:pPr>
    <w:rPr>
      <w:rFonts w:ascii="Calibri" w:eastAsia="宋体" w:cs="Arial" w:hAnsi="Calibri"/>
      <w:kern w:val="2"/>
      <w:sz w:val="21"/>
      <w:szCs w:val="24"/>
      <w:lang w:val="en-US" w:eastAsia="zh-CN" w:bidi="ar-SA"/>
    </w:rPr>
  </w:style>
  <w:style w:type="paragraph" w:customStyle="1" w:styleId="33">
    <w:name w:val="样式 13 10 磅"/>
    <w:pPr>
      <w:widowControl w:val="0"/>
      <w:jc w:val="both"/>
    </w:pPr>
    <w:rPr>
      <w:rFonts w:ascii="Calibri" w:eastAsia="宋体" w:cs="Arial" w:hAnsi="Calibri"/>
      <w:kern w:val="2"/>
      <w:sz w:val="21"/>
      <w:szCs w:val="24"/>
      <w:lang w:val="en-US" w:eastAsia="zh-CN" w:bidi="ar-SA"/>
    </w:rPr>
  </w:style>
  <w:style w:type="paragraph" w:customStyle="1" w:styleId="34">
    <w:name w:val="样式 14 10 磅"/>
    <w:pPr>
      <w:widowControl w:val="0"/>
      <w:jc w:val="both"/>
    </w:pPr>
    <w:rPr>
      <w:rFonts w:ascii="Calibri" w:eastAsia="宋体" w:cs="Arial" w:hAnsi="Calibri"/>
      <w:kern w:val="2"/>
      <w:sz w:val="21"/>
      <w:szCs w:val="24"/>
      <w:lang w:val="en-US" w:eastAsia="zh-CN" w:bidi="ar-SA"/>
    </w:rPr>
  </w:style>
  <w:style w:type="paragraph" w:customStyle="1" w:styleId="35">
    <w:name w:val="样式 15 10 磅"/>
    <w:pPr>
      <w:widowControl w:val="0"/>
      <w:jc w:val="both"/>
    </w:pPr>
    <w:rPr>
      <w:rFonts w:ascii="Calibri" w:eastAsia="宋体" w:cs="Arial" w:hAnsi="Calibri"/>
      <w:kern w:val="2"/>
      <w:sz w:val="21"/>
      <w:szCs w:val="24"/>
      <w:lang w:val="en-US" w:eastAsia="zh-CN" w:bidi="ar-SA"/>
    </w:rPr>
  </w:style>
  <w:style w:type="paragraph" w:customStyle="1" w:styleId="36">
    <w:name w:val="样式 16 10 磅"/>
    <w:pPr>
      <w:widowControl w:val="0"/>
      <w:jc w:val="both"/>
    </w:pPr>
    <w:rPr>
      <w:rFonts w:ascii="Calibri" w:eastAsia="宋体" w:cs="Arial" w:hAnsi="Calibri"/>
      <w:kern w:val="2"/>
      <w:sz w:val="21"/>
      <w:szCs w:val="24"/>
      <w:lang w:val="en-US" w:eastAsia="zh-CN" w:bidi="ar-SA"/>
    </w:rPr>
  </w:style>
  <w:style w:type="paragraph" w:customStyle="1" w:styleId="37">
    <w:name w:val="样式 17 10 磅"/>
    <w:pPr>
      <w:widowControl w:val="0"/>
      <w:jc w:val="both"/>
    </w:pPr>
    <w:rPr>
      <w:rFonts w:ascii="Calibri" w:eastAsia="宋体" w:cs="Arial" w:hAnsi="Calibri"/>
      <w:kern w:val="2"/>
      <w:sz w:val="21"/>
      <w:szCs w:val="24"/>
      <w:lang w:val="en-US" w:eastAsia="zh-CN" w:bidi="ar-SA"/>
    </w:rPr>
  </w:style>
  <w:style w:type="paragraph" w:customStyle="1" w:styleId="38">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39">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0">
    <w:name w:val="样式 18 10 磅"/>
    <w:pPr>
      <w:widowControl w:val="0"/>
      <w:jc w:val="both"/>
    </w:pPr>
    <w:rPr>
      <w:rFonts w:ascii="Calibri" w:eastAsia="宋体" w:cs="Arial" w:hAnsi="Calibri"/>
      <w:kern w:val="2"/>
      <w:sz w:val="21"/>
      <w:szCs w:val="24"/>
      <w:lang w:val="en-US" w:eastAsia="zh-CN" w:bidi="ar-SA"/>
    </w:rPr>
  </w:style>
  <w:style w:type="paragraph" w:customStyle="1" w:styleId="41">
    <w:name w:val="样式 19 10 磅"/>
    <w:pPr>
      <w:widowControl w:val="0"/>
      <w:jc w:val="both"/>
    </w:pPr>
    <w:rPr>
      <w:rFonts w:ascii="Calibri" w:eastAsia="宋体" w:cs="Arial" w:hAnsi="Calibri"/>
      <w:kern w:val="2"/>
      <w:sz w:val="21"/>
      <w:szCs w:val="24"/>
      <w:lang w:val="en-US" w:eastAsia="zh-CN" w:bidi="ar-SA"/>
    </w:rPr>
  </w:style>
  <w:style w:type="paragraph" w:customStyle="1" w:styleId="42">
    <w:name w:val="样式 20 10 磅"/>
    <w:pPr>
      <w:widowControl w:val="0"/>
      <w:jc w:val="both"/>
    </w:pPr>
    <w:rPr>
      <w:rFonts w:ascii="Calibri" w:eastAsia="宋体" w:cs="Arial" w:hAnsi="Calibri"/>
      <w:kern w:val="2"/>
      <w:sz w:val="21"/>
      <w:szCs w:val="24"/>
      <w:lang w:val="en-US" w:eastAsia="zh-CN" w:bidi="ar-SA"/>
    </w:rPr>
  </w:style>
  <w:style w:type="paragraph" w:customStyle="1" w:styleId="43">
    <w:name w:val="样式 21 10 磅"/>
    <w:pPr>
      <w:widowControl w:val="0"/>
      <w:jc w:val="both"/>
    </w:pPr>
    <w:rPr>
      <w:rFonts w:ascii="Calibri" w:eastAsia="宋体" w:cs="Arial" w:hAnsi="Calibri"/>
      <w:kern w:val="2"/>
      <w:sz w:val="21"/>
      <w:szCs w:val="24"/>
      <w:lang w:val="en-US" w:eastAsia="zh-CN" w:bidi="ar-SA"/>
    </w:rPr>
  </w:style>
  <w:style w:type="paragraph" w:customStyle="1" w:styleId="44">
    <w:name w:val="样式 22 10 磅"/>
    <w:pPr>
      <w:widowControl w:val="0"/>
      <w:jc w:val="both"/>
    </w:pPr>
    <w:rPr>
      <w:rFonts w:ascii="Calibri" w:eastAsia="宋体" w:cs="Arial" w:hAnsi="Calibri"/>
      <w:kern w:val="2"/>
      <w:sz w:val="21"/>
      <w:szCs w:val="24"/>
      <w:lang w:val="en-US" w:eastAsia="zh-CN" w:bidi="ar-SA"/>
    </w:rPr>
  </w:style>
  <w:style w:type="paragraph" w:customStyle="1" w:styleId="45">
    <w:name w:val="样式 小四"/>
    <w:pPr>
      <w:widowControl w:val="0"/>
    </w:pPr>
    <w:rPr>
      <w:rFonts w:ascii="宋体" w:eastAsia="宋体" w:cs="Times New Roman"/>
      <w:kern w:val="2"/>
      <w:sz w:val="24"/>
      <w:szCs w:val="21"/>
      <w:lang w:val="en-US" w:eastAsia="zh-CN" w:bidi="ar-SA"/>
    </w:rPr>
  </w:style>
  <w:style w:type="paragraph" w:customStyle="1" w:styleId="46">
    <w:name w:val="样式 23 10 磅"/>
    <w:pPr>
      <w:widowControl w:val="0"/>
      <w:jc w:val="both"/>
    </w:pPr>
    <w:rPr>
      <w:rFonts w:ascii="Calibri" w:eastAsia="宋体" w:cs="Arial" w:hAnsi="Calibri"/>
      <w:kern w:val="2"/>
      <w:sz w:val="21"/>
      <w:szCs w:val="24"/>
      <w:lang w:val="en-US" w:eastAsia="zh-CN" w:bidi="ar-SA"/>
    </w:rPr>
  </w:style>
  <w:style w:type="paragraph" w:customStyle="1" w:styleId="47">
    <w:name w:val="样式 24 10 磅"/>
    <w:pPr>
      <w:widowControl w:val="0"/>
      <w:jc w:val="both"/>
    </w:pPr>
    <w:rPr>
      <w:rFonts w:ascii="Calibri" w:eastAsia="宋体" w:cs="Arial" w:hAnsi="Calibri"/>
      <w:kern w:val="2"/>
      <w:sz w:val="21"/>
      <w:szCs w:val="24"/>
      <w:lang w:val="en-US" w:eastAsia="zh-CN" w:bidi="ar-SA"/>
    </w:rPr>
  </w:style>
  <w:style w:type="paragraph" w:customStyle="1" w:styleId="48">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9">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0">
    <w:name w:val="样式 25 10 磅"/>
    <w:link w:val="50Char"/>
    <w:pPr>
      <w:widowControl w:val="0"/>
      <w:jc w:val="both"/>
    </w:pPr>
    <w:rPr>
      <w:rFonts w:ascii="Calibri" w:eastAsia="宋体" w:cs="Arial" w:hAnsi="Calibri"/>
      <w:kern w:val="2"/>
      <w:sz w:val="21"/>
      <w:szCs w:val="24"/>
      <w:lang w:val="en-US" w:eastAsia="zh-CN" w:bidi="ar-SA"/>
    </w:rPr>
  </w:style>
  <w:style w:type="character" w:customStyle="1" w:styleId="50Char">
    <w:name w:val="样式 25 10 磅 Char"/>
    <w:basedOn w:val="10"/>
    <w:link w:val="50"/>
    <w:rPr>
      <w:rFonts w:ascii="Calibri" w:eastAsia="宋体" w:cs="Arial" w:hAnsi="Calibri"/>
      <w:kern w:val="2"/>
      <w:sz w:val="21"/>
      <w:szCs w:val="24"/>
      <w:lang w:val="en-US" w:eastAsia="zh-CN" w:bidi="ar-SA"/>
    </w:rPr>
  </w:style>
  <w:style w:type="paragraph" w:customStyle="1" w:styleId="51">
    <w:name w:val="样式 26 10 磅"/>
    <w:pPr>
      <w:widowControl w:val="0"/>
      <w:jc w:val="both"/>
    </w:pPr>
    <w:rPr>
      <w:rFonts w:ascii="Calibri" w:eastAsia="宋体" w:cs="Arial" w:hAnsi="Calibri"/>
      <w:kern w:val="2"/>
      <w:sz w:val="21"/>
      <w:szCs w:val="24"/>
      <w:lang w:val="en-US" w:eastAsia="zh-CN" w:bidi="ar-SA"/>
    </w:rPr>
  </w:style>
  <w:style w:type="paragraph" w:customStyle="1" w:styleId="52">
    <w:name w:val="样式 27 10 磅"/>
    <w:pPr>
      <w:widowControl w:val="0"/>
      <w:jc w:val="both"/>
    </w:pPr>
    <w:rPr>
      <w:rFonts w:ascii="Calibri" w:eastAsia="宋体" w:cs="Times New Roman" w:hAnsi="Calibri"/>
      <w:kern w:val="2"/>
      <w:sz w:val="21"/>
      <w:szCs w:val="22"/>
      <w:lang w:val="en-US" w:eastAsia="zh-CN" w:bidi="ar-SA"/>
    </w:rPr>
  </w:style>
  <w:style w:type="paragraph" w:customStyle="1" w:styleId="53">
    <w:name w:val="样式 28 10 磅"/>
    <w:pPr>
      <w:widowControl w:val="0"/>
      <w:jc w:val="both"/>
    </w:pPr>
    <w:rPr>
      <w:rFonts w:ascii="Calibri" w:eastAsia="宋体" w:cs="Times New Roman" w:hAnsi="Calibri"/>
      <w:kern w:val="2"/>
      <w:sz w:val="21"/>
      <w:szCs w:val="22"/>
      <w:lang w:val="en-US" w:eastAsia="zh-CN" w:bidi="ar-SA"/>
    </w:rPr>
  </w:style>
  <w:style w:type="paragraph" w:customStyle="1" w:styleId="54">
    <w:name w:val="样式 29 10 磅"/>
    <w:pPr>
      <w:widowControl w:val="0"/>
      <w:jc w:val="both"/>
    </w:pPr>
    <w:rPr>
      <w:rFonts w:ascii="Calibri" w:eastAsia="宋体" w:cs="Arial" w:hAnsi="Calibri"/>
      <w:kern w:val="2"/>
      <w:sz w:val="21"/>
      <w:szCs w:val="24"/>
      <w:lang w:val="en-US" w:eastAsia="zh-CN" w:bidi="ar-SA"/>
    </w:rPr>
  </w:style>
  <w:style w:type="paragraph" w:customStyle="1" w:styleId="55">
    <w:name w:val="样式 30 10 磅"/>
    <w:pPr>
      <w:widowControl w:val="0"/>
      <w:jc w:val="both"/>
    </w:pPr>
    <w:rPr>
      <w:rFonts w:ascii="Calibri" w:eastAsia="宋体" w:cs="Arial" w:hAnsi="Calibri"/>
      <w:kern w:val="2"/>
      <w:sz w:val="21"/>
      <w:szCs w:val="24"/>
      <w:lang w:val="en-US" w:eastAsia="zh-CN" w:bidi="ar-SA"/>
    </w:rPr>
  </w:style>
  <w:style w:type="paragraph" w:customStyle="1" w:styleId="56">
    <w:name w:val="样式 31 10 磅"/>
    <w:pPr>
      <w:widowControl w:val="0"/>
      <w:jc w:val="both"/>
    </w:pPr>
    <w:rPr>
      <w:rFonts w:ascii="Calibri" w:eastAsia="宋体" w:cs="Arial" w:hAnsi="Calibri"/>
      <w:kern w:val="2"/>
      <w:sz w:val="21"/>
      <w:szCs w:val="24"/>
      <w:lang w:val="en-US" w:eastAsia="zh-CN" w:bidi="ar-SA"/>
    </w:rPr>
  </w:style>
  <w:style w:type="paragraph" w:customStyle="1" w:styleId="57">
    <w:name w:val="样式 32 10 磅"/>
    <w:pPr>
      <w:widowControl w:val="0"/>
      <w:jc w:val="both"/>
    </w:pPr>
    <w:rPr>
      <w:rFonts w:ascii="Calibri" w:eastAsia="宋体" w:cs="Arial" w:hAnsi="Calibri"/>
      <w:kern w:val="2"/>
      <w:sz w:val="21"/>
      <w:szCs w:val="24"/>
      <w:lang w:val="en-US" w:eastAsia="zh-CN" w:bidi="ar-SA"/>
    </w:rPr>
  </w:style>
  <w:style w:type="paragraph" w:customStyle="1" w:styleId="5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5</Pages>
  <Words>2712</Words>
  <Characters>2770</Characters>
  <Lines>88</Lines>
  <Paragraphs>83</Paragraphs>
  <CharactersWithSpaces>2778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盛万里</cp:lastModifiedBy>
  <cp:revision>3</cp:revision>
  <cp:lastPrinted>2025-07-02T10:14:00Z</cp:lastPrinted>
  <dcterms:created xsi:type="dcterms:W3CDTF">2026-05-21T08:12:00Z</dcterms:created>
  <dcterms:modified xsi:type="dcterms:W3CDTF">2026-06-11T06:33:46Z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8BFDB32D35E2409A96B744D0C7FC1FE2</vt:lpwstr>
  </property>
  <property fmtid="{D5CDD505-2E9C-101B-9397-08002B2CF9AE}" pid="4" name="KSOTemplateDocerSaveRecord">
    <vt:lpwstr>eyJoZGlkIjoiNzAzZDIyMWY5ZGZhYzM5ODU4N2U4MzM3NDlmNGRiOGEiLCJ1c2VySWQiOiI0NzgyOTI2ODQifQ==</vt:lpwstr>
  </property>
</Properties>
</file>