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方正黑体_GBK"/>
          <w:sz w:val="32"/>
          <w:szCs w:val="32"/>
        </w:rPr>
      </w:pPr>
      <w:bookmarkStart w:id="0" w:name="_GoBack"/>
      <w:bookmarkEnd w:id="0"/>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62"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分局信息化设备运维服务</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62"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50000.00</w:t>
            </w:r>
            <w:r>
              <w:rPr>
                <w:rFonts w:ascii="Times New Roman" w:eastAsia="方正仿宋_GBK" w:cs="Times New Roman" w:hAnsi="Times New Roman"/>
                <w:sz w:val="28"/>
                <w:szCs w:val="28"/>
              </w:rPr>
              <w:t>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62"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F0A3"/>
            </w:r>
            <w:r>
              <w:rPr>
                <w:rFonts w:ascii="方正仿宋_GBK" w:eastAsia="方正仿宋_GBK" w:cs="方正仿宋_GBK" w:hint="eastAsia"/>
                <w:sz w:val="28"/>
                <w:szCs w:val="28"/>
              </w:rPr>
              <w:t>综合评分法（权重：价格</w:t>
            </w:r>
            <w:r>
              <w:rPr>
                <w:rFonts w:ascii="Times New Roman" w:eastAsia="方正仿宋_GBK" w:cs="Times New Roman" w:hAnsi="Times New Roman"/>
                <w:sz w:val="28"/>
                <w:szCs w:val="28"/>
              </w:rPr>
              <w:t>30%、评审因素70%</w:t>
            </w:r>
            <w:r>
              <w:rPr>
                <w:rFonts w:ascii="方正仿宋_GBK" w:eastAsia="方正仿宋_GBK" w:cs="方正仿宋_GBK" w:hint="eastAsia"/>
                <w:sz w:val="28"/>
                <w:szCs w:val="28"/>
              </w:rPr>
              <w:t>）</w:t>
            </w:r>
          </w:p>
        </w:tc>
      </w:tr>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3421"/>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862"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tc>
      </w:tr>
      <w:tr>
        <w:trPr>
          <w:trHeight w:val="2659"/>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862" w:type="dxa"/>
            <w:vAlign w:val="center"/>
          </w:tcPr>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1. 供应商须为在中华人民共和国境内依法注册的独立法人企业，具备有效的营业执照，能够独立承担民事责任和合同履约责任。</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2. 供应商须具备二连浩特市本地化服务能力，可快速响应现场运维及应急保障工作；近3年内须拥有同类或类似视频监控系统运维项目业绩，需提供中标通知书、正式服务合同等有效佐证材料，具备完善的服务体系和专业技术团队，能够保障项目高质量履约。</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3. 供应商须拥有固定的专业技术运维团队，驻场人员需熟练掌握中科可控、中科曙光、HP、Dell、联想等主流品牌计算机及外围信息化设备性能，具备同类政务网络及信息化项目运维经验，可独立完成设备巡检、故障排查、系统调试、网络优化、软硬件修复等全部运维工作。</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4. 供应商未被列入“信用中国”网站失信被执行人名单、重大税收违法案件当事人名单，未被列入中国政府采购网政府采购严重违法失信行为记录名单，无重大违法违规经营记录（投标时须提供招标公告发布时间内的官网查询截图作为有效证明材料）。</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5. 本项目不接受联合体投标，不允许分包、转包，不接受个体工商户及分支机构参与投标。</w:t>
            </w:r>
          </w:p>
        </w:tc>
      </w:tr>
      <w:tr>
        <w:trPr>
          <w:trHeight w:val="108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62" w:type="dxa"/>
          </w:tcPr>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本项目服务内容涵盖计算机终端及外设故障维修、多版本操作系统安装升级、国产化系统适配、海关专用业务软件运维、网络安全防护、业务网络运维、打印复印传真设备维保、整机除尘保养、视频会议室设备专项保障及应急处置等全流程服务。通过常态化巡检、标准化维保、快速故障响应、专人驻场保障、重大任务专项值守等服务模式，保障海关各项工作安全稳定开展。供应商需提供常态化、专业化、全流程运维保障服务，具体内容如下：</w:t>
            </w:r>
          </w:p>
          <w:p>
            <w:pPr>
              <w:spacing w:line="400" w:lineRule="exact"/>
              <w:rPr>
                <w:rFonts w:ascii="方正仿宋_GBK" w:eastAsia="方正仿宋_GBK" w:cs="方正仿宋_GBK" w:hint="eastAsia"/>
                <w:bCs/>
                <w:sz w:val="28"/>
                <w:szCs w:val="28"/>
              </w:rPr>
            </w:pPr>
            <w:r>
              <w:rPr>
                <w:rFonts w:ascii="方正仿宋_GBK" w:eastAsia="方正仿宋_GBK" w:cs="方正仿宋_GBK" w:hint="eastAsia"/>
                <w:bCs/>
                <w:sz w:val="28"/>
                <w:szCs w:val="28"/>
              </w:rPr>
              <w:t>一、项目服务内容及技术要求</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本项目服务范围涵盖二连海关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分局全部信息化终端设备、办公外设、网络环境、操作系统、业务软件、视频会议系统的日常巡检、故障维修、系统调试、安全防护、清洁保养、专项保障及应急处置等全流程运维服务，具体内容如下：</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（一）计算机终端系统运维服务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1. 负责海关专用业务软件运维，包含但不限于政务、业务办公软件的安装、调试、故障修复、版本更新及日常技术支撑，保障相关系统安全稳定运行。</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2. 处置计算机各类硬件故障：开机无反应、黑屏报错、设备报警、运行卡顿、自动开关机、异常死机、开机自检停滞、设备掉电等；修复USB、COM、VGA、DP、HDMI等接口失效故障。</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3. 处理系统各类运行异常问题：蓝屏、花屏、键鼠失灵、弹窗报错、桌面异常、无音频、麦克风失效、U盘/移动硬盘读取异常、系统密码解密、网速卡顿、频繁掉线、杀毒报错、摄像头故障、光驱不读盘、打印机脱机、网页无法访问、系统安装失败等。</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4. 负责网络环境调试运维，包括网络优化，各类故障排查处理。</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5. 提供系统安装升级与安全防护服务，包括银河麒麟、windows、Linux等操作系统安装部署、补丁升级、漏洞修复，提升终端运行稳定性与安全性，满足海关日常办公及业务运行需求。</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（二）办公外设运维服务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负责海关打印机、扫描仪、传真机等办公输出设备全量运维工作，具体包括：处理设备不通电、脱机、卡纸、跳行、错位、空白、进纸异常等故障；修复打印复印模糊、墨点、色差、黑带、白带、字迹残缺等输出质量问题；开展设备日常清洁养护、故障报错修复，按需完成加粉、换鼓、换墨盒等常规耗材更换及设备调试工作。</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（三）设备除尘清洁服务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定期对网络设备、计算机终端、显示器、打印机、一体机、传真机等全部办公信息化设备开展整机除尘清洁作业，清理设备内部积灰、散热通道及接口污渍，优化设备散热性能，降低硬件老化、死机、故障发生率。所有除尘作业规范操作，确保设备无损伤、无二次故障，有效延长设备使用寿命。</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（四）视频会议室专项保障服务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1. 将海关所有视频会议设备、音频设备、显示设备、控制系统及配套网络纳入常态化运维管理，建立7×24小时应急处置机制，落实定期巡检、专项保养、故障快修工作，建立完整的会议设备运维台账档案。</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2. 实行视频会议全流程保障模式，会前完成设备调试、网络检测、音视频测试，会中全程在岗值守，会后做好设备复位、养护及问题复盘工作。</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3. 快速处置会议期间突发设备故障、音视频异常、网络中断等问题，全力保障各类上下级联动会议、专项工作会议稳定顺畅开展。</w:t>
            </w:r>
          </w:p>
          <w:p>
            <w:pPr>
              <w:spacing w:line="400" w:lineRule="exact"/>
              <w:rPr>
                <w:rFonts w:ascii="方正仿宋_GBK" w:eastAsia="方正仿宋_GBK" w:cs="方正仿宋_GBK" w:hint="eastAsia"/>
                <w:bCs/>
                <w:sz w:val="28"/>
                <w:szCs w:val="28"/>
              </w:rPr>
            </w:pPr>
            <w:r>
              <w:rPr>
                <w:rFonts w:ascii="方正仿宋_GBK" w:eastAsia="方正仿宋_GBK" w:cs="方正仿宋_GBK" w:hint="eastAsia"/>
                <w:bCs/>
                <w:sz w:val="28"/>
                <w:szCs w:val="28"/>
              </w:rPr>
              <w:t>（五）专人驻场运维服务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 xml:space="preserve">1. </w:t>
            </w:r>
            <w:r>
              <w:rPr>
                <w:rStyle w:val="0"/>
                <w:rFonts w:ascii="方正仿宋_GBK" w:eastAsia="方正仿宋_GBK" w:cs="方正仿宋_GBK" w:hint="eastAsia"/>
                <w:bCs/>
                <w:sz w:val="28"/>
                <w:szCs w:val="28"/>
              </w:rPr>
              <w:t>专属项目联系人</w:t>
            </w:r>
            <w:r>
              <w:rPr>
                <w:rFonts w:ascii="方正仿宋_GBK" w:eastAsia="方正仿宋_GBK" w:cs="方正仿宋_GBK" w:hint="eastAsia"/>
                <w:sz w:val="28"/>
                <w:szCs w:val="28"/>
              </w:rPr>
              <w:t>：供应商须指定1名专职项目联系人，全程负责项目对接、工单统筹、问题反馈、进度汇报及日常沟通，保持7×24小时通讯畅通，与甲方建立常态化紧密联动机制。</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 xml:space="preserve">2. </w:t>
            </w:r>
            <w:r>
              <w:rPr>
                <w:rStyle w:val="0"/>
                <w:rFonts w:ascii="方正仿宋_GBK" w:eastAsia="方正仿宋_GBK" w:cs="方正仿宋_GBK" w:hint="eastAsia"/>
                <w:bCs/>
                <w:sz w:val="28"/>
                <w:szCs w:val="28"/>
              </w:rPr>
              <w:t>全职驻场工程师</w:t>
            </w:r>
            <w:r>
              <w:rPr>
                <w:rFonts w:ascii="方正仿宋_GBK" w:eastAsia="方正仿宋_GBK" w:cs="方正仿宋_GBK" w:hint="eastAsia"/>
                <w:sz w:val="28"/>
                <w:szCs w:val="28"/>
              </w:rPr>
              <w:t>：供应商须配置</w:t>
            </w:r>
            <w:r>
              <w:rPr>
                <w:rFonts w:ascii="方正仿宋_GBK" w:eastAsia="方正仿宋_GBK" w:cs="方正仿宋_GBK" w:hint="eastAsia"/>
                <w:bCs/>
                <w:sz w:val="28"/>
                <w:szCs w:val="28"/>
              </w:rPr>
              <w:t>至少1名专职工程师全职驻场服务</w:t>
            </w:r>
            <w:r>
              <w:rPr>
                <w:rFonts w:ascii="方正仿宋_GBK" w:eastAsia="方正仿宋_GBK" w:cs="方正仿宋_GBK" w:hint="eastAsia"/>
                <w:sz w:val="28"/>
                <w:szCs w:val="28"/>
              </w:rPr>
              <w:t>，驻场人员需熟练掌握中科可控、中科曙光、HP、Dell、联想等主流品牌计算机及外围信息化设备性能，具备同类政务网络及信息化项目运维经验，可独立完成设备巡检、故障排查、系统调试、网络优化、软硬件修复等全部运维工作。</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 xml:space="preserve">3. </w:t>
            </w:r>
            <w:r>
              <w:rPr>
                <w:rStyle w:val="0"/>
                <w:rFonts w:ascii="方正仿宋_GBK" w:eastAsia="方正仿宋_GBK" w:cs="方正仿宋_GBK" w:hint="eastAsia"/>
                <w:bCs/>
                <w:sz w:val="28"/>
                <w:szCs w:val="28"/>
              </w:rPr>
              <w:t>应急增派保障</w:t>
            </w:r>
            <w:r>
              <w:rPr>
                <w:rFonts w:ascii="方正仿宋_GBK" w:eastAsia="方正仿宋_GBK" w:cs="方正仿宋_GBK" w:hint="eastAsia"/>
                <w:sz w:val="28"/>
                <w:szCs w:val="28"/>
              </w:rPr>
              <w:t>：遇甲方重要会议、重大活动、专项检查等重点任务时，供应商须无条件增派至少1名专业工程师到场专项保障，确保重大任务零故障、零失误。</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 xml:space="preserve">4. </w:t>
            </w:r>
            <w:r>
              <w:rPr>
                <w:rStyle w:val="0"/>
                <w:rFonts w:ascii="方正仿宋_GBK" w:eastAsia="方正仿宋_GBK" w:cs="方正仿宋_GBK" w:hint="eastAsia"/>
                <w:bCs/>
                <w:sz w:val="28"/>
                <w:szCs w:val="28"/>
              </w:rPr>
              <w:t>驻场人员管理</w:t>
            </w:r>
            <w:r>
              <w:rPr>
                <w:rFonts w:ascii="方正仿宋_GBK" w:eastAsia="方正仿宋_GBK" w:cs="方正仿宋_GBK" w:hint="eastAsia"/>
                <w:sz w:val="28"/>
                <w:szCs w:val="28"/>
              </w:rPr>
              <w:t>：驻场人员须严格遵守甲方考勤制度、管理制度及保密规定，服从甲方统一调度、着装规范；人员更换须提前7个工作日书面报备甲方，经审核同意后方可更换，保障服务连续性。</w:t>
            </w:r>
          </w:p>
          <w:p>
            <w:pPr>
              <w:spacing w:line="400" w:lineRule="exact"/>
              <w:rPr>
                <w:rFonts w:ascii="方正仿宋_GBK" w:eastAsia="方正仿宋_GBK" w:cs="方正仿宋_GBK" w:hint="eastAsia"/>
                <w:sz w:val="28"/>
                <w:szCs w:val="28"/>
              </w:rPr>
            </w:pPr>
            <w:r>
              <w:rPr>
                <w:rStyle w:val="0"/>
                <w:rFonts w:ascii="方正仿宋_GBK" w:eastAsia="方正仿宋_GBK" w:cs="方正仿宋_GBK" w:hint="eastAsia"/>
                <w:bCs/>
                <w:sz w:val="28"/>
                <w:szCs w:val="28"/>
              </w:rPr>
              <w:t xml:space="preserve">5.保障时效： </w:t>
            </w:r>
            <w:r>
              <w:rPr>
                <w:rFonts w:ascii="方正仿宋_GBK" w:eastAsia="方正仿宋_GBK" w:cs="方正仿宋_GBK" w:hint="eastAsia"/>
                <w:sz w:val="28"/>
                <w:szCs w:val="28"/>
              </w:rPr>
              <w:t>建立7×24小时全天候故障响应机制，接到故障报修、系统异常通知后，公路口岸、铁路口岸30分钟内抵达现场处置，航空口岸60分钟时内抵达现场；一般故障当日完成修复，重大故障24小时内出具专项处置方案并完成紧急抢修，最大限度缩短系统停运时间。</w:t>
            </w:r>
          </w:p>
          <w:p>
            <w:pPr>
              <w:spacing w:line="400" w:lineRule="exact"/>
              <w:rPr>
                <w:rFonts w:ascii="方正仿宋_GBK" w:eastAsia="方正仿宋_GBK" w:cs="方正仿宋_GBK" w:hint="eastAsia"/>
                <w:bCs/>
                <w:sz w:val="28"/>
                <w:szCs w:val="28"/>
              </w:rPr>
            </w:pPr>
            <w:r>
              <w:rPr>
                <w:rFonts w:ascii="方正仿宋_GBK" w:eastAsia="方正仿宋_GBK" w:cs="方正仿宋_GBK" w:hint="eastAsia"/>
                <w:bCs/>
                <w:sz w:val="28"/>
                <w:szCs w:val="28"/>
              </w:rPr>
              <w:t>（六）应急处置服务</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针对暴雨、雷击、断电、设备大面积故障、突发安全事件、专项安保任务等特殊场景，供应商需第一时间启动应急运维预案，安排专属技术人员到场处置，快速排查故障、恢复系统功能，全力保障监控系统关键时段正常履职。</w:t>
            </w:r>
          </w:p>
          <w:p>
            <w:pPr>
              <w:spacing w:line="400" w:lineRule="exact"/>
              <w:rPr>
                <w:rFonts w:ascii="方正仿宋_GBK" w:eastAsia="方正仿宋_GBK" w:cs="方正仿宋_GBK" w:hint="eastAsia"/>
                <w:bCs/>
                <w:sz w:val="28"/>
                <w:szCs w:val="28"/>
              </w:rPr>
            </w:pPr>
            <w:r>
              <w:rPr>
                <w:rFonts w:ascii="方正仿宋_GBK" w:eastAsia="方正仿宋_GBK" w:cs="方正仿宋_GBK" w:hint="eastAsia"/>
                <w:bCs/>
                <w:sz w:val="28"/>
                <w:szCs w:val="28"/>
              </w:rPr>
              <w:t>二、保密要求</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1. 供应商在项目服务全过程中，须严格遵守国家保密法律法规及采购单位保密管理制度，对服务过程中接触的单位内部信息、监控画面、录像资料、设备参数、网络数据、内部管控信息等全部涉密内容，承担终身保密责任。</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2. 未经采购单位书面正式授权，供应商及所有服务人员严禁擅自调取、复制、留存、传播、外泄、公开涉密单位信息，严禁将涉密资料用于本项目运维服务以外的任何用途。</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3. 供应商须对全体在岗运维人员开展专项保密培训，逐一签订个人保密承诺书，建立人员保密管理台账，严格管控涉密信息流转，全面杜绝泄密、窃密、数据泄露等安全风险。</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4. 服务期内及服务合同终止后，供应商须无条件配合采购单位完成涉密资料、数据、设备操作权限的清零、回收、注销工作，不得私自留存、拷贝、备份任何涉密数据及资料。若因供应商原因造成涉密信息、影像、数据泄露，需承担全部法律责任、经济损失及不良后果，采购单位有权立即终止合同、扣除全部服务费用并依法追责。</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5. 本项目中标供应商在签订运维服务主合同的</w:t>
            </w:r>
            <w:r>
              <w:rPr>
                <w:rFonts w:ascii="方正仿宋_GBK" w:eastAsia="方正仿宋_GBK" w:cs="方正仿宋_GBK" w:hint="eastAsia"/>
                <w:bCs/>
                <w:sz w:val="28"/>
                <w:szCs w:val="28"/>
              </w:rPr>
              <w:t>同时，必须同步签订专项保密协议</w:t>
            </w:r>
            <w:r>
              <w:rPr>
                <w:rFonts w:ascii="方正仿宋_GBK" w:eastAsia="方正仿宋_GBK" w:cs="方正仿宋_GBK" w:hint="eastAsia"/>
                <w:sz w:val="28"/>
                <w:szCs w:val="28"/>
              </w:rPr>
              <w:t>，明确双方保密权责、保密期限、违约追责条款等内容；未签订专项保密协议的，不予签订服务合同，由此产生的一切后果由中标供应商自行承担。</w:t>
            </w:r>
          </w:p>
          <w:p>
            <w:pPr>
              <w:spacing w:line="400" w:lineRule="exact"/>
              <w:rPr>
                <w:rFonts w:ascii="方正仿宋_GBK" w:eastAsia="方正仿宋_GBK" w:cs="方正仿宋_GBK" w:hint="eastAsia"/>
                <w:bCs/>
                <w:sz w:val="28"/>
                <w:szCs w:val="28"/>
              </w:rPr>
            </w:pPr>
            <w:r>
              <w:rPr>
                <w:rFonts w:ascii="方正仿宋_GBK" w:eastAsia="方正仿宋_GBK" w:cs="方正仿宋_GBK" w:hint="eastAsia"/>
                <w:bCs/>
                <w:sz w:val="28"/>
                <w:szCs w:val="28"/>
              </w:rPr>
              <w:t>三、其他事项</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1. 供应商须自行完成现场踏勘，全面核实项目设备现状、服务范围、场地条件，充分评估履约风险，结合实际情况制定服务方案及报价。一经投标，即视为充分知晓并认可本项目全部需求、现状及所有条款，后续无异议。</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2. 本项目报价为全包固定包干总价，包含人工、设备维修、耗材更换、全域巡检、交通通勤、应急处置、税费、保密服务等所有相关费用，合同存续期间二连海关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分局不承担任何额外增补费用。</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3. 中标供应商不得擅自转包、分包本项目服务内容，未经二连海关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分局书面同意擅自分包转包的，二连海关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分局有权无条件终止合同并追究违约责任。</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4. 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分局有权根据实际工作及安防管理需求，对服务内容、服务标准进行合理优化调整，中标供应商须无条件全力配合执行。</w:t>
            </w:r>
          </w:p>
          <w:p>
            <w:pPr>
              <w:spacing w:line="400" w:lineRule="exact"/>
              <w:rPr>
                <w:rFonts w:ascii="方正仿宋_GBK" w:eastAsia="方正仿宋_GBK" w:cs="方正仿宋_GBK" w:hint="eastAsia"/>
                <w:sz w:val="28"/>
                <w:szCs w:val="28"/>
              </w:rPr>
            </w:pPr>
            <w:r>
              <w:rPr>
                <w:rFonts w:ascii="方正仿宋_GBK" w:eastAsia="方正仿宋_GBK" w:cs="方正仿宋_GBK" w:hint="eastAsia"/>
                <w:sz w:val="28"/>
                <w:szCs w:val="28"/>
              </w:rPr>
              <w:t>5. 本公告未尽事宜，由二连海关</w:t>
            </w:r>
            <w:r>
              <w:rPr>
                <w:rFonts w:ascii="方正仿宋_GBK" w:eastAsia="方正仿宋_GBK" w:cs="方正仿宋_GBK"/>
                <w:sz w:val="28"/>
                <w:szCs w:val="28"/>
              </w:rPr>
              <w:t>缉私</w:t>
            </w:r>
            <w:r>
              <w:rPr>
                <w:rFonts w:ascii="方正仿宋_GBK" w:eastAsia="方正仿宋_GBK" w:cs="方正仿宋_GBK" w:hint="eastAsia"/>
                <w:sz w:val="28"/>
                <w:szCs w:val="28"/>
              </w:rPr>
              <w:t>分局另行通知、解释。</w:t>
            </w:r>
          </w:p>
        </w:tc>
      </w:tr>
      <w:tr>
        <w:trPr>
          <w:trHeight w:val="610"/>
        </w:trPr>
        <w:tc>
          <w:tcPr>
            <w:tcW w:w="2198"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评审因素</w:t>
            </w:r>
          </w:p>
        </w:tc>
        <w:tc>
          <w:tcPr>
            <w:tcW w:w="6862" w:type="dxa"/>
            <w:vAlign w:val="center"/>
          </w:tcPr>
          <w:p>
            <w:pPr>
              <w:spacing w:line="400" w:lineRule="exact"/>
              <w:rPr>
                <w:rFonts w:ascii="Times New Roman" w:eastAsia="方正仿宋_GBK" w:cs="Times New Roman" w:hAnsi="Times New Roman"/>
                <w:sz w:val="28"/>
                <w:szCs w:val="28"/>
              </w:rPr>
            </w:pPr>
            <w:r>
              <w:rPr>
                <w:rFonts w:ascii="方正仿宋_GBK" w:eastAsia="方正仿宋_GBK" w:cs="方正仿宋_GBK" w:hint="eastAsia"/>
                <w:sz w:val="28"/>
                <w:szCs w:val="28"/>
              </w:rPr>
              <w:t>√最低价法</w:t>
            </w:r>
          </w:p>
        </w:tc>
      </w:tr>
      <w:tr>
        <w:trPr>
          <w:trHeight w:val="2545"/>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862" w:type="dxa"/>
          </w:tcPr>
          <w:p>
            <w:pPr>
              <w:spacing w:line="400" w:lineRule="exact"/>
              <w:jc w:val="left"/>
              <w:rPr>
                <w:rFonts w:ascii="方正仿宋_GBK" w:eastAsia="方正仿宋_GBK" w:cs="方正仿宋_GBK"/>
                <w:sz w:val="28"/>
                <w:szCs w:val="28"/>
              </w:rPr>
            </w:pPr>
          </w:p>
        </w:tc>
      </w:tr>
    </w:tbl>
    <w:p>
      <w:pPr>
        <w:rPr>
          <w:rFonts w:ascii="方正仿宋_GBK" w:eastAsia="方正仿宋_GBK" w:cs="方正仿宋_GBK"/>
          <w:sz w:val="32"/>
          <w:szCs w:val="32"/>
        </w:rPr>
      </w:pPr>
    </w:p>
    <w:p>
      <w:pPr>
        <w:spacing w:line="560" w:lineRule="exac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altName w:val="微软雅黑"/>
    <w:panose1 w:val="00000000000000000000"/>
    <w:charset w:val="86"/>
    <w:family w:val="script"/>
    <w:pitch w:val="variable"/>
    <w:sig w:usb0="00000001" w:usb1="080E0000" w:usb2="00000000" w:usb3="00000000" w:csb0="00040000" w:csb1="00000000"/>
  </w:font>
  <w:font w:name="方正小标宋_GBK">
    <w:altName w:val="微软雅黑"/>
    <w:panose1 w:val="00000000000000000000"/>
    <w:charset w:val="86"/>
    <w:family w:val="script"/>
    <w:pitch w:val="variable"/>
    <w:sig w:usb0="00000001" w:usb1="080E0000" w:usb2="00000000" w:usb3="00000000" w:csb0="00040000" w:csb1="00000000"/>
  </w:font>
  <w:font w:name="方正楷体_GBK">
    <w:altName w:val="微软雅黑"/>
    <w:panose1 w:val="00000000000000000000"/>
    <w:charset w:val="86"/>
    <w:family w:val="script"/>
    <w:pitch w:val="variable"/>
    <w:sig w:usb0="00000001" w:usb1="080E0000" w:usb2="00000000" w:usb3="00000000" w:csb0="00040000" w:csb1="00000000"/>
  </w:font>
  <w:font w:name="方正仿宋_GBK">
    <w:altName w:val="微软雅黑"/>
    <w:panose1 w:val="00000000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4"/>
      </w:rPr>
      <w:fldChar w:fldCharType="begin"/>
    </w:r>
    <w:r>
      <w:rPr>
        <w:rStyle w:val="24"/>
      </w:rPr>
      <w:instrText>Page</w:instrText>
    </w:r>
    <w:r>
      <w:rPr>
        <w:rStyle w:val="24"/>
      </w:rPr>
      <w:fldChar w:fldCharType="separate"/>
    </w:r>
    <w:r>
      <w:rPr>
        <w:rStyle w:val="24"/>
      </w:rPr>
      <w:t>3</w:t>
    </w:r>
    <w:r>
      <w:rPr>
        <w:rStyle w:val="24"/>
      </w:rPr>
      <w:fldChar w:fldCharType="end"/>
    </w:r>
  </w:p>
  <w:p>
    <w:pPr>
      <w:pStyle w:val="17"/>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4"/>
      </w:rPr>
      <w:fldChar w:fldCharType="begin"/>
    </w:r>
    <w:r>
      <w:rPr>
        <w:rStyle w:val="24"/>
      </w:rPr>
      <w:instrText>Page</w:instrText>
    </w:r>
    <w:r>
      <w:rPr>
        <w:rStyle w:val="24"/>
      </w:rPr>
      <w:fldChar w:fldCharType="separate"/>
    </w:r>
    <w:r>
      <w:rPr>
        <w:rStyle w:val="24"/>
      </w:rPr>
      <w:t>1</w:t>
    </w:r>
    <w:r>
      <w:rPr>
        <w:rStyle w:val="24"/>
      </w:rPr>
      <w:fldChar w:fldCharType="end"/>
    </w:r>
  </w:p>
  <w:p>
    <w:pPr>
      <w:pStyle w:val="17"/>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pPr>
      <w:widowControl/>
      <w:spacing w:before="100" w:beforeAutospacing="1" w:after="100" w:afterAutospacing="1"/>
      <w:jc w:val="left"/>
      <w:outlineLvl w:val="1"/>
    </w:pPr>
    <w:rPr>
      <w:rFonts w:ascii="宋体"/>
      <w:b/>
      <w:kern w:val="0"/>
      <w:sz w:val="36"/>
    </w:rPr>
  </w:style>
  <w:style w:type="paragraph" w:styleId="3">
    <w:name w:val="heading 3"/>
    <w:basedOn w:val="0"/>
    <w:pPr>
      <w:widowControl/>
      <w:spacing w:before="100" w:beforeAutospacing="1" w:after="100" w:afterAutospacing="1"/>
      <w:jc w:val="left"/>
      <w:outlineLvl w:val="2"/>
    </w:pPr>
    <w:rPr>
      <w:rFonts w:ascii="宋体"/>
      <w:b/>
      <w:kern w:val="0"/>
      <w:sz w:val="27"/>
    </w:rPr>
  </w:style>
  <w:style w:type="character" w:default="1" w:styleId="10">
    <w:name w:val="Default Paragraph Font"/>
  </w:style>
  <w:style w:type="paragraph" w:styleId="15">
    <w:name w:val="annotation text"/>
    <w:pPr>
      <w:widowControl w:val="0"/>
    </w:pPr>
    <w:rPr>
      <w:rFonts w:ascii="Calibri" w:eastAsia="宋体" w:cs="Arial" w:hAnsi="Calibri"/>
      <w:kern w:val="2"/>
      <w:sz w:val="21"/>
      <w:szCs w:val="24"/>
      <w:lang w:val="en-US" w:eastAsia="zh-CN" w:bidi="ar-SA"/>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index heading"/>
    <w:basedOn w:val="0"/>
    <w:rPr>
      <w:rFonts w:ascii="Arial" w:hAnsi="Arial"/>
      <w:b/>
    </w:rPr>
  </w:style>
  <w:style w:type="paragraph" w:styleId="20">
    <w:name w:val="List 5"/>
    <w:basedOn w:val="0"/>
    <w:pPr>
      <w:ind w:left="2100" w:hanging="420"/>
    </w:pPr>
  </w:style>
  <w:style w:type="paragraph" w:styleId="21">
    <w:name w:val="index 7"/>
    <w:basedOn w:val="0"/>
    <w:autoRedefine/>
    <w:next w:val="0"/>
    <w:pPr>
      <w:ind w:left="2520"/>
    </w:pPr>
  </w:style>
  <w:style w:type="paragraph" w:styleId="22">
    <w:name w:val="Normal (Web)"/>
    <w:next w:val="20"/>
    <w:pPr>
      <w:widowControl w:val="0"/>
      <w:spacing w:before="100" w:beforeAutospacing="1" w:after="100" w:afterAutospacing="1"/>
    </w:pPr>
    <w:rPr>
      <w:rFonts w:ascii="宋体" w:eastAsia="宋体" w:cs="Times New Roman"/>
      <w:kern w:val="2"/>
      <w:sz w:val="24"/>
      <w:szCs w:val="24"/>
      <w:lang w:val="en-US" w:eastAsia="zh-CN" w:bidi="ar-SA"/>
    </w:rPr>
  </w:style>
  <w:style w:type="paragraph" w:styleId="23">
    <w:name w:val="annotation subject"/>
    <w:next w:val="15"/>
    <w:pPr>
      <w:widowControl w:val="0"/>
    </w:pPr>
    <w:rPr>
      <w:rFonts w:ascii="Calibri" w:eastAsia="宋体" w:cs="Arial" w:hAnsi="Calibri"/>
      <w:b/>
      <w:kern w:val="2"/>
      <w:sz w:val="21"/>
      <w:szCs w:val="24"/>
      <w:lang w:val="en-US" w:eastAsia="zh-CN" w:bidi="ar-SA"/>
    </w:rPr>
  </w:style>
  <w:style w:type="character" w:styleId="24">
    <w:name w:val="page number"/>
    <w:basedOn w:val="10"/>
  </w:style>
  <w:style w:type="character" w:styleId="25">
    <w:name w:val="annotation reference"/>
    <w:basedOn w:val="10"/>
    <w:rPr>
      <w:sz w:val="21"/>
      <w:szCs w:val="21"/>
    </w:rPr>
  </w:style>
  <w:style w:type="paragraph" w:customStyle="1" w:styleId="26">
    <w:name w:val="样式 10 磅"/>
    <w:pPr>
      <w:widowControl w:val="0"/>
      <w:jc w:val="both"/>
    </w:pPr>
    <w:rPr>
      <w:rFonts w:ascii="Calibri" w:eastAsia="宋体" w:cs="Arial" w:hAnsi="Calibri"/>
      <w:kern w:val="2"/>
      <w:sz w:val="21"/>
      <w:szCs w:val="24"/>
      <w:lang w:val="en-US" w:eastAsia="zh-CN" w:bidi="ar-SA"/>
    </w:rPr>
  </w:style>
  <w:style w:type="paragraph" w:customStyle="1" w:styleId="27">
    <w:name w:val="样式 1 10 磅"/>
    <w:pPr>
      <w:widowControl w:val="0"/>
      <w:jc w:val="both"/>
    </w:pPr>
    <w:rPr>
      <w:rFonts w:ascii="Calibri" w:eastAsia="宋体" w:cs="Arial" w:hAnsi="Calibri"/>
      <w:kern w:val="2"/>
      <w:sz w:val="21"/>
      <w:szCs w:val="24"/>
      <w:lang w:val="en-US" w:eastAsia="zh-CN" w:bidi="ar-SA"/>
    </w:rPr>
  </w:style>
  <w:style w:type="paragraph" w:customStyle="1" w:styleId="28">
    <w:name w:val="样式 2 10 磅"/>
    <w:pPr>
      <w:widowControl w:val="0"/>
      <w:jc w:val="both"/>
    </w:pPr>
    <w:rPr>
      <w:rFonts w:ascii="Calibri" w:eastAsia="宋体" w:cs="Arial" w:hAnsi="Calibri"/>
      <w:kern w:val="2"/>
      <w:sz w:val="21"/>
      <w:szCs w:val="24"/>
      <w:lang w:val="en-US" w:eastAsia="zh-CN" w:bidi="ar-SA"/>
    </w:rPr>
  </w:style>
  <w:style w:type="paragraph" w:customStyle="1" w:styleId="29">
    <w:name w:val="样式 3 10 磅"/>
    <w:pPr>
      <w:widowControl w:val="0"/>
      <w:jc w:val="both"/>
    </w:pPr>
    <w:rPr>
      <w:rFonts w:ascii="Calibri" w:eastAsia="宋体" w:cs="Arial" w:hAnsi="Calibri"/>
      <w:kern w:val="2"/>
      <w:sz w:val="21"/>
      <w:szCs w:val="24"/>
      <w:lang w:val="en-US" w:eastAsia="zh-CN" w:bidi="ar-SA"/>
    </w:rPr>
  </w:style>
  <w:style w:type="paragraph" w:customStyle="1" w:styleId="30">
    <w:name w:val="样式 4 10 磅"/>
    <w:pPr>
      <w:widowControl w:val="0"/>
      <w:jc w:val="both"/>
    </w:pPr>
    <w:rPr>
      <w:rFonts w:ascii="Calibri" w:eastAsia="宋体" w:cs="Arial" w:hAnsi="Calibri"/>
      <w:kern w:val="2"/>
      <w:sz w:val="21"/>
      <w:szCs w:val="24"/>
      <w:lang w:val="en-US" w:eastAsia="zh-CN" w:bidi="ar-SA"/>
    </w:rPr>
  </w:style>
  <w:style w:type="paragraph" w:customStyle="1" w:styleId="31">
    <w:name w:val="样式 5 10 磅"/>
    <w:pPr>
      <w:widowControl w:val="0"/>
      <w:jc w:val="both"/>
    </w:pPr>
    <w:rPr>
      <w:rFonts w:ascii="Calibri" w:eastAsia="宋体" w:cs="Arial" w:hAnsi="Calibri"/>
      <w:kern w:val="2"/>
      <w:sz w:val="21"/>
      <w:szCs w:val="24"/>
      <w:lang w:val="en-US" w:eastAsia="zh-CN" w:bidi="ar-SA"/>
    </w:rPr>
  </w:style>
  <w:style w:type="paragraph" w:customStyle="1" w:styleId="32">
    <w:name w:val="样式 6 10 磅"/>
    <w:pPr>
      <w:widowControl w:val="0"/>
      <w:jc w:val="both"/>
    </w:pPr>
    <w:rPr>
      <w:rFonts w:ascii="Calibri" w:eastAsia="宋体" w:cs="Arial" w:hAnsi="Calibri"/>
      <w:kern w:val="2"/>
      <w:sz w:val="21"/>
      <w:szCs w:val="24"/>
      <w:lang w:val="en-US" w:eastAsia="zh-CN" w:bidi="ar-SA"/>
    </w:rPr>
  </w:style>
  <w:style w:type="paragraph" w:customStyle="1" w:styleId="33">
    <w:name w:val="样式 7 10 磅"/>
    <w:pPr>
      <w:widowControl w:val="0"/>
      <w:jc w:val="both"/>
    </w:pPr>
    <w:rPr>
      <w:rFonts w:ascii="Calibri" w:eastAsia="宋体" w:cs="Arial" w:hAnsi="Calibri"/>
      <w:kern w:val="2"/>
      <w:sz w:val="21"/>
      <w:szCs w:val="24"/>
      <w:lang w:val="en-US" w:eastAsia="zh-CN" w:bidi="ar-SA"/>
    </w:rPr>
  </w:style>
  <w:style w:type="paragraph" w:customStyle="1" w:styleId="34">
    <w:name w:val="样式 8 10 磅"/>
    <w:pPr>
      <w:widowControl w:val="0"/>
      <w:jc w:val="both"/>
    </w:pPr>
    <w:rPr>
      <w:rFonts w:ascii="Calibri" w:eastAsia="宋体" w:cs="Arial" w:hAnsi="Calibri"/>
      <w:kern w:val="2"/>
      <w:sz w:val="21"/>
      <w:szCs w:val="24"/>
      <w:lang w:val="en-US" w:eastAsia="zh-CN" w:bidi="ar-SA"/>
    </w:rPr>
  </w:style>
  <w:style w:type="paragraph" w:customStyle="1" w:styleId="35">
    <w:name w:val="样式 9 10 磅"/>
    <w:pPr>
      <w:widowControl w:val="0"/>
      <w:jc w:val="both"/>
    </w:pPr>
    <w:rPr>
      <w:rFonts w:ascii="Calibri" w:eastAsia="宋体" w:cs="Arial" w:hAnsi="Calibri"/>
      <w:kern w:val="2"/>
      <w:sz w:val="21"/>
      <w:szCs w:val="24"/>
      <w:lang w:val="en-US" w:eastAsia="zh-CN" w:bidi="ar-SA"/>
    </w:rPr>
  </w:style>
  <w:style w:type="paragraph" w:customStyle="1" w:styleId="36">
    <w:name w:val="样式 10 10 磅"/>
    <w:pPr>
      <w:widowControl w:val="0"/>
      <w:jc w:val="both"/>
    </w:pPr>
    <w:rPr>
      <w:rFonts w:ascii="Calibri" w:eastAsia="宋体" w:cs="Arial" w:hAnsi="Calibri"/>
      <w:kern w:val="2"/>
      <w:sz w:val="21"/>
      <w:szCs w:val="24"/>
      <w:lang w:val="en-US" w:eastAsia="zh-CN" w:bidi="ar-SA"/>
    </w:rPr>
  </w:style>
  <w:style w:type="paragraph" w:customStyle="1" w:styleId="37">
    <w:name w:val="样式 11 10 磅"/>
    <w:pPr>
      <w:widowControl w:val="0"/>
      <w:jc w:val="both"/>
    </w:pPr>
    <w:rPr>
      <w:rFonts w:ascii="Calibri" w:eastAsia="宋体" w:cs="Arial" w:hAnsi="Calibri"/>
      <w:kern w:val="2"/>
      <w:sz w:val="21"/>
      <w:szCs w:val="24"/>
      <w:lang w:val="en-US" w:eastAsia="zh-CN" w:bidi="ar-SA"/>
    </w:rPr>
  </w:style>
  <w:style w:type="paragraph" w:customStyle="1" w:styleId="38">
    <w:name w:val="样式 12 10 磅"/>
    <w:pPr>
      <w:widowControl w:val="0"/>
      <w:jc w:val="both"/>
    </w:pPr>
    <w:rPr>
      <w:rFonts w:ascii="Calibri" w:eastAsia="宋体" w:cs="Arial" w:hAnsi="Calibri"/>
      <w:kern w:val="2"/>
      <w:sz w:val="21"/>
      <w:szCs w:val="24"/>
      <w:lang w:val="en-US" w:eastAsia="zh-CN" w:bidi="ar-SA"/>
    </w:rPr>
  </w:style>
  <w:style w:type="paragraph" w:customStyle="1" w:styleId="39">
    <w:name w:val="样式 13 10 磅"/>
    <w:pPr>
      <w:widowControl w:val="0"/>
      <w:jc w:val="both"/>
    </w:pPr>
    <w:rPr>
      <w:rFonts w:ascii="Calibri" w:eastAsia="宋体" w:cs="Arial" w:hAnsi="Calibri"/>
      <w:kern w:val="2"/>
      <w:sz w:val="21"/>
      <w:szCs w:val="24"/>
      <w:lang w:val="en-US" w:eastAsia="zh-CN" w:bidi="ar-SA"/>
    </w:rPr>
  </w:style>
  <w:style w:type="paragraph" w:customStyle="1" w:styleId="40">
    <w:name w:val="样式 14 10 磅"/>
    <w:pPr>
      <w:widowControl w:val="0"/>
      <w:jc w:val="both"/>
    </w:pPr>
    <w:rPr>
      <w:rFonts w:ascii="Calibri" w:eastAsia="宋体" w:cs="Arial" w:hAnsi="Calibri"/>
      <w:kern w:val="2"/>
      <w:sz w:val="21"/>
      <w:szCs w:val="24"/>
      <w:lang w:val="en-US" w:eastAsia="zh-CN" w:bidi="ar-SA"/>
    </w:rPr>
  </w:style>
  <w:style w:type="paragraph" w:customStyle="1" w:styleId="41">
    <w:name w:val="样式 15 10 磅"/>
    <w:pPr>
      <w:widowControl w:val="0"/>
      <w:jc w:val="both"/>
    </w:pPr>
    <w:rPr>
      <w:rFonts w:ascii="Calibri" w:eastAsia="宋体" w:cs="Arial" w:hAnsi="Calibri"/>
      <w:kern w:val="2"/>
      <w:sz w:val="21"/>
      <w:szCs w:val="24"/>
      <w:lang w:val="en-US" w:eastAsia="zh-CN" w:bidi="ar-SA"/>
    </w:rPr>
  </w:style>
  <w:style w:type="paragraph" w:customStyle="1" w:styleId="42">
    <w:name w:val="样式 16 10 磅"/>
    <w:pPr>
      <w:widowControl w:val="0"/>
      <w:jc w:val="both"/>
    </w:pPr>
    <w:rPr>
      <w:rFonts w:ascii="Calibri" w:eastAsia="宋体" w:cs="Arial" w:hAnsi="Calibri"/>
      <w:kern w:val="2"/>
      <w:sz w:val="21"/>
      <w:szCs w:val="24"/>
      <w:lang w:val="en-US" w:eastAsia="zh-CN" w:bidi="ar-SA"/>
    </w:rPr>
  </w:style>
  <w:style w:type="paragraph" w:customStyle="1" w:styleId="43">
    <w:name w:val="样式 17 10 磅"/>
    <w:pPr>
      <w:widowControl w:val="0"/>
      <w:jc w:val="both"/>
    </w:pPr>
    <w:rPr>
      <w:rFonts w:ascii="Calibri" w:eastAsia="宋体" w:cs="Arial" w:hAnsi="Calibri"/>
      <w:kern w:val="2"/>
      <w:sz w:val="21"/>
      <w:szCs w:val="24"/>
      <w:lang w:val="en-US" w:eastAsia="zh-CN" w:bidi="ar-SA"/>
    </w:rPr>
  </w:style>
  <w:style w:type="paragraph" w:customStyle="1" w:styleId="44">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5">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6">
    <w:name w:val="样式 18 10 磅"/>
    <w:next w:val="29"/>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19 10 磅"/>
    <w:pPr>
      <w:widowControl w:val="0"/>
      <w:jc w:val="both"/>
    </w:pPr>
    <w:rPr>
      <w:rFonts w:ascii="Calibri" w:eastAsia="宋体" w:cs="Arial" w:hAnsi="Calibri"/>
      <w:kern w:val="2"/>
      <w:sz w:val="21"/>
      <w:szCs w:val="24"/>
      <w:lang w:val="en-US" w:eastAsia="zh-CN" w:bidi="ar-SA"/>
    </w:rPr>
  </w:style>
  <w:style w:type="paragraph" w:customStyle="1" w:styleId="48">
    <w:name w:val="样式 20 10 磅"/>
    <w:pPr>
      <w:widowControl w:val="0"/>
      <w:jc w:val="both"/>
    </w:pPr>
    <w:rPr>
      <w:rFonts w:ascii="Calibri" w:eastAsia="宋体" w:cs="Arial" w:hAnsi="Calibri"/>
      <w:kern w:val="2"/>
      <w:sz w:val="21"/>
      <w:szCs w:val="24"/>
      <w:lang w:val="en-US" w:eastAsia="zh-CN" w:bidi="ar-SA"/>
    </w:rPr>
  </w:style>
  <w:style w:type="paragraph" w:customStyle="1" w:styleId="49">
    <w:name w:val="样式 21 10 磅"/>
    <w:pPr>
      <w:widowControl w:val="0"/>
      <w:jc w:val="both"/>
    </w:pPr>
    <w:rPr>
      <w:rFonts w:ascii="Calibri" w:eastAsia="宋体" w:cs="Arial" w:hAnsi="Calibri"/>
      <w:kern w:val="2"/>
      <w:sz w:val="21"/>
      <w:szCs w:val="24"/>
      <w:lang w:val="en-US" w:eastAsia="zh-CN" w:bidi="ar-SA"/>
    </w:rPr>
  </w:style>
  <w:style w:type="paragraph" w:customStyle="1" w:styleId="50">
    <w:name w:val="样式 22 10 磅"/>
    <w:pPr>
      <w:widowControl w:val="0"/>
      <w:jc w:val="both"/>
    </w:pPr>
    <w:rPr>
      <w:rFonts w:ascii="Calibri" w:eastAsia="宋体" w:cs="Arial" w:hAnsi="Calibri"/>
      <w:kern w:val="2"/>
      <w:sz w:val="21"/>
      <w:szCs w:val="24"/>
      <w:lang w:val="en-US" w:eastAsia="zh-CN" w:bidi="ar-SA"/>
    </w:rPr>
  </w:style>
  <w:style w:type="paragraph" w:customStyle="1" w:styleId="51">
    <w:name w:val="样式 小四"/>
    <w:pPr>
      <w:widowControl w:val="0"/>
    </w:pPr>
    <w:rPr>
      <w:rFonts w:ascii="宋体" w:eastAsia="宋体" w:cs="Times New Roman"/>
      <w:kern w:val="2"/>
      <w:sz w:val="24"/>
      <w:szCs w:val="21"/>
      <w:lang w:val="en-US" w:eastAsia="zh-CN" w:bidi="ar-SA"/>
    </w:rPr>
  </w:style>
  <w:style w:type="paragraph" w:customStyle="1" w:styleId="52">
    <w:name w:val="样式 23 10 磅"/>
    <w:pPr>
      <w:widowControl w:val="0"/>
      <w:jc w:val="both"/>
    </w:pPr>
    <w:rPr>
      <w:rFonts w:ascii="Calibri" w:eastAsia="宋体" w:cs="Arial" w:hAnsi="Calibri"/>
      <w:kern w:val="2"/>
      <w:sz w:val="21"/>
      <w:szCs w:val="24"/>
      <w:lang w:val="en-US" w:eastAsia="zh-CN" w:bidi="ar-SA"/>
    </w:rPr>
  </w:style>
  <w:style w:type="paragraph" w:customStyle="1" w:styleId="53">
    <w:name w:val="样式 24 10 磅"/>
    <w:pPr>
      <w:widowControl w:val="0"/>
      <w:jc w:val="both"/>
    </w:pPr>
    <w:rPr>
      <w:rFonts w:ascii="Calibri" w:eastAsia="宋体" w:cs="Arial" w:hAnsi="Calibri"/>
      <w:kern w:val="2"/>
      <w:sz w:val="21"/>
      <w:szCs w:val="24"/>
      <w:lang w:val="en-US" w:eastAsia="zh-CN" w:bidi="ar-SA"/>
    </w:rPr>
  </w:style>
  <w:style w:type="paragraph" w:customStyle="1" w:styleId="54">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55">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56">
    <w:name w:val="样式 25 10 磅"/>
    <w:pPr>
      <w:widowControl w:val="0"/>
      <w:jc w:val="both"/>
    </w:pPr>
    <w:rPr>
      <w:rFonts w:ascii="Calibri" w:eastAsia="宋体" w:cs="Arial" w:hAnsi="Calibri"/>
      <w:kern w:val="2"/>
      <w:sz w:val="21"/>
      <w:szCs w:val="24"/>
      <w:lang w:val="en-US" w:eastAsia="zh-CN" w:bidi="ar-SA"/>
    </w:rPr>
  </w:style>
  <w:style w:type="paragraph" w:customStyle="1" w:styleId="57">
    <w:name w:val="样式 26 10 磅"/>
    <w:pPr>
      <w:widowControl w:val="0"/>
      <w:jc w:val="both"/>
    </w:pPr>
    <w:rPr>
      <w:rFonts w:ascii="Calibri" w:eastAsia="宋体" w:cs="Arial" w:hAnsi="Calibri"/>
      <w:kern w:val="2"/>
      <w:sz w:val="21"/>
      <w:szCs w:val="24"/>
      <w:lang w:val="en-US" w:eastAsia="zh-CN" w:bidi="ar-SA"/>
    </w:rPr>
  </w:style>
  <w:style w:type="paragraph" w:customStyle="1" w:styleId="58">
    <w:name w:val="样式 27 10 磅"/>
    <w:pPr>
      <w:widowControl w:val="0"/>
      <w:jc w:val="both"/>
    </w:pPr>
    <w:rPr>
      <w:rFonts w:ascii="Calibri" w:eastAsia="宋体" w:cs="Times New Roman" w:hAnsi="Calibri"/>
      <w:kern w:val="2"/>
      <w:sz w:val="21"/>
      <w:szCs w:val="22"/>
      <w:lang w:val="en-US" w:eastAsia="zh-CN" w:bidi="ar-SA"/>
    </w:rPr>
  </w:style>
  <w:style w:type="paragraph" w:customStyle="1" w:styleId="59">
    <w:name w:val="样式 28 10 磅"/>
    <w:pPr>
      <w:widowControl w:val="0"/>
      <w:jc w:val="both"/>
    </w:pPr>
    <w:rPr>
      <w:rFonts w:ascii="Calibri" w:eastAsia="宋体" w:cs="Times New Roman" w:hAnsi="Calibri"/>
      <w:kern w:val="2"/>
      <w:sz w:val="21"/>
      <w:szCs w:val="22"/>
      <w:lang w:val="en-US" w:eastAsia="zh-CN" w:bidi="ar-SA"/>
    </w:rPr>
  </w:style>
  <w:style w:type="paragraph" w:customStyle="1" w:styleId="60">
    <w:name w:val="样式 29 10 磅"/>
    <w:pPr>
      <w:widowControl w:val="0"/>
      <w:jc w:val="both"/>
    </w:pPr>
    <w:rPr>
      <w:rFonts w:ascii="Calibri" w:eastAsia="宋体" w:cs="Arial" w:hAnsi="Calibri"/>
      <w:kern w:val="2"/>
      <w:sz w:val="21"/>
      <w:szCs w:val="24"/>
      <w:lang w:val="en-US" w:eastAsia="zh-CN" w:bidi="ar-SA"/>
    </w:rPr>
  </w:style>
  <w:style w:type="paragraph" w:customStyle="1" w:styleId="61">
    <w:name w:val="样式 30 10 磅"/>
    <w:pPr>
      <w:widowControl w:val="0"/>
      <w:jc w:val="both"/>
    </w:pPr>
    <w:rPr>
      <w:rFonts w:ascii="Calibri" w:eastAsia="宋体" w:cs="Arial" w:hAnsi="Calibri"/>
      <w:kern w:val="2"/>
      <w:sz w:val="21"/>
      <w:szCs w:val="24"/>
      <w:lang w:val="en-US" w:eastAsia="zh-CN" w:bidi="ar-SA"/>
    </w:rPr>
  </w:style>
  <w:style w:type="paragraph" w:customStyle="1" w:styleId="62">
    <w:name w:val="样式 31 10 磅"/>
    <w:pPr>
      <w:widowControl w:val="0"/>
      <w:jc w:val="both"/>
    </w:pPr>
    <w:rPr>
      <w:rFonts w:ascii="Calibri" w:eastAsia="宋体" w:cs="Arial" w:hAnsi="Calibri"/>
      <w:kern w:val="2"/>
      <w:sz w:val="21"/>
      <w:szCs w:val="24"/>
      <w:lang w:val="en-US" w:eastAsia="zh-CN" w:bidi="ar-SA"/>
    </w:rPr>
  </w:style>
  <w:style w:type="paragraph" w:customStyle="1" w:styleId="63">
    <w:name w:val="样式 32 10 磅"/>
    <w:pPr>
      <w:widowControl w:val="0"/>
      <w:jc w:val="both"/>
    </w:pPr>
    <w:rPr>
      <w:rFonts w:ascii="Calibri" w:eastAsia="宋体" w:cs="Arial" w:hAnsi="Calibri"/>
      <w:kern w:val="2"/>
      <w:sz w:val="21"/>
      <w:szCs w:val="24"/>
      <w:lang w:val="en-US" w:eastAsia="zh-CN" w:bidi="ar-SA"/>
    </w:rPr>
  </w:style>
  <w:style w:type="paragraph" w:customStyle="1" w:styleId="64">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65">
    <w:name w:val="样式 34 10 磅"/>
    <w:pPr>
      <w:widowControl w:val="0"/>
      <w:jc w:val="both"/>
    </w:pPr>
    <w:rPr>
      <w:rFonts w:ascii="Calibri" w:eastAsia="宋体" w:cs="Arial" w:hAnsi="Calibri"/>
      <w:kern w:val="2"/>
      <w:sz w:val="21"/>
      <w:szCs w:val="24"/>
      <w:lang w:val="en-US" w:eastAsia="zh-CN" w:bidi="ar-SA"/>
    </w:rPr>
  </w:style>
  <w:style w:type="paragraph" w:customStyle="1" w:styleId="66">
    <w:name w:val="样式 1 小四"/>
    <w:pPr>
      <w:widowControl w:val="0"/>
    </w:pPr>
    <w:rPr>
      <w:rFonts w:ascii="宋体" w:eastAsia="宋体" w:cs="Times New Roman"/>
      <w:kern w:val="2"/>
      <w:sz w:val="24"/>
      <w:szCs w:val="21"/>
      <w:lang w:val="en-US" w:eastAsia="zh-CN" w:bidi="ar-SA"/>
    </w:rPr>
  </w:style>
  <w:style w:type="paragraph" w:customStyle="1" w:styleId="67">
    <w:name w:val="样式 35 10 磅"/>
    <w:pPr>
      <w:widowControl w:val="0"/>
      <w:jc w:val="both"/>
    </w:pPr>
    <w:rPr>
      <w:rFonts w:ascii="Calibri" w:eastAsia="宋体" w:cs="Arial" w:hAnsi="Calibri"/>
      <w:kern w:val="2"/>
      <w:sz w:val="21"/>
      <w:szCs w:val="24"/>
      <w:lang w:val="en-US" w:eastAsia="zh-CN" w:bidi="ar-SA"/>
    </w:rPr>
  </w:style>
  <w:style w:type="paragraph" w:customStyle="1" w:styleId="68">
    <w:name w:val="样式 36 10 磅"/>
    <w:next w:val="65"/>
    <w:pPr>
      <w:widowControl w:val="0"/>
      <w:jc w:val="both"/>
    </w:pPr>
    <w:rPr>
      <w:rFonts w:ascii="Calibri" w:eastAsia="宋体" w:cs="Arial" w:hAnsi="Calibri"/>
      <w:kern w:val="2"/>
      <w:sz w:val="21"/>
      <w:szCs w:val="24"/>
      <w:lang w:val="en-US" w:eastAsia="zh-CN" w:bidi="ar-SA"/>
    </w:rPr>
  </w:style>
  <w:style w:type="paragraph" w:customStyle="1" w:styleId="69">
    <w:name w:val="样式 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0">
    <w:name w:val="样式 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1">
    <w:name w:val="样式 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2">
    <w:name w:val="样式 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3">
    <w:name w:val="样式 6 小四"/>
    <w:pPr>
      <w:widowControl w:val="0"/>
    </w:pPr>
    <w:rPr>
      <w:rFonts w:ascii="宋体" w:eastAsia="宋体" w:cs="Times New Roman"/>
      <w:kern w:val="2"/>
      <w:sz w:val="24"/>
      <w:szCs w:val="21"/>
      <w:lang w:val="en-US" w:eastAsia="zh-CN" w:bidi="ar-SA"/>
    </w:rPr>
  </w:style>
  <w:style w:type="paragraph" w:customStyle="1" w:styleId="74">
    <w:name w:val="样式 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5">
    <w:name w:val="样式 8 小四"/>
    <w:pPr>
      <w:widowControl w:val="0"/>
    </w:pPr>
    <w:rPr>
      <w:rFonts w:ascii="宋体" w:eastAsia="宋体" w:cs="Times New Roman"/>
      <w:kern w:val="2"/>
      <w:sz w:val="24"/>
      <w:szCs w:val="21"/>
      <w:lang w:val="en-US" w:eastAsia="zh-CN" w:bidi="ar-SA"/>
    </w:rPr>
  </w:style>
  <w:style w:type="paragraph" w:customStyle="1" w:styleId="76">
    <w:name w:val="样式 9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7">
    <w:name w:val="样式 10 小四"/>
    <w:pPr>
      <w:widowControl w:val="0"/>
    </w:pPr>
    <w:rPr>
      <w:rFonts w:ascii="宋体" w:eastAsia="宋体" w:cs="Times New Roman"/>
      <w:kern w:val="2"/>
      <w:sz w:val="24"/>
      <w:szCs w:val="21"/>
      <w:lang w:val="en-US" w:eastAsia="zh-CN" w:bidi="ar-SA"/>
    </w:rPr>
  </w:style>
  <w:style w:type="paragraph" w:customStyle="1" w:styleId="78">
    <w:name w:val="样式 11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9">
    <w:name w:val="样式 1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0">
    <w:name w:val="样式 1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1">
    <w:name w:val="样式 37 10 磅"/>
    <w:pPr>
      <w:widowControl w:val="0"/>
      <w:jc w:val="both"/>
    </w:pPr>
    <w:rPr>
      <w:rFonts w:ascii="Calibri" w:eastAsia="宋体" w:cs="Arial" w:hAnsi="Calibri"/>
      <w:kern w:val="2"/>
      <w:sz w:val="21"/>
      <w:szCs w:val="24"/>
      <w:lang w:val="en-US" w:eastAsia="zh-CN" w:bidi="ar-SA"/>
    </w:rPr>
  </w:style>
  <w:style w:type="paragraph" w:customStyle="1" w:styleId="82">
    <w:name w:val="样式 54 10 磅"/>
    <w:next w:val="21"/>
    <w:pPr>
      <w:widowControl w:val="0"/>
      <w:jc w:val="both"/>
    </w:pPr>
    <w:rPr>
      <w:rFonts w:ascii="Calibri" w:eastAsia="宋体" w:cs="Arial" w:hAnsi="Calibri"/>
      <w:kern w:val="2"/>
      <w:sz w:val="21"/>
      <w:szCs w:val="24"/>
      <w:lang w:val="en-US" w:eastAsia="zh-CN" w:bidi="ar-SA"/>
    </w:rPr>
  </w:style>
  <w:style w:type="paragraph" w:customStyle="1" w:styleId="83">
    <w:name w:val="样式 1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4">
    <w:name w:val="样式 1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5">
    <w:name w:val="样式 38 10 磅"/>
    <w:pPr>
      <w:widowControl w:val="0"/>
      <w:jc w:val="both"/>
    </w:pPr>
    <w:rPr>
      <w:rFonts w:ascii="Calibri" w:eastAsia="宋体" w:cs="Arial" w:hAnsi="Calibri"/>
      <w:kern w:val="2"/>
      <w:sz w:val="21"/>
      <w:szCs w:val="24"/>
      <w:lang w:val="en-US" w:eastAsia="zh-CN" w:bidi="ar-SA"/>
    </w:rPr>
  </w:style>
  <w:style w:type="paragraph" w:customStyle="1" w:styleId="86">
    <w:name w:val="样式 39 10 磅"/>
    <w:pPr>
      <w:widowControl w:val="0"/>
    </w:pPr>
    <w:rPr>
      <w:rFonts w:ascii="Calibri" w:eastAsia="宋体" w:cs="Arial" w:hAnsi="Calibri"/>
      <w:kern w:val="2"/>
      <w:sz w:val="21"/>
      <w:szCs w:val="24"/>
      <w:lang w:val="en-US" w:eastAsia="zh-CN" w:bidi="ar-SA"/>
    </w:rPr>
  </w:style>
  <w:style w:type="paragraph" w:customStyle="1" w:styleId="87">
    <w:name w:val="样式 40 10 磅"/>
    <w:pPr>
      <w:widowControl w:val="0"/>
    </w:pPr>
    <w:rPr>
      <w:rFonts w:ascii="Calibri" w:eastAsia="宋体" w:cs="Arial" w:hAnsi="Calibri"/>
      <w:kern w:val="2"/>
      <w:sz w:val="21"/>
      <w:szCs w:val="24"/>
      <w:lang w:val="en-US" w:eastAsia="zh-CN" w:bidi="ar-SA"/>
    </w:rPr>
  </w:style>
  <w:style w:type="paragraph" w:customStyle="1" w:styleId="88">
    <w:name w:val="样式 41 10 磅"/>
    <w:pPr>
      <w:widowControl w:val="0"/>
    </w:pPr>
    <w:rPr>
      <w:rFonts w:ascii="Calibri" w:eastAsia="宋体" w:cs="Arial" w:hAnsi="Calibri"/>
      <w:kern w:val="2"/>
      <w:sz w:val="21"/>
      <w:szCs w:val="24"/>
      <w:lang w:val="en-US" w:eastAsia="zh-CN" w:bidi="ar-SA"/>
    </w:rPr>
  </w:style>
  <w:style w:type="paragraph" w:customStyle="1" w:styleId="89">
    <w:name w:val="样式 42 10 磅"/>
    <w:pPr>
      <w:widowControl w:val="0"/>
    </w:pPr>
    <w:rPr>
      <w:rFonts w:ascii="Calibri" w:eastAsia="宋体" w:cs="Arial" w:hAnsi="Calibri"/>
      <w:kern w:val="2"/>
      <w:sz w:val="21"/>
      <w:szCs w:val="24"/>
      <w:lang w:val="en-US" w:eastAsia="zh-CN" w:bidi="ar-SA"/>
    </w:rPr>
  </w:style>
  <w:style w:type="paragraph" w:customStyle="1" w:styleId="90">
    <w:name w:val="样式 43 10 磅"/>
    <w:pPr>
      <w:widowControl w:val="0"/>
      <w:jc w:val="both"/>
    </w:pPr>
    <w:rPr>
      <w:rFonts w:ascii="Calibri" w:eastAsia="宋体" w:cs="Arial" w:hAnsi="Calibri"/>
      <w:kern w:val="2"/>
      <w:sz w:val="21"/>
      <w:szCs w:val="24"/>
      <w:lang w:val="en-US" w:eastAsia="zh-CN" w:bidi="ar-SA"/>
    </w:rPr>
  </w:style>
  <w:style w:type="paragraph" w:customStyle="1" w:styleId="91">
    <w:name w:val="样式 44 10 磅"/>
    <w:pPr>
      <w:widowControl w:val="0"/>
    </w:pPr>
    <w:rPr>
      <w:rFonts w:ascii="Calibri" w:eastAsia="宋体" w:cs="Arial" w:hAnsi="Calibri"/>
      <w:kern w:val="2"/>
      <w:sz w:val="21"/>
      <w:szCs w:val="24"/>
      <w:lang w:val="en-US" w:eastAsia="zh-CN" w:bidi="ar-SA"/>
    </w:rPr>
  </w:style>
  <w:style w:type="paragraph" w:customStyle="1" w:styleId="92">
    <w:name w:val="样式 45 10 磅"/>
    <w:pPr>
      <w:widowControl w:val="0"/>
    </w:pPr>
    <w:rPr>
      <w:rFonts w:ascii="Calibri" w:eastAsia="宋体" w:cs="Arial" w:hAnsi="Calibri"/>
      <w:kern w:val="2"/>
      <w:sz w:val="21"/>
      <w:szCs w:val="24"/>
      <w:lang w:val="en-US" w:eastAsia="zh-CN" w:bidi="ar-SA"/>
    </w:rPr>
  </w:style>
  <w:style w:type="paragraph" w:customStyle="1" w:styleId="93">
    <w:name w:val="样式 16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4">
    <w:name w:val="样式 46 10 磅"/>
    <w:pPr>
      <w:widowControl w:val="0"/>
      <w:jc w:val="both"/>
    </w:pPr>
    <w:rPr>
      <w:rFonts w:ascii="Calibri" w:eastAsia="宋体" w:cs="Arial" w:hAnsi="Calibri"/>
      <w:kern w:val="2"/>
      <w:sz w:val="21"/>
      <w:szCs w:val="24"/>
      <w:lang w:val="en-US" w:eastAsia="zh-CN" w:bidi="ar-SA"/>
    </w:rPr>
  </w:style>
  <w:style w:type="paragraph" w:customStyle="1" w:styleId="95">
    <w:name w:val="样式 1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6">
    <w:name w:val="样式 47 10 磅"/>
    <w:pPr>
      <w:widowControl w:val="0"/>
      <w:jc w:val="both"/>
    </w:pPr>
    <w:rPr>
      <w:rFonts w:ascii="Calibri" w:eastAsia="宋体" w:cs="Arial" w:hAnsi="Calibri"/>
      <w:kern w:val="2"/>
      <w:sz w:val="21"/>
      <w:szCs w:val="24"/>
      <w:lang w:val="en-US" w:eastAsia="zh-CN" w:bidi="ar-SA"/>
    </w:rPr>
  </w:style>
  <w:style w:type="paragraph" w:customStyle="1" w:styleId="97">
    <w:name w:val="样式 18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8">
    <w:name w:val="样式 48 10 磅"/>
    <w:pPr>
      <w:widowControl w:val="0"/>
      <w:jc w:val="both"/>
    </w:pPr>
    <w:rPr>
      <w:rFonts w:ascii="Calibri" w:eastAsia="宋体" w:cs="Arial" w:hAnsi="Calibri"/>
      <w:kern w:val="2"/>
      <w:sz w:val="21"/>
      <w:szCs w:val="24"/>
      <w:lang w:val="en-US" w:eastAsia="zh-CN" w:bidi="ar-SA"/>
    </w:rPr>
  </w:style>
  <w:style w:type="paragraph" w:customStyle="1" w:styleId="99">
    <w:name w:val="样式 49 10 磅"/>
    <w:pPr>
      <w:widowControl w:val="0"/>
      <w:jc w:val="both"/>
    </w:pPr>
    <w:rPr>
      <w:rFonts w:ascii="Calibri" w:eastAsia="宋体" w:cs="Arial" w:hAnsi="Calibri"/>
      <w:kern w:val="2"/>
      <w:sz w:val="21"/>
      <w:szCs w:val="24"/>
      <w:lang w:val="en-US" w:eastAsia="zh-CN" w:bidi="ar-SA"/>
    </w:rPr>
  </w:style>
  <w:style w:type="paragraph" w:customStyle="1" w:styleId="100">
    <w:name w:val="样式 50 10 磅"/>
    <w:pPr>
      <w:widowControl w:val="0"/>
      <w:jc w:val="both"/>
    </w:pPr>
    <w:rPr>
      <w:rFonts w:ascii="Calibri" w:eastAsia="宋体" w:cs="Arial" w:hAnsi="Calibri"/>
      <w:kern w:val="2"/>
      <w:sz w:val="21"/>
      <w:szCs w:val="24"/>
      <w:lang w:val="en-US" w:eastAsia="zh-CN" w:bidi="ar-SA"/>
    </w:rPr>
  </w:style>
  <w:style w:type="paragraph" w:customStyle="1" w:styleId="101">
    <w:name w:val="样式 51 10 磅"/>
    <w:pPr>
      <w:widowControl w:val="0"/>
      <w:jc w:val="both"/>
    </w:pPr>
    <w:rPr>
      <w:rFonts w:ascii="Calibri" w:eastAsia="宋体" w:cs="Arial" w:hAnsi="Calibri"/>
      <w:kern w:val="2"/>
      <w:sz w:val="21"/>
      <w:szCs w:val="24"/>
      <w:lang w:val="en-US" w:eastAsia="zh-CN" w:bidi="ar-SA"/>
    </w:rPr>
  </w:style>
  <w:style w:type="paragraph" w:customStyle="1" w:styleId="102">
    <w:name w:val="样式 52 10 磅"/>
    <w:pPr>
      <w:widowControl w:val="0"/>
      <w:jc w:val="both"/>
    </w:pPr>
    <w:rPr>
      <w:rFonts w:ascii="Calibri" w:eastAsia="宋体" w:cs="Arial" w:hAnsi="Calibri"/>
      <w:kern w:val="2"/>
      <w:sz w:val="21"/>
      <w:szCs w:val="24"/>
      <w:lang w:val="en-US" w:eastAsia="zh-CN" w:bidi="ar-SA"/>
    </w:rPr>
  </w:style>
  <w:style w:type="paragraph" w:customStyle="1" w:styleId="103">
    <w:name w:val="样式 53 10 磅"/>
    <w:pPr>
      <w:widowControl w:val="0"/>
      <w:jc w:val="both"/>
    </w:pPr>
    <w:rPr>
      <w:rFonts w:ascii="Calibri" w:eastAsia="宋体" w:cs="Arial" w:hAnsi="Calibri"/>
      <w:kern w:val="2"/>
      <w:sz w:val="21"/>
      <w:szCs w:val="24"/>
      <w:lang w:val="en-US" w:eastAsia="zh-CN" w:bidi="ar-SA"/>
    </w:rPr>
  </w:style>
  <w:style w:type="paragraph" w:customStyle="1" w:styleId="104">
    <w:name w:val="样式 55 10 磅"/>
    <w:pPr>
      <w:widowControl w:val="0"/>
      <w:jc w:val="both"/>
    </w:pPr>
    <w:rPr>
      <w:rFonts w:ascii="Calibri" w:eastAsia="宋体" w:cs="Arial" w:hAnsi="Calibri"/>
      <w:kern w:val="2"/>
      <w:sz w:val="21"/>
      <w:szCs w:val="24"/>
      <w:lang w:val="en-US" w:eastAsia="zh-CN" w:bidi="ar-SA"/>
    </w:rPr>
  </w:style>
  <w:style w:type="paragraph" w:customStyle="1" w:styleId="105">
    <w:name w:val="样式 56 10 磅"/>
    <w:pPr>
      <w:widowControl w:val="0"/>
      <w:jc w:val="both"/>
    </w:pPr>
    <w:rPr>
      <w:rFonts w:ascii="Calibri" w:eastAsia="宋体" w:cs="Arial" w:hAnsi="Calibri"/>
      <w:kern w:val="2"/>
      <w:sz w:val="21"/>
      <w:szCs w:val="24"/>
      <w:lang w:val="en-US" w:eastAsia="zh-CN" w:bidi="ar-SA"/>
    </w:rPr>
  </w:style>
  <w:style w:type="paragraph" w:customStyle="1" w:styleId="106">
    <w:name w:val="样式 57 10 磅"/>
    <w:pPr>
      <w:widowControl w:val="0"/>
      <w:jc w:val="both"/>
    </w:pPr>
    <w:rPr>
      <w:rFonts w:ascii="Calibri" w:eastAsia="宋体" w:cs="Arial" w:hAnsi="Calibri"/>
      <w:kern w:val="2"/>
      <w:sz w:val="21"/>
      <w:szCs w:val="24"/>
      <w:lang w:val="en-US" w:eastAsia="zh-CN" w:bidi="ar-SA"/>
    </w:rPr>
  </w:style>
  <w:style w:type="paragraph" w:customStyle="1" w:styleId="107">
    <w:name w:val="样式 58 10 磅"/>
    <w:pPr>
      <w:widowControl w:val="0"/>
      <w:jc w:val="both"/>
    </w:pPr>
    <w:rPr>
      <w:rFonts w:ascii="Calibri" w:eastAsia="宋体" w:cs="Arial" w:hAnsi="Calibri"/>
      <w:kern w:val="2"/>
      <w:sz w:val="21"/>
      <w:szCs w:val="24"/>
      <w:lang w:val="en-US" w:eastAsia="zh-CN" w:bidi="ar-SA"/>
    </w:rPr>
  </w:style>
  <w:style w:type="character" w:styleId="108">
    <w:name w:val="Strong"/>
    <w:basedOn w:val="1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89</TotalTime>
  <Application>Yozo_Office</Application>
  <Pages>6</Pages>
  <Words>3274</Words>
  <Characters>3356</Characters>
  <Lines>66</Lines>
  <Paragraphs>62</Paragraphs>
  <CharactersWithSpaces>3384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付玮</cp:lastModifiedBy>
  <cp:revision>7</cp:revision>
  <cp:lastPrinted>2026-06-04T07:02:00Z</cp:lastPrinted>
  <dcterms:created xsi:type="dcterms:W3CDTF">2026-06-04T07:16:00Z</dcterms:created>
  <dcterms:modified xsi:type="dcterms:W3CDTF">2026-06-15T08:13:10Z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D68DD73654E24520A45C7463E354BE99_13</vt:lpwstr>
  </property>
  <property fmtid="{D5CDD505-2E9C-101B-9397-08002B2CF9AE}" pid="4" name="KSOTemplateDocerSaveRecord">
    <vt:lpwstr>eyJoZGlkIjoiMDRhYjQ2MmQ4YWM2OTJjNDIzYzlhMGQ1YTBjNTk1M2UiLCJ1c2VySWQiOiIyODk3MjQzNDQifQ==</vt:lpwstr>
  </property>
</Properties>
</file>