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rPr>
          <w:rFonts w:ascii="方正黑体_GBK" w:eastAsia="方正黑体_GBK" w:cs="方正黑体_GBK"/>
          <w:sz w:val="32"/>
          <w:szCs w:val="32"/>
        </w:rPr>
      </w:pPr>
      <w:r>
        <w:rPr>
          <w:rFonts w:ascii="方正黑体_GBK" w:eastAsia="方正黑体_GBK" w:cs="方正黑体_GBK" w:hint="eastAsia"/>
          <w:sz w:val="32"/>
          <w:szCs w:val="32"/>
        </w:rPr>
        <w:t>附件</w:t>
      </w:r>
      <w:r>
        <w:rPr>
          <w:rFonts w:ascii="方正黑体_GBK" w:eastAsia="方正黑体_GBK" w:cs="方正黑体_GBK"/>
          <w:sz w:val="32"/>
          <w:szCs w:val="32"/>
        </w:rPr>
        <w:t>2</w:t>
      </w:r>
    </w:p>
    <w:p>
      <w:pPr>
        <w:spacing w:line="560" w:lineRule="exact"/>
        <w:jc w:val="center"/>
        <w:rPr>
          <w:rFonts w:ascii="方正小标宋_GBK" w:eastAsia="方正小标宋_GBK" w:cs="方正小标宋_GBK"/>
          <w:sz w:val="44"/>
          <w:szCs w:val="44"/>
        </w:rPr>
      </w:pPr>
      <w:bookmarkStart w:id="0" w:name="_GoBack"/>
      <w:bookmarkEnd w:id="0"/>
      <w:r>
        <w:rPr>
          <w:rFonts w:ascii="方正小标宋_GBK" w:eastAsia="方正小标宋_GBK" w:cs="方正小标宋_GBK" w:hint="eastAsia"/>
          <w:sz w:val="44"/>
          <w:szCs w:val="44"/>
        </w:rPr>
        <w:t>比选采购需求书</w:t>
      </w:r>
    </w:p>
    <w:tbl>
      <w:tblPr>
        <w:jc w:val="left"/>
        <w:tblInd w:w="0"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198"/>
        <w:gridCol w:w="6862"/>
      </w:tblGrid>
      <w:tr>
        <w:tc>
          <w:tcPr>
            <w:tcW w:w="9060" w:type="dxa"/>
            <w:gridSpan w:val="2"/>
            <w:vAlign w:val="center"/>
          </w:tcPr>
          <w:p>
            <w:pPr>
              <w:spacing w:line="560" w:lineRule="exact"/>
              <w:jc w:val="center"/>
              <w:rPr>
                <w:rFonts w:ascii="方正仿宋_GBK" w:eastAsia="方正仿宋_GBK" w:cs="方正仿宋_GBK"/>
                <w:sz w:val="28"/>
                <w:szCs w:val="28"/>
              </w:rPr>
            </w:pPr>
            <w:r>
              <w:rPr>
                <w:rFonts w:ascii="方正楷体_GBK" w:eastAsia="方正楷体_GBK" w:cs="方正楷体_GBK" w:hint="eastAsia"/>
                <w:sz w:val="32"/>
                <w:szCs w:val="32"/>
              </w:rPr>
              <w:t>基础信息栏</w:t>
            </w:r>
          </w:p>
        </w:tc>
      </w:tr>
      <w:t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项目名称</w:t>
            </w:r>
          </w:p>
        </w:tc>
        <w:tc>
          <w:tcPr>
            <w:tcW w:w="6862"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二连海关</w:t>
            </w:r>
            <w:r>
              <w:rPr>
                <w:rFonts w:ascii="方正仿宋_GBK" w:eastAsia="方正仿宋_GBK" w:cs="方正仿宋_GBK"/>
                <w:sz w:val="28"/>
                <w:szCs w:val="28"/>
              </w:rPr>
              <w:t>业务现场视频监控系统</w:t>
            </w:r>
            <w:r>
              <w:rPr>
                <w:rFonts w:ascii="方正仿宋_GBK" w:eastAsia="方正仿宋_GBK" w:cs="方正仿宋_GBK" w:hint="eastAsia"/>
                <w:sz w:val="28"/>
                <w:szCs w:val="28"/>
              </w:rPr>
              <w:t>维修维护服务</w:t>
            </w:r>
          </w:p>
        </w:tc>
      </w:tr>
      <w:t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采购预算</w:t>
            </w:r>
          </w:p>
        </w:tc>
        <w:tc>
          <w:tcPr>
            <w:tcW w:w="6862" w:type="dxa"/>
            <w:vAlign w:val="center"/>
          </w:tcPr>
          <w:p>
            <w:pPr>
              <w:spacing w:line="560" w:lineRule="exact"/>
              <w:jc w:val="center"/>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lang w:val="en-US" w:eastAsia="zh-CN"/>
              </w:rPr>
              <w:t>150000</w:t>
            </w:r>
            <w:r>
              <w:rPr>
                <w:rFonts w:ascii="Times New Roman" w:eastAsia="方正仿宋_GBK" w:cs="Times New Roman" w:hAnsi="Times New Roman"/>
                <w:sz w:val="28"/>
                <w:szCs w:val="28"/>
                <w:lang w:val="en-US" w:eastAsia="zh-CN"/>
              </w:rPr>
              <w:t>.00</w:t>
            </w:r>
            <w:r>
              <w:rPr>
                <w:rFonts w:ascii="Times New Roman" w:eastAsia="方正仿宋_GBK" w:cs="Times New Roman" w:hAnsi="Times New Roman"/>
                <w:sz w:val="28"/>
                <w:szCs w:val="28"/>
              </w:rPr>
              <w:t>元</w:t>
            </w:r>
          </w:p>
        </w:tc>
      </w:tr>
      <w:t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评审方法</w:t>
            </w:r>
          </w:p>
        </w:tc>
        <w:tc>
          <w:tcPr>
            <w:tcW w:w="6862" w:type="dxa"/>
            <w:vAlign w:val="center"/>
          </w:tcPr>
          <w:p>
            <w:pPr>
              <w:spacing w:line="400" w:lineRule="exact"/>
              <w:jc w:val="left"/>
              <w:rPr>
                <w:rFonts w:ascii="方正仿宋_GBK" w:eastAsia="方正仿宋_GBK" w:cs="方正仿宋_GBK"/>
                <w:sz w:val="28"/>
                <w:szCs w:val="28"/>
              </w:rPr>
            </w:pPr>
            <w:r>
              <w:rPr>
                <w:rFonts w:ascii="方正仿宋_GBK" w:eastAsia="方正仿宋_GBK" w:cs="方正仿宋_GBK" w:hint="eastAsia"/>
                <w:sz w:val="28"/>
                <w:szCs w:val="28"/>
                <w:highlight w:val="auto"/>
              </w:rPr>
              <w:t>√</w:t>
            </w:r>
            <w:r>
              <w:rPr>
                <w:rFonts w:ascii="方正仿宋_GBK" w:eastAsia="方正仿宋_GBK" w:cs="方正仿宋_GBK" w:hint="eastAsia"/>
                <w:sz w:val="28"/>
                <w:szCs w:val="28"/>
              </w:rPr>
              <w:t>最低价法</w:t>
            </w:r>
          </w:p>
        </w:tc>
      </w:tr>
      <w:tr>
        <w:tc>
          <w:tcPr>
            <w:tcW w:w="9060" w:type="dxa"/>
            <w:gridSpan w:val="2"/>
            <w:vAlign w:val="center"/>
          </w:tcPr>
          <w:p>
            <w:pPr>
              <w:spacing w:line="560" w:lineRule="exact"/>
              <w:jc w:val="center"/>
              <w:rPr>
                <w:rFonts w:ascii="方正仿宋_GBK" w:eastAsia="方正仿宋_GBK" w:cs="方正仿宋_GBK"/>
                <w:sz w:val="28"/>
                <w:szCs w:val="28"/>
              </w:rPr>
            </w:pPr>
            <w:r>
              <w:rPr>
                <w:rFonts w:ascii="方正楷体_GBK" w:eastAsia="方正楷体_GBK" w:cs="方正楷体_GBK" w:hint="eastAsia"/>
                <w:sz w:val="32"/>
                <w:szCs w:val="32"/>
              </w:rPr>
              <w:t>详细需求栏</w:t>
            </w:r>
          </w:p>
        </w:tc>
      </w:tr>
      <w:tr>
        <w:trPr>
          <w:trHeight w:val="1723"/>
        </w:trP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说明</w:t>
            </w:r>
          </w:p>
        </w:tc>
        <w:tc>
          <w:tcPr>
            <w:tcW w:w="6862" w:type="dxa"/>
            <w:vAlign w:val="center"/>
          </w:tcPr>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sz w:val="28"/>
                <w:szCs w:val="28"/>
              </w:rPr>
              <w:t>1.不满足资格条件的响应文件将按无效响应文件处理。</w:t>
            </w:r>
          </w:p>
          <w:p>
            <w:pPr>
              <w:spacing w:line="400" w:lineRule="exact"/>
              <w:rPr>
                <w:rFonts w:ascii="方正仿宋_GBK" w:eastAsia="方正仿宋_GBK" w:cs="方正仿宋_GBK"/>
                <w:sz w:val="28"/>
                <w:szCs w:val="28"/>
              </w:rPr>
            </w:pPr>
            <w:r>
              <w:rPr>
                <w:rFonts w:ascii="Times New Roman" w:eastAsia="方正仿宋_GBK" w:cs="Times New Roman" w:hAnsi="Times New Roman"/>
                <w:sz w:val="28"/>
                <w:szCs w:val="28"/>
              </w:rPr>
              <w:t>2.</w:t>
            </w:r>
            <w:r>
              <w:rPr>
                <w:rFonts w:ascii="方正仿宋_GBK" w:eastAsia="方正仿宋_GBK" w:cs="方正仿宋_GBK" w:hint="eastAsia"/>
                <w:sz w:val="28"/>
                <w:szCs w:val="28"/>
              </w:rPr>
              <w:t>详细需求栏中所有加“★”项的需求均为实质性要求，不满足实质性要求的响应文件将按无效响应文件处理。</w:t>
            </w:r>
          </w:p>
        </w:tc>
      </w:tr>
      <w:tr>
        <w:trPr>
          <w:trHeight w:val="694"/>
        </w:trP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资格条件</w:t>
            </w:r>
          </w:p>
        </w:tc>
        <w:tc>
          <w:tcPr>
            <w:tcW w:w="6862" w:type="dxa"/>
            <w:vAlign w:val="center"/>
          </w:tcPr>
          <w:p>
            <w:pPr>
              <w:spacing w:beforeAutospacing="0" w:afterAutospacing="0" w:line="400" w:lineRule="exact"/>
              <w:ind w:firstLineChars="200" w:firstLine="560"/>
              <w:rPr>
                <w:rFonts w:ascii="Times New Roman" w:eastAsia="方正仿宋_GBK" w:cs="Times New Roman" w:hAnsi="Times New Roman"/>
                <w:sz w:val="28"/>
                <w:szCs w:val="28"/>
              </w:rPr>
            </w:pPr>
            <w:r>
              <w:rPr>
                <w:rFonts w:ascii="Times New Roman" w:eastAsia="方正仿宋_GBK" w:cs="Times New Roman" w:hAnsi="Times New Roman"/>
                <w:sz w:val="28"/>
                <w:szCs w:val="28"/>
              </w:rPr>
              <w:t>1. 供应商须为在中华人民共和国境内依法注册的独立法人企业，具备有效的营业执照，能够独立承担民事责任和合同履约责任。</w:t>
            </w:r>
          </w:p>
          <w:p>
            <w:pPr>
              <w:spacing w:beforeAutospacing="0" w:afterAutospacing="0" w:line="400" w:lineRule="exact"/>
              <w:ind w:firstLineChars="200" w:firstLine="560"/>
              <w:rPr>
                <w:rFonts w:ascii="Times New Roman" w:eastAsia="方正仿宋_GBK" w:cs="Times New Roman" w:hAnsi="Times New Roman"/>
                <w:sz w:val="28"/>
                <w:szCs w:val="28"/>
              </w:rPr>
            </w:pPr>
            <w:r>
              <w:rPr>
                <w:rFonts w:ascii="Times New Roman" w:eastAsia="方正仿宋_GBK" w:cs="Times New Roman" w:hAnsi="Times New Roman"/>
                <w:bCs/>
                <w:sz w:val="28"/>
                <w:szCs w:val="28"/>
              </w:rPr>
              <w:t xml:space="preserve">2. </w:t>
            </w:r>
            <w:r>
              <w:rPr>
                <w:rFonts w:ascii="Times New Roman" w:eastAsia="方正仿宋_GBK" w:cs="Times New Roman" w:hAnsi="Times New Roman"/>
                <w:sz w:val="28"/>
                <w:szCs w:val="28"/>
              </w:rPr>
              <w:t>供应商须具备</w:t>
            </w:r>
            <w:r>
              <w:rPr>
                <w:rFonts w:ascii="Times New Roman" w:eastAsia="方正仿宋_GBK" w:cs="Times New Roman" w:hAnsi="Times New Roman"/>
                <w:bCs/>
                <w:sz w:val="28"/>
                <w:szCs w:val="28"/>
              </w:rPr>
              <w:t>二连浩特市本地化服务能力</w:t>
            </w:r>
            <w:r>
              <w:rPr>
                <w:rFonts w:ascii="Times New Roman" w:eastAsia="方正仿宋_GBK" w:cs="Times New Roman" w:hAnsi="Times New Roman"/>
                <w:sz w:val="28"/>
                <w:szCs w:val="28"/>
              </w:rPr>
              <w:t>，可快速响应现场运维及应急保障工作；近3年内须拥有同类或类似视频监控系统运维项目业绩，需提供中标通知书、正式服务合同等有效佐证材料，具备完善的服务体系和专业技术团队，能够保障项目高质量履约。</w:t>
            </w:r>
          </w:p>
          <w:p>
            <w:pPr>
              <w:spacing w:beforeAutospacing="0" w:afterAutospacing="0" w:line="400" w:lineRule="exact"/>
              <w:ind w:firstLineChars="200" w:firstLine="560"/>
              <w:rPr>
                <w:rFonts w:ascii="Times New Roman" w:eastAsia="方正仿宋_GBK" w:cs="Times New Roman" w:hAnsi="Times New Roman"/>
                <w:sz w:val="28"/>
                <w:szCs w:val="28"/>
              </w:rPr>
            </w:pPr>
            <w:r>
              <w:rPr>
                <w:rFonts w:ascii="Times New Roman" w:eastAsia="方正仿宋_GBK" w:cs="Times New Roman" w:hAnsi="Times New Roman"/>
                <w:bCs/>
                <w:sz w:val="28"/>
                <w:szCs w:val="28"/>
              </w:rPr>
              <w:t xml:space="preserve">3. </w:t>
            </w:r>
            <w:r>
              <w:rPr>
                <w:rFonts w:ascii="Times New Roman" w:eastAsia="方正仿宋_GBK" w:cs="Times New Roman" w:hAnsi="Times New Roman"/>
                <w:sz w:val="28"/>
                <w:szCs w:val="28"/>
              </w:rPr>
              <w:t>供应商须拥有固定的专业技术运维团队，团队在岗技术人员须持有</w:t>
            </w:r>
            <w:r>
              <w:rPr>
                <w:rFonts w:ascii="Times New Roman" w:eastAsia="方正仿宋_GBK" w:cs="Times New Roman" w:hAnsi="Times New Roman"/>
                <w:bCs/>
                <w:sz w:val="28"/>
                <w:szCs w:val="28"/>
              </w:rPr>
              <w:t>海康威视认证工程师证书、安防专业等级证书</w:t>
            </w:r>
            <w:r>
              <w:rPr>
                <w:rFonts w:ascii="Times New Roman" w:eastAsia="方正仿宋_GBK" w:cs="Times New Roman" w:hAnsi="Times New Roman"/>
                <w:sz w:val="28"/>
                <w:szCs w:val="28"/>
              </w:rPr>
              <w:t>等数据安全、系统维修维护相关权威等级资质证书，人员持证上岗，熟练掌握主流监控设备、安防系统运维及数据安全保障技能，具备高效故障排查、系统修复、日常运维保障能力。</w:t>
            </w:r>
          </w:p>
          <w:p>
            <w:pPr>
              <w:spacing w:beforeAutospacing="0" w:afterAutospacing="0" w:line="400" w:lineRule="exact"/>
              <w:ind w:firstLineChars="200" w:firstLine="560"/>
              <w:rPr>
                <w:rFonts w:ascii="Times New Roman" w:eastAsia="方正仿宋_GBK" w:cs="Times New Roman" w:hAnsi="Times New Roman"/>
                <w:sz w:val="28"/>
                <w:szCs w:val="28"/>
              </w:rPr>
            </w:pPr>
            <w:r>
              <w:rPr>
                <w:rFonts w:ascii="Times New Roman" w:eastAsia="方正仿宋_GBK" w:cs="Times New Roman" w:hAnsi="Times New Roman"/>
                <w:bCs/>
                <w:sz w:val="28"/>
                <w:szCs w:val="28"/>
              </w:rPr>
              <w:t xml:space="preserve">4. </w:t>
            </w:r>
            <w:r>
              <w:rPr>
                <w:rFonts w:ascii="Times New Roman" w:eastAsia="方正仿宋_GBK" w:cs="Times New Roman" w:hAnsi="Times New Roman"/>
                <w:sz w:val="28"/>
                <w:szCs w:val="28"/>
              </w:rPr>
              <w:t>供应商未被列入“信用中国”网站失信被执行人名单、重大税收违法案件当事人名单，未被列入中国政府采购网政府采购严重违法失信行为记录名单，无重大违法违规经营记录（投标时须提供招标公告发布时间内的官网查询截图作为有效证明材料）。</w:t>
            </w:r>
          </w:p>
          <w:p>
            <w:pPr>
              <w:spacing w:beforeAutospacing="0" w:afterAutospacing="0" w:line="400" w:lineRule="exact"/>
              <w:ind w:firstLineChars="200" w:firstLine="560"/>
              <w:rPr>
                <w:rFonts w:ascii="Times New Roman" w:eastAsia="方正仿宋_GBK" w:cs="Times New Roman" w:hAnsi="Times New Roman"/>
                <w:sz w:val="28"/>
                <w:szCs w:val="28"/>
                <w:lang w:val="en-US" w:eastAsia="zh-CN"/>
              </w:rPr>
            </w:pPr>
            <w:r>
              <w:rPr>
                <w:rFonts w:ascii="Times New Roman" w:eastAsia="方正仿宋_GBK" w:cs="Times New Roman" w:hAnsi="Times New Roman"/>
                <w:bCs/>
                <w:sz w:val="28"/>
                <w:szCs w:val="28"/>
              </w:rPr>
              <w:t xml:space="preserve">5. </w:t>
            </w:r>
            <w:r>
              <w:rPr>
                <w:rFonts w:ascii="Times New Roman" w:eastAsia="方正仿宋_GBK" w:cs="Times New Roman" w:hAnsi="Times New Roman"/>
                <w:sz w:val="28"/>
                <w:szCs w:val="28"/>
              </w:rPr>
              <w:t>本项目不接受联合体投标，不允许分包、转包，不接受个体工商户及分支机构参与投标。</w:t>
            </w:r>
          </w:p>
        </w:tc>
      </w:tr>
      <w:tr>
        <w:trPr>
          <w:trHeight w:val="1082"/>
        </w:trP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w:t>
            </w:r>
          </w:p>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实质性需求</w:t>
            </w:r>
          </w:p>
        </w:tc>
        <w:tc>
          <w:tcPr>
            <w:tcW w:w="6862" w:type="dxa"/>
          </w:tcPr>
          <w:p>
            <w:pPr>
              <w:spacing w:beforeAutospacing="0" w:afterAutospacing="0" w:line="400" w:lineRule="exact"/>
              <w:ind w:firstLineChars="200" w:firstLine="560"/>
              <w:rPr>
                <w:rFonts w:ascii="Times New Roman" w:eastAsia="方正仿宋_GBK" w:cs="Times New Roman" w:hAnsi="Times New Roman"/>
                <w:sz w:val="28"/>
                <w:szCs w:val="28"/>
              </w:rPr>
            </w:pPr>
            <w:r>
              <w:rPr>
                <w:rFonts w:ascii="Times New Roman" w:eastAsia="方正仿宋_GBK" w:cs="Times New Roman" w:hAnsi="Times New Roman"/>
                <w:sz w:val="28"/>
                <w:szCs w:val="28"/>
              </w:rPr>
              <w:t>本项目覆盖二连海关各业务现场现有全套视频监控系统，包含但不限于网络高清摄像头（425台）、智能球机（16台）、NVR（23台）、监控服务器（8台）、存储服务器（14台）网络交换机（42台）监控显示设备、传输光缆及网线、供电设备、监控立杆、防水防护配件等全部软硬件及附属设施。供应商需提供常态化、专业化、全流程运维保障服务，具体内容如下：</w:t>
            </w:r>
          </w:p>
          <w:p>
            <w:pPr>
              <w:pStyle w:val="2"/>
              <w:spacing w:beforeAutospacing="0" w:afterAutospacing="0" w:line="560" w:lineRule="exact"/>
              <w:ind w:left="0"/>
              <w:jc w:val="both"/>
              <w:rPr>
                <w:rFonts w:ascii="Times New Roman" w:eastAsia="方正仿宋_GBK" w:cs="Times New Roman" w:hAnsi="Times New Roman"/>
                <w:sz w:val="28"/>
                <w:szCs w:val="28"/>
              </w:rPr>
            </w:pPr>
            <w:r>
              <w:rPr>
                <w:b/>
                <w:vanish w:val="0"/>
                <w:sz w:val="36"/>
              </w:rPr>
              <w:t xml:space="preserve">  </w:t>
            </w:r>
            <w:r>
              <w:rPr>
                <w:rFonts w:ascii="Times New Roman" w:eastAsia="方正仿宋_GBK" w:cs="Times New Roman" w:hAnsi="Times New Roman"/>
                <w:bCs/>
                <w:kern w:val="2"/>
                <w:sz w:val="28"/>
                <w:szCs w:val="28"/>
              </w:rPr>
              <w:t xml:space="preserve">  一、项目服务内容及要求</w:t>
            </w:r>
          </w:p>
          <w:p>
            <w:pPr>
              <w:spacing w:beforeAutospacing="0" w:afterAutospacing="0" w:line="400" w:lineRule="exact"/>
              <w:ind w:firstLineChars="200" w:firstLine="560"/>
              <w:rPr>
                <w:rFonts w:ascii="Times New Roman" w:eastAsia="方正仿宋_GBK" w:cs="Times New Roman" w:hAnsi="Times New Roman"/>
                <w:b/>
                <w:bCs/>
                <w:sz w:val="28"/>
                <w:szCs w:val="28"/>
              </w:rPr>
            </w:pPr>
            <w:r>
              <w:rPr>
                <w:rFonts w:ascii="Times New Roman" w:eastAsia="方正仿宋_GBK" w:cs="Times New Roman" w:hAnsi="Times New Roman"/>
                <w:b/>
                <w:bCs/>
                <w:sz w:val="28"/>
                <w:szCs w:val="28"/>
              </w:rPr>
              <w:t>（一）日常巡检维护服务</w:t>
            </w:r>
          </w:p>
          <w:p>
            <w:pPr>
              <w:spacing w:beforeAutospacing="0" w:afterAutospacing="0" w:line="400" w:lineRule="exact"/>
              <w:ind w:firstLineChars="200" w:firstLine="560"/>
              <w:rPr>
                <w:rFonts w:ascii="Times New Roman" w:eastAsia="方正仿宋_GBK" w:cs="Times New Roman" w:hAnsi="Times New Roman"/>
                <w:sz w:val="28"/>
                <w:szCs w:val="28"/>
              </w:rPr>
            </w:pPr>
            <w:r>
              <w:rPr>
                <w:rFonts w:ascii="Times New Roman" w:eastAsia="方正仿宋_GBK" w:cs="Times New Roman" w:hAnsi="Times New Roman"/>
                <w:sz w:val="28"/>
                <w:szCs w:val="28"/>
              </w:rPr>
              <w:t>1. 常态化开展全域设备巡检工作，每月不少于2次全覆盖全面巡检，每周开展重点点位专项抽查，全面排查设备老化、线路破损、画面模糊、角度偏移、录像异常、设备离线、网络卡顿、时间不准等各类隐患，逐项记录问题并闭环整改，形成完整书面巡检台账，归档备查。</w:t>
            </w:r>
          </w:p>
          <w:p>
            <w:pPr>
              <w:spacing w:beforeAutospacing="0" w:afterAutospacing="0" w:line="400" w:lineRule="exact"/>
              <w:ind w:firstLineChars="200" w:firstLine="560"/>
              <w:rPr>
                <w:rFonts w:ascii="Times New Roman" w:eastAsia="方正仿宋_GBK" w:cs="Times New Roman" w:hAnsi="Times New Roman"/>
                <w:sz w:val="28"/>
                <w:szCs w:val="28"/>
              </w:rPr>
            </w:pPr>
            <w:r>
              <w:rPr>
                <w:rFonts w:ascii="Times New Roman" w:eastAsia="方正仿宋_GBK" w:cs="Times New Roman" w:hAnsi="Times New Roman"/>
                <w:sz w:val="28"/>
                <w:szCs w:val="28"/>
              </w:rPr>
              <w:t>2. 定期对监控设备进行除尘清洁、参数调试、角度校准、时间校准、焦距优化，确保所有监控点位画面清晰、视角合规，实现监控区域全覆盖、无盲区、无死角。</w:t>
            </w:r>
          </w:p>
          <w:p>
            <w:pPr>
              <w:spacing w:beforeAutospacing="0" w:afterAutospacing="0" w:line="400" w:lineRule="exact"/>
              <w:ind w:firstLineChars="200" w:firstLine="560"/>
              <w:rPr>
                <w:rFonts w:ascii="Times New Roman" w:eastAsia="方正仿宋_GBK" w:cs="Times New Roman" w:hAnsi="Times New Roman"/>
                <w:sz w:val="28"/>
                <w:szCs w:val="28"/>
              </w:rPr>
            </w:pPr>
            <w:r>
              <w:rPr>
                <w:rFonts w:ascii="Times New Roman" w:eastAsia="方正仿宋_GBK" w:cs="Times New Roman" w:hAnsi="Times New Roman"/>
                <w:sz w:val="28"/>
                <w:szCs w:val="28"/>
              </w:rPr>
              <w:t>3. 定期排查机房及网络节点核心设备运行状态，检测录像机、服务器、交换机、安全隔离等设备的运行温度、工作参数、存储状态，做好机房除尘、防潮、防静电维护，及时排查设备运行隐患，保障机房设备24小时稳定运行。</w:t>
            </w:r>
          </w:p>
          <w:p>
            <w:pPr>
              <w:spacing w:beforeAutospacing="0" w:afterAutospacing="0" w:line="400" w:lineRule="exact"/>
              <w:ind w:firstLineChars="200" w:firstLine="560"/>
              <w:rPr>
                <w:rFonts w:ascii="Times New Roman" w:eastAsia="方正仿宋_GBK" w:cs="Times New Roman" w:hAnsi="Times New Roman"/>
                <w:sz w:val="28"/>
                <w:szCs w:val="28"/>
              </w:rPr>
            </w:pPr>
            <w:r>
              <w:rPr>
                <w:rFonts w:ascii="Times New Roman" w:eastAsia="方正仿宋_GBK" w:cs="Times New Roman" w:hAnsi="Times New Roman"/>
                <w:sz w:val="28"/>
                <w:szCs w:val="28"/>
              </w:rPr>
              <w:t>4. 每日核查系统录像存储状态，严格保障录像完整无断录、无漏录，录像存储时长不低于90天（部分区域不低于1年），定期清理无效缓存数据，优化存储资源，保障设备存储空间充足，满足溯源核查需求。</w:t>
            </w:r>
          </w:p>
          <w:p>
            <w:pPr>
              <w:spacing w:beforeAutospacing="0" w:afterAutospacing="0" w:line="400" w:lineRule="exact"/>
              <w:ind w:firstLineChars="200" w:firstLine="560"/>
              <w:rPr>
                <w:rFonts w:ascii="Times New Roman" w:eastAsia="方正仿宋_GBK" w:cs="Times New Roman" w:hAnsi="Times New Roman"/>
                <w:b/>
                <w:bCs/>
                <w:sz w:val="28"/>
                <w:szCs w:val="28"/>
              </w:rPr>
            </w:pPr>
            <w:r>
              <w:rPr>
                <w:rFonts w:ascii="Times New Roman" w:eastAsia="方正仿宋_GBK" w:cs="Times New Roman" w:hAnsi="Times New Roman"/>
                <w:b/>
                <w:bCs/>
                <w:sz w:val="28"/>
                <w:szCs w:val="28"/>
              </w:rPr>
              <w:t>（二）故障维修与配件更换服务</w:t>
            </w:r>
          </w:p>
          <w:p>
            <w:pPr>
              <w:spacing w:beforeAutospacing="0" w:afterAutospacing="0" w:line="400" w:lineRule="exact"/>
              <w:ind w:firstLineChars="200" w:firstLine="560"/>
              <w:rPr>
                <w:rFonts w:ascii="Times New Roman" w:eastAsia="方正仿宋_GBK" w:cs="Times New Roman" w:hAnsi="Times New Roman"/>
                <w:sz w:val="28"/>
                <w:szCs w:val="28"/>
              </w:rPr>
            </w:pPr>
            <w:r>
              <w:rPr>
                <w:rFonts w:ascii="Times New Roman" w:eastAsia="方正仿宋_GBK" w:cs="Times New Roman" w:hAnsi="Times New Roman"/>
                <w:sz w:val="28"/>
                <w:szCs w:val="28"/>
              </w:rPr>
              <w:t>1. 建立7×24小时全天候故障响应机制，接到故障报修、系统异常通知后，公路口岸、铁路口岸30分钟内抵达现场处置，航空口岸60分钟时内抵达现场；一般故障当日完成修复，重大故障24小时内出具专项处置方案并完成紧急抢修，最大限度缩短系统停运时间。</w:t>
            </w:r>
          </w:p>
          <w:p>
            <w:pPr>
              <w:spacing w:beforeAutospacing="0" w:afterAutospacing="0" w:line="400" w:lineRule="exact"/>
              <w:ind w:firstLineChars="200" w:firstLine="560"/>
              <w:rPr>
                <w:rFonts w:ascii="Times New Roman" w:eastAsia="方正仿宋_GBK" w:cs="Times New Roman" w:hAnsi="Times New Roman"/>
                <w:sz w:val="28"/>
                <w:szCs w:val="28"/>
              </w:rPr>
            </w:pPr>
            <w:r>
              <w:rPr>
                <w:rFonts w:ascii="Times New Roman" w:eastAsia="方正仿宋_GBK" w:cs="Times New Roman" w:hAnsi="Times New Roman"/>
                <w:sz w:val="28"/>
                <w:szCs w:val="28"/>
              </w:rPr>
              <w:t>2. 针对摄像头损坏、录像机故障、传输线路断裂、供电故障、设备离线、画面黑屏、卡顿失真、无录像、系统掉线等各类故障，快速开展检测、维修、调试、更换工作，确保监控系统及时恢复正常运行。</w:t>
            </w:r>
          </w:p>
          <w:p>
            <w:pPr>
              <w:spacing w:beforeAutospacing="0" w:afterAutospacing="0" w:line="400" w:lineRule="exact"/>
              <w:ind w:firstLineChars="200" w:firstLine="560"/>
              <w:rPr>
                <w:rFonts w:ascii="Times New Roman" w:eastAsia="方正仿宋_GBK" w:cs="Times New Roman" w:hAnsi="Times New Roman"/>
                <w:sz w:val="28"/>
                <w:szCs w:val="28"/>
              </w:rPr>
            </w:pPr>
            <w:r>
              <w:rPr>
                <w:rFonts w:ascii="Times New Roman" w:eastAsia="方正仿宋_GBK" w:cs="Times New Roman" w:hAnsi="Times New Roman"/>
                <w:sz w:val="28"/>
                <w:szCs w:val="28"/>
              </w:rPr>
              <w:t>3. 服务期内，免费更换电源、防水接头、传输网线、设备支架、固定配件等常规易损耗材；涉及核心设备维修、更换的，需提前向二连海关报备，经书面确认后方可实施，全程留存维修记录。</w:t>
            </w:r>
          </w:p>
          <w:p>
            <w:pPr>
              <w:spacing w:beforeAutospacing="0" w:afterAutospacing="0" w:line="400" w:lineRule="exact"/>
              <w:ind w:firstLineChars="200" w:firstLine="560"/>
              <w:rPr>
                <w:rFonts w:ascii="Times New Roman" w:eastAsia="方正仿宋_GBK" w:cs="Times New Roman" w:hAnsi="Times New Roman"/>
                <w:b/>
                <w:bCs/>
                <w:sz w:val="28"/>
                <w:szCs w:val="28"/>
              </w:rPr>
            </w:pPr>
            <w:r>
              <w:rPr>
                <w:rFonts w:ascii="Times New Roman" w:eastAsia="方正仿宋_GBK" w:cs="Times New Roman" w:hAnsi="Times New Roman"/>
                <w:b/>
                <w:bCs/>
                <w:sz w:val="28"/>
                <w:szCs w:val="28"/>
              </w:rPr>
              <w:t>（三）系统优化与技术保障服务</w:t>
            </w:r>
          </w:p>
          <w:p>
            <w:pPr>
              <w:spacing w:beforeAutospacing="0" w:afterAutospacing="0" w:line="400" w:lineRule="exact"/>
              <w:ind w:firstLineChars="200" w:firstLine="560"/>
              <w:rPr>
                <w:rFonts w:ascii="Times New Roman" w:eastAsia="方正仿宋_GBK" w:cs="Times New Roman" w:hAnsi="Times New Roman"/>
                <w:sz w:val="28"/>
                <w:szCs w:val="28"/>
              </w:rPr>
            </w:pPr>
            <w:r>
              <w:rPr>
                <w:rFonts w:ascii="Times New Roman" w:eastAsia="方正仿宋_GBK" w:cs="Times New Roman" w:hAnsi="Times New Roman"/>
                <w:sz w:val="28"/>
                <w:szCs w:val="28"/>
              </w:rPr>
              <w:t>1. 定期优化监控系统网络架构、设备运行参数，排查网络延迟、卡顿、掉线、信号不稳定等问题，保障监控画面实时、稳定传输，系统整体运行平稳。</w:t>
            </w:r>
          </w:p>
          <w:p>
            <w:pPr>
              <w:spacing w:beforeAutospacing="0" w:afterAutospacing="0" w:line="400" w:lineRule="exact"/>
              <w:ind w:firstLineChars="200" w:firstLine="560"/>
              <w:rPr>
                <w:rFonts w:ascii="Times New Roman" w:eastAsia="方正仿宋_GBK" w:cs="Times New Roman" w:hAnsi="Times New Roman"/>
                <w:sz w:val="28"/>
                <w:szCs w:val="28"/>
              </w:rPr>
            </w:pPr>
            <w:r>
              <w:rPr>
                <w:rFonts w:ascii="Times New Roman" w:eastAsia="方正仿宋_GBK" w:cs="Times New Roman" w:hAnsi="Times New Roman"/>
                <w:sz w:val="28"/>
                <w:szCs w:val="28"/>
              </w:rPr>
              <w:t>2. 协助二连海关完成系统权限分级管理、设备台账更新、点位信息核对、设备信息建档工作，动态更新故障记录、维修记录、巡检记录，建立完整、可追溯的运维档案体系。</w:t>
            </w:r>
          </w:p>
          <w:p>
            <w:pPr>
              <w:spacing w:beforeAutospacing="0" w:afterAutospacing="0" w:line="400" w:lineRule="exact"/>
              <w:ind w:firstLineChars="200" w:firstLine="560"/>
              <w:rPr>
                <w:rFonts w:ascii="Times New Roman" w:eastAsia="方正仿宋_GBK" w:cs="Times New Roman" w:hAnsi="Times New Roman"/>
                <w:sz w:val="28"/>
                <w:szCs w:val="28"/>
              </w:rPr>
            </w:pPr>
            <w:r>
              <w:rPr>
                <w:rFonts w:ascii="Times New Roman" w:eastAsia="方正仿宋_GBK" w:cs="Times New Roman" w:hAnsi="Times New Roman"/>
                <w:sz w:val="28"/>
                <w:szCs w:val="28"/>
              </w:rPr>
              <w:t>3. 全力配合二连海关各类专项检查、日常督查、突发事件处置工作，按需精准调取、导出监控录像，提供全程专业技术支撑。</w:t>
            </w:r>
          </w:p>
          <w:p>
            <w:pPr>
              <w:spacing w:beforeAutospacing="0" w:afterAutospacing="0" w:line="400" w:lineRule="exact"/>
              <w:ind w:firstLineChars="200" w:firstLine="560"/>
              <w:rPr>
                <w:rFonts w:ascii="Times New Roman" w:eastAsia="方正仿宋_GBK" w:cs="Times New Roman" w:hAnsi="Times New Roman"/>
                <w:sz w:val="28"/>
                <w:szCs w:val="28"/>
              </w:rPr>
            </w:pPr>
            <w:r>
              <w:rPr>
                <w:rFonts w:ascii="Times New Roman" w:eastAsia="方正仿宋_GBK" w:cs="Times New Roman" w:hAnsi="Times New Roman"/>
                <w:sz w:val="28"/>
                <w:szCs w:val="28"/>
              </w:rPr>
              <w:t>4. 主动排查系统运行漏洞及安全隐患，定期出具系统优化建议方案，无条件配合二连海关完成系统升级、点位增补、设备调试等配套工作。</w:t>
            </w:r>
          </w:p>
          <w:p>
            <w:pPr>
              <w:spacing w:beforeAutospacing="0" w:afterAutospacing="0" w:line="400" w:lineRule="exact"/>
              <w:ind w:firstLineChars="200" w:firstLine="560"/>
              <w:rPr>
                <w:rFonts w:ascii="Times New Roman" w:eastAsia="方正仿宋_GBK" w:cs="Times New Roman" w:hAnsi="Times New Roman"/>
                <w:b/>
                <w:bCs/>
                <w:sz w:val="28"/>
                <w:szCs w:val="28"/>
              </w:rPr>
            </w:pPr>
            <w:r>
              <w:rPr>
                <w:rFonts w:ascii="Times New Roman" w:eastAsia="方正仿宋_GBK" w:cs="Times New Roman" w:hAnsi="Times New Roman"/>
                <w:b/>
                <w:bCs/>
                <w:sz w:val="28"/>
                <w:szCs w:val="28"/>
              </w:rPr>
              <w:t>（四）驻场专人运维服务</w:t>
            </w:r>
          </w:p>
          <w:p>
            <w:pPr>
              <w:spacing w:beforeAutospacing="0" w:afterAutospacing="0" w:line="400" w:lineRule="exact"/>
              <w:ind w:firstLineChars="200" w:firstLine="560"/>
              <w:rPr>
                <w:rFonts w:ascii="Times New Roman" w:eastAsia="方正仿宋_GBK" w:cs="Times New Roman" w:hAnsi="Times New Roman"/>
                <w:sz w:val="28"/>
                <w:szCs w:val="28"/>
              </w:rPr>
            </w:pPr>
            <w:r>
              <w:rPr>
                <w:rFonts w:ascii="Times New Roman" w:eastAsia="方正仿宋_GBK" w:cs="Times New Roman" w:hAnsi="Times New Roman"/>
                <w:sz w:val="28"/>
                <w:szCs w:val="28"/>
              </w:rPr>
              <w:t>1. 供应商须指定</w:t>
            </w:r>
            <w:r>
              <w:rPr>
                <w:rFonts w:ascii="Times New Roman" w:eastAsia="方正仿宋_GBK" w:cs="Times New Roman" w:hAnsi="Times New Roman"/>
                <w:bCs/>
                <w:sz w:val="28"/>
                <w:szCs w:val="28"/>
              </w:rPr>
              <w:t>1名固定项目联系人</w:t>
            </w:r>
            <w:r>
              <w:rPr>
                <w:rFonts w:ascii="Times New Roman" w:eastAsia="方正仿宋_GBK" w:cs="Times New Roman" w:hAnsi="Times New Roman"/>
                <w:sz w:val="28"/>
                <w:szCs w:val="28"/>
              </w:rPr>
              <w:t>，全程负责本项目对接、沟通协调、工单统筹、进度汇报、问题反馈等工作，保持7×24小时通讯畅通，与二连海关保持常态化紧密对接，保障各类日常、临时、紧急事项高效落地。</w:t>
            </w:r>
          </w:p>
          <w:p>
            <w:pPr>
              <w:spacing w:beforeAutospacing="0" w:afterAutospacing="0" w:line="400" w:lineRule="exact"/>
              <w:ind w:firstLineChars="200" w:firstLine="560"/>
              <w:rPr>
                <w:rFonts w:ascii="Times New Roman" w:eastAsia="方正仿宋_GBK" w:cs="Times New Roman" w:hAnsi="Times New Roman"/>
                <w:sz w:val="28"/>
                <w:szCs w:val="28"/>
              </w:rPr>
            </w:pPr>
            <w:r>
              <w:rPr>
                <w:rFonts w:ascii="Times New Roman" w:eastAsia="方正仿宋_GBK" w:cs="Times New Roman" w:hAnsi="Times New Roman"/>
                <w:sz w:val="28"/>
                <w:szCs w:val="28"/>
              </w:rPr>
              <w:t>2. 供应商须提供</w:t>
            </w:r>
            <w:r>
              <w:rPr>
                <w:rFonts w:ascii="Times New Roman" w:eastAsia="方正仿宋_GBK" w:cs="Times New Roman" w:hAnsi="Times New Roman"/>
                <w:bCs/>
                <w:sz w:val="28"/>
                <w:szCs w:val="28"/>
              </w:rPr>
              <w:t>至少1名专职工程师全程驻场服务</w:t>
            </w:r>
            <w:r>
              <w:rPr>
                <w:rFonts w:ascii="Times New Roman" w:eastAsia="方正仿宋_GBK" w:cs="Times New Roman" w:hAnsi="Times New Roman"/>
                <w:sz w:val="28"/>
                <w:szCs w:val="28"/>
              </w:rPr>
              <w:t>，驻场工程师需熟练掌握海康、大华等主流品牌监控设备、存储设备、网络交换设备的性能架构，具备丰富的同类网络及安防运维项目经验，可独立完成设备巡检、故障排查、系统调试、参数优化、日常维保等全部工作，确保日常运维工作常态化、标准化落地。</w:t>
            </w:r>
          </w:p>
          <w:p>
            <w:pPr>
              <w:spacing w:beforeAutospacing="0" w:afterAutospacing="0" w:line="400" w:lineRule="exact"/>
              <w:ind w:firstLineChars="200" w:firstLine="560"/>
              <w:rPr>
                <w:rFonts w:ascii="Times New Roman" w:eastAsia="方正仿宋_GBK" w:cs="Times New Roman" w:hAnsi="Times New Roman"/>
                <w:sz w:val="28"/>
                <w:szCs w:val="28"/>
              </w:rPr>
            </w:pPr>
            <w:r>
              <w:rPr>
                <w:rFonts w:ascii="Times New Roman" w:eastAsia="方正仿宋_GBK" w:cs="Times New Roman" w:hAnsi="Times New Roman"/>
                <w:sz w:val="28"/>
                <w:szCs w:val="28"/>
              </w:rPr>
              <w:t>3. 如遇紧急故障、大型检修、专项检查、重大活动保障等场景，供应商须无条件</w:t>
            </w:r>
            <w:r>
              <w:rPr>
                <w:rFonts w:ascii="Times New Roman" w:eastAsia="方正仿宋_GBK" w:cs="Times New Roman" w:hAnsi="Times New Roman"/>
                <w:bCs/>
                <w:sz w:val="28"/>
                <w:szCs w:val="28"/>
              </w:rPr>
              <w:t>增派至少1名临时工程师到场保障</w:t>
            </w:r>
            <w:r>
              <w:rPr>
                <w:rFonts w:ascii="Times New Roman" w:eastAsia="方正仿宋_GBK" w:cs="Times New Roman" w:hAnsi="Times New Roman"/>
                <w:sz w:val="28"/>
                <w:szCs w:val="28"/>
              </w:rPr>
              <w:t>，全力配合完成应急处置、设备保障、系统值守等工作，确保项目服务零空档、零风险。</w:t>
            </w:r>
          </w:p>
          <w:p>
            <w:pPr>
              <w:spacing w:beforeAutospacing="0" w:afterAutospacing="0" w:line="400" w:lineRule="exact"/>
              <w:ind w:firstLineChars="200" w:firstLine="560"/>
              <w:rPr>
                <w:rFonts w:ascii="Times New Roman" w:eastAsia="方正仿宋_GBK" w:cs="Times New Roman" w:hAnsi="Times New Roman"/>
                <w:sz w:val="28"/>
                <w:szCs w:val="28"/>
              </w:rPr>
            </w:pPr>
            <w:r>
              <w:rPr>
                <w:rFonts w:ascii="Times New Roman" w:eastAsia="方正仿宋_GBK" w:cs="Times New Roman" w:hAnsi="Times New Roman"/>
                <w:sz w:val="28"/>
                <w:szCs w:val="28"/>
              </w:rPr>
              <w:t>4. 驻场人员须严格遵守采购单位考勤制度、管理制度及保密规定，着装规范、持证上岗、服从管理；驻场人员更换须提前7个工作日书面报备二连海关，经同意后方可更换，确保服务连续性不受影响。</w:t>
            </w:r>
          </w:p>
          <w:p>
            <w:pPr>
              <w:spacing w:beforeAutospacing="0" w:afterAutospacing="0" w:line="400" w:lineRule="exact"/>
              <w:ind w:firstLineChars="200" w:firstLine="560"/>
              <w:rPr>
                <w:rFonts w:ascii="Times New Roman" w:eastAsia="方正仿宋_GBK" w:cs="Times New Roman" w:hAnsi="Times New Roman"/>
                <w:b/>
                <w:bCs/>
                <w:sz w:val="28"/>
                <w:szCs w:val="28"/>
              </w:rPr>
            </w:pPr>
            <w:r>
              <w:rPr>
                <w:rFonts w:ascii="Times New Roman" w:eastAsia="方正仿宋_GBK" w:cs="Times New Roman" w:hAnsi="Times New Roman"/>
                <w:b/>
                <w:bCs/>
                <w:sz w:val="28"/>
                <w:szCs w:val="28"/>
              </w:rPr>
              <w:t>（五）应急处置服务</w:t>
            </w:r>
          </w:p>
          <w:p>
            <w:pPr>
              <w:spacing w:beforeAutospacing="0" w:afterAutospacing="0" w:line="400" w:lineRule="exact"/>
              <w:ind w:firstLineChars="200" w:firstLine="560"/>
              <w:rPr>
                <w:rFonts w:ascii="Times New Roman" w:eastAsia="方正仿宋_GBK" w:cs="Times New Roman" w:hAnsi="Times New Roman"/>
                <w:sz w:val="28"/>
                <w:szCs w:val="28"/>
              </w:rPr>
            </w:pPr>
            <w:r>
              <w:rPr>
                <w:rFonts w:ascii="Times New Roman" w:eastAsia="方正仿宋_GBK" w:cs="Times New Roman" w:hAnsi="Times New Roman"/>
                <w:sz w:val="28"/>
                <w:szCs w:val="28"/>
              </w:rPr>
              <w:t>针对暴雨、雷击、断电、设备大面积故障、突发安全事件、专项安保任务等特殊场景，供应商需第一时间启动应急运维预案，安排专属技术人员到场处置，快速排查故障、恢复系统功能，全力保障监控系统关键时段正常履职。</w:t>
            </w:r>
          </w:p>
          <w:p>
            <w:pPr>
              <w:spacing w:beforeAutospacing="0" w:afterAutospacing="0" w:line="400" w:lineRule="exact"/>
              <w:ind w:firstLineChars="200" w:firstLine="560"/>
              <w:rPr>
                <w:rFonts w:ascii="Times New Roman" w:eastAsia="方正仿宋_GBK" w:cs="Times New Roman" w:hAnsi="Times New Roman"/>
                <w:b/>
                <w:bCs/>
                <w:sz w:val="28"/>
                <w:szCs w:val="28"/>
              </w:rPr>
            </w:pPr>
            <w:r>
              <w:rPr>
                <w:rFonts w:ascii="Times New Roman" w:eastAsia="方正仿宋_GBK" w:cs="Times New Roman" w:hAnsi="Times New Roman"/>
                <w:b/>
                <w:bCs/>
                <w:sz w:val="28"/>
                <w:szCs w:val="28"/>
              </w:rPr>
              <w:t>（六）台账整理与报表报送服务</w:t>
            </w:r>
          </w:p>
          <w:p>
            <w:pPr>
              <w:spacing w:beforeAutospacing="0" w:afterAutospacing="0" w:line="400" w:lineRule="exact"/>
              <w:ind w:firstLineChars="200" w:firstLine="560"/>
              <w:rPr>
                <w:rFonts w:ascii="Times New Roman" w:eastAsia="方正仿宋_GBK" w:cs="Times New Roman" w:hAnsi="Times New Roman"/>
                <w:sz w:val="28"/>
                <w:szCs w:val="28"/>
              </w:rPr>
            </w:pPr>
            <w:r>
              <w:rPr>
                <w:rFonts w:ascii="Times New Roman" w:eastAsia="方正仿宋_GBK" w:cs="Times New Roman" w:hAnsi="Times New Roman"/>
                <w:sz w:val="28"/>
                <w:szCs w:val="28"/>
              </w:rPr>
              <w:t>每月5日前向二连海关提交完整的上月运维工作报告，包含全域巡检记录、故障处置明细、设备运行状态、隐患整改闭环情况、当月运维工作总结及下月运维计划等内容；年末提交年度运维总结报告，所有资料规范归档，确保运维工作全程可核查、可追溯。</w:t>
            </w:r>
          </w:p>
          <w:p>
            <w:pPr>
              <w:spacing w:beforeAutospacing="0" w:afterAutospacing="0" w:line="400" w:lineRule="exact"/>
              <w:ind w:firstLineChars="200" w:firstLine="560"/>
              <w:rPr>
                <w:rFonts w:ascii="Times New Roman" w:eastAsia="方正仿宋_GBK" w:cs="Times New Roman" w:hAnsi="Times New Roman"/>
                <w:b/>
                <w:bCs/>
                <w:sz w:val="28"/>
                <w:szCs w:val="28"/>
              </w:rPr>
            </w:pPr>
            <w:r>
              <w:rPr>
                <w:rFonts w:ascii="Times New Roman" w:eastAsia="方正仿宋_GBK" w:cs="Times New Roman" w:hAnsi="Times New Roman"/>
                <w:b/>
                <w:bCs/>
                <w:sz w:val="28"/>
                <w:szCs w:val="28"/>
              </w:rPr>
              <w:t>二、服务标准及考核要求</w:t>
            </w:r>
          </w:p>
          <w:p>
            <w:pPr>
              <w:spacing w:beforeAutospacing="0" w:afterAutospacing="0" w:line="400" w:lineRule="exact"/>
              <w:ind w:firstLineChars="200" w:firstLine="560"/>
              <w:rPr>
                <w:rFonts w:ascii="Times New Roman" w:eastAsia="方正仿宋_GBK" w:cs="Times New Roman" w:hAnsi="Times New Roman"/>
                <w:sz w:val="28"/>
                <w:szCs w:val="28"/>
              </w:rPr>
            </w:pPr>
            <w:r>
              <w:rPr>
                <w:rFonts w:ascii="Times New Roman" w:eastAsia="方正仿宋_GBK" w:cs="Times New Roman" w:hAnsi="Times New Roman"/>
                <w:sz w:val="28"/>
                <w:szCs w:val="28"/>
              </w:rPr>
              <w:t>1. 本次所有运维服务须严格遵照《安全防范工程技术标准》（GB50348）、《视频安防监控系统工程设计规范》（GB50395）等国家及行业现行标准规范执行。</w:t>
            </w:r>
          </w:p>
          <w:p>
            <w:pPr>
              <w:spacing w:beforeAutospacing="0" w:afterAutospacing="0" w:line="400" w:lineRule="exact"/>
              <w:ind w:firstLineChars="200" w:firstLine="560"/>
              <w:rPr>
                <w:rFonts w:ascii="Times New Roman" w:eastAsia="方正仿宋_GBK" w:cs="Times New Roman" w:hAnsi="Times New Roman"/>
                <w:sz w:val="28"/>
                <w:szCs w:val="28"/>
              </w:rPr>
            </w:pPr>
            <w:r>
              <w:rPr>
                <w:rFonts w:ascii="Times New Roman" w:eastAsia="方正仿宋_GBK" w:cs="Times New Roman" w:hAnsi="Times New Roman"/>
                <w:sz w:val="28"/>
                <w:szCs w:val="28"/>
              </w:rPr>
              <w:t>2. 服务质量硬性指标：业务现场专用监控系统整体在线率不低于95%，单点位故障修复及时率98%，录像存储完整率不低于99%，杜绝长期故障点位、大面积监控失效、录像缺失等问题。</w:t>
            </w:r>
          </w:p>
          <w:p>
            <w:pPr>
              <w:spacing w:beforeAutospacing="0" w:afterAutospacing="0" w:line="400" w:lineRule="exact"/>
              <w:ind w:firstLineChars="200" w:firstLine="560"/>
              <w:rPr>
                <w:rFonts w:ascii="Times New Roman" w:eastAsia="方正仿宋_GBK" w:cs="Times New Roman" w:hAnsi="Times New Roman"/>
                <w:sz w:val="28"/>
                <w:szCs w:val="28"/>
              </w:rPr>
            </w:pPr>
            <w:r>
              <w:rPr>
                <w:rFonts w:ascii="Times New Roman" w:eastAsia="方正仿宋_GBK" w:cs="Times New Roman" w:hAnsi="Times New Roman"/>
                <w:sz w:val="28"/>
                <w:szCs w:val="28"/>
              </w:rPr>
              <w:t>3. 二连海关实行季度考核、年度总评的考核机制，重点考核巡检质量、响应时效、故障处置效果、服务态度、台账规范性等内容，考核结果与服务费用直接挂钩。考核不合格的，二连海关有权扣除相应服务费；情节严重、履约不力的，二连海关有权单方面终止服务合同，并追究相关违约责任。</w:t>
            </w:r>
          </w:p>
          <w:p>
            <w:pPr>
              <w:spacing w:beforeAutospacing="0" w:afterAutospacing="0" w:line="400" w:lineRule="exact"/>
              <w:ind w:firstLineChars="200" w:firstLine="560"/>
              <w:rPr>
                <w:rFonts w:ascii="Times New Roman" w:eastAsia="方正仿宋_GBK" w:cs="Times New Roman" w:hAnsi="Times New Roman"/>
                <w:b/>
                <w:bCs/>
                <w:sz w:val="28"/>
                <w:szCs w:val="28"/>
              </w:rPr>
            </w:pPr>
            <w:r>
              <w:rPr>
                <w:rFonts w:ascii="Times New Roman" w:eastAsia="方正仿宋_GBK" w:cs="Times New Roman" w:hAnsi="Times New Roman"/>
                <w:b/>
                <w:bCs/>
                <w:sz w:val="28"/>
                <w:szCs w:val="28"/>
              </w:rPr>
              <w:t>三、保密要求</w:t>
            </w:r>
          </w:p>
          <w:p>
            <w:pPr>
              <w:spacing w:beforeAutospacing="0" w:afterAutospacing="0" w:line="400" w:lineRule="exact"/>
              <w:ind w:firstLineChars="200" w:firstLine="560"/>
              <w:rPr>
                <w:rFonts w:ascii="Times New Roman" w:eastAsia="方正仿宋_GBK" w:cs="Times New Roman" w:hAnsi="Times New Roman"/>
                <w:sz w:val="28"/>
                <w:szCs w:val="28"/>
              </w:rPr>
            </w:pPr>
            <w:r>
              <w:rPr>
                <w:rFonts w:ascii="Times New Roman" w:eastAsia="方正仿宋_GBK" w:cs="Times New Roman" w:hAnsi="Times New Roman"/>
                <w:sz w:val="28"/>
                <w:szCs w:val="28"/>
              </w:rPr>
              <w:t>1. 供应商在项目服务全过程中，须严格遵守国家保密法律法规及采购单位保密管理制度，对服务过程中接触的单位内部信息、监控画面、录像资料、设备参数、点位布局、网络数据、内部管控信息等全部涉密内容，承担终身保密责任。</w:t>
            </w:r>
          </w:p>
          <w:p>
            <w:pPr>
              <w:spacing w:beforeAutospacing="0" w:afterAutospacing="0" w:line="400" w:lineRule="exact"/>
              <w:ind w:firstLineChars="200" w:firstLine="560"/>
              <w:rPr>
                <w:rFonts w:ascii="Times New Roman" w:eastAsia="方正仿宋_GBK" w:cs="Times New Roman" w:hAnsi="Times New Roman"/>
                <w:sz w:val="28"/>
                <w:szCs w:val="28"/>
              </w:rPr>
            </w:pPr>
            <w:r>
              <w:rPr>
                <w:rFonts w:ascii="Times New Roman" w:eastAsia="方正仿宋_GBK" w:cs="Times New Roman" w:hAnsi="Times New Roman"/>
                <w:sz w:val="28"/>
                <w:szCs w:val="28"/>
              </w:rPr>
              <w:t>2. 未经采购单位书面正式授权，供应商及所有服务人员严禁擅自调取、复制、留存、传播、外泄、公开涉密监控数据及单位信息，严禁将涉密资料用于本项目运维服务以外的任何用途。</w:t>
            </w:r>
          </w:p>
          <w:p>
            <w:pPr>
              <w:spacing w:beforeAutospacing="0" w:afterAutospacing="0" w:line="400" w:lineRule="exact"/>
              <w:ind w:firstLineChars="200" w:firstLine="560"/>
              <w:rPr>
                <w:rFonts w:ascii="Times New Roman" w:eastAsia="方正仿宋_GBK" w:cs="Times New Roman" w:hAnsi="Times New Roman"/>
                <w:sz w:val="28"/>
                <w:szCs w:val="28"/>
              </w:rPr>
            </w:pPr>
            <w:r>
              <w:rPr>
                <w:rFonts w:ascii="Times New Roman" w:eastAsia="方正仿宋_GBK" w:cs="Times New Roman" w:hAnsi="Times New Roman"/>
                <w:sz w:val="28"/>
                <w:szCs w:val="28"/>
              </w:rPr>
              <w:t>3. 供应商须对全体在岗运维人员开展专项保密培训，逐一签订个人保密承诺书，建立人员保密管理台账，严格管控涉密信息流转，全面杜绝泄密、窃密、数据泄露等安全风险。</w:t>
            </w:r>
          </w:p>
          <w:p>
            <w:pPr>
              <w:spacing w:beforeAutospacing="0" w:afterAutospacing="0" w:line="400" w:lineRule="exact"/>
              <w:ind w:firstLineChars="200" w:firstLine="560"/>
              <w:rPr>
                <w:rFonts w:ascii="Times New Roman" w:eastAsia="方正仿宋_GBK" w:cs="Times New Roman" w:hAnsi="Times New Roman"/>
                <w:sz w:val="28"/>
                <w:szCs w:val="28"/>
              </w:rPr>
            </w:pPr>
            <w:r>
              <w:rPr>
                <w:rFonts w:ascii="Times New Roman" w:eastAsia="方正仿宋_GBK" w:cs="Times New Roman" w:hAnsi="Times New Roman"/>
                <w:sz w:val="28"/>
                <w:szCs w:val="28"/>
              </w:rPr>
              <w:t>4. 服务期内及服务合同终止后，供应商须无条件配合采购单位完成涉密资料、数据、设备操作权限的清零、回收、注销工作，不得私自留存、拷贝、备份任何涉密数据及资料。若因供应商原因造成涉密信息、影像、数据泄露，需承担全部法律责任、经济损失及不良后果，采购单位有权立即终止合同、扣除全部服务费用并依法追责。</w:t>
            </w:r>
          </w:p>
          <w:p>
            <w:pPr>
              <w:spacing w:beforeAutospacing="0" w:afterAutospacing="0" w:line="400" w:lineRule="exact"/>
              <w:ind w:firstLineChars="200" w:firstLine="560"/>
              <w:rPr>
                <w:rFonts w:ascii="Times New Roman" w:eastAsia="方正仿宋_GBK" w:cs="Times New Roman" w:hAnsi="Times New Roman"/>
                <w:sz w:val="28"/>
                <w:szCs w:val="28"/>
              </w:rPr>
            </w:pPr>
            <w:r>
              <w:rPr>
                <w:rFonts w:ascii="Times New Roman" w:eastAsia="方正仿宋_GBK" w:cs="Times New Roman" w:hAnsi="Times New Roman"/>
                <w:sz w:val="28"/>
                <w:szCs w:val="28"/>
              </w:rPr>
              <w:t>5. 本项目中标供应商在签订运维服务主合同的</w:t>
            </w:r>
            <w:r>
              <w:rPr>
                <w:rFonts w:ascii="Times New Roman" w:eastAsia="方正仿宋_GBK" w:cs="Times New Roman" w:hAnsi="Times New Roman"/>
                <w:bCs/>
                <w:sz w:val="28"/>
                <w:szCs w:val="28"/>
              </w:rPr>
              <w:t>同时，必须同步签订专项保密协议</w:t>
            </w:r>
            <w:r>
              <w:rPr>
                <w:rFonts w:ascii="Times New Roman" w:eastAsia="方正仿宋_GBK" w:cs="Times New Roman" w:hAnsi="Times New Roman"/>
                <w:sz w:val="28"/>
                <w:szCs w:val="28"/>
              </w:rPr>
              <w:t>，明确双方保密权责、保密期限、违约追责条款等内容；未签订专项保密协议的，不予签订服务合同，由此产生的一切后果由中标供应商自行承担。</w:t>
            </w:r>
          </w:p>
          <w:p>
            <w:pPr>
              <w:spacing w:beforeAutospacing="0" w:afterAutospacing="0" w:line="400" w:lineRule="exact"/>
              <w:ind w:firstLineChars="200" w:firstLine="560"/>
              <w:rPr>
                <w:rFonts w:ascii="Times New Roman" w:eastAsia="方正仿宋_GBK" w:cs="Times New Roman" w:hAnsi="Times New Roman"/>
                <w:b/>
                <w:bCs/>
                <w:sz w:val="28"/>
                <w:szCs w:val="28"/>
              </w:rPr>
            </w:pPr>
            <w:r>
              <w:rPr>
                <w:rFonts w:ascii="Times New Roman" w:eastAsia="方正仿宋_GBK" w:cs="Times New Roman" w:hAnsi="Times New Roman"/>
                <w:b/>
                <w:bCs/>
                <w:sz w:val="28"/>
                <w:szCs w:val="28"/>
              </w:rPr>
              <w:t>四、其他事项</w:t>
            </w:r>
          </w:p>
          <w:p>
            <w:pPr>
              <w:spacing w:beforeAutospacing="0" w:afterAutospacing="0" w:line="400" w:lineRule="exact"/>
              <w:ind w:firstLineChars="200" w:firstLine="560"/>
              <w:rPr>
                <w:rFonts w:ascii="Times New Roman" w:eastAsia="方正仿宋_GBK" w:cs="Times New Roman" w:hAnsi="Times New Roman"/>
                <w:sz w:val="28"/>
                <w:szCs w:val="28"/>
              </w:rPr>
            </w:pPr>
            <w:r>
              <w:rPr>
                <w:rFonts w:ascii="Times New Roman" w:eastAsia="方正仿宋_GBK" w:cs="Times New Roman" w:hAnsi="Times New Roman"/>
                <w:sz w:val="28"/>
                <w:szCs w:val="28"/>
              </w:rPr>
              <w:t>1. 供应商须自行完成现场踏勘，全面核实项目设备现状、服务范围、场地条件，充分评估履约风险，结合实际情况制定服务方案及报价。一经投标，即视为充分知晓并认可本项目全部需求、现状及所有条款，后续无异议。</w:t>
            </w:r>
          </w:p>
          <w:p>
            <w:pPr>
              <w:spacing w:beforeAutospacing="0" w:afterAutospacing="0" w:line="400" w:lineRule="exact"/>
              <w:ind w:firstLineChars="200" w:firstLine="560"/>
              <w:rPr>
                <w:rFonts w:ascii="Times New Roman" w:eastAsia="方正仿宋_GBK" w:cs="Times New Roman" w:hAnsi="Times New Roman"/>
                <w:sz w:val="28"/>
                <w:szCs w:val="28"/>
              </w:rPr>
            </w:pPr>
            <w:r>
              <w:rPr>
                <w:rFonts w:ascii="Times New Roman" w:eastAsia="方正仿宋_GBK" w:cs="Times New Roman" w:hAnsi="Times New Roman"/>
                <w:sz w:val="28"/>
                <w:szCs w:val="28"/>
              </w:rPr>
              <w:t>2. 本项目报价为全包固定包干总价，包含人工、设备维修、耗材更换、全域巡检、交通通勤、应急处置、税费、保密服务等所有相关费用，合同存续期间二连海关不承担任何额外增补费用。</w:t>
            </w:r>
          </w:p>
          <w:p>
            <w:pPr>
              <w:spacing w:beforeAutospacing="0" w:afterAutospacing="0" w:line="400" w:lineRule="exact"/>
              <w:ind w:firstLineChars="200" w:firstLine="560"/>
              <w:rPr>
                <w:rFonts w:ascii="Times New Roman" w:eastAsia="方正仿宋_GBK" w:cs="Times New Roman" w:hAnsi="Times New Roman"/>
                <w:sz w:val="28"/>
                <w:szCs w:val="28"/>
              </w:rPr>
            </w:pPr>
            <w:r>
              <w:rPr>
                <w:rFonts w:ascii="Times New Roman" w:eastAsia="方正仿宋_GBK" w:cs="Times New Roman" w:hAnsi="Times New Roman"/>
                <w:sz w:val="28"/>
                <w:szCs w:val="28"/>
              </w:rPr>
              <w:t>3. 中标供应商不得擅自转包、分包本项目服务内容，未经二连海关书面同意擅自分包转包的，二连海关有权无条件终止合同并追究违约责任。</w:t>
            </w:r>
          </w:p>
          <w:p>
            <w:pPr>
              <w:spacing w:beforeAutospacing="0" w:afterAutospacing="0" w:line="400" w:lineRule="exact"/>
              <w:ind w:firstLineChars="200" w:firstLine="560"/>
              <w:rPr>
                <w:rFonts w:ascii="Times New Roman" w:eastAsia="方正仿宋_GBK" w:cs="Times New Roman" w:hAnsi="Times New Roman"/>
                <w:sz w:val="28"/>
                <w:szCs w:val="28"/>
              </w:rPr>
            </w:pPr>
            <w:r>
              <w:rPr>
                <w:rFonts w:ascii="Times New Roman" w:eastAsia="方正仿宋_GBK" w:cs="Times New Roman" w:hAnsi="Times New Roman"/>
                <w:sz w:val="28"/>
                <w:szCs w:val="28"/>
              </w:rPr>
              <w:t>4. 二连海关有权根据实际工作及安防管理需求，对服务内容、服务标准进行合理优化调整，中标供应商须无条件全力配合执行。</w:t>
            </w:r>
          </w:p>
          <w:p>
            <w:pPr>
              <w:spacing w:beforeAutospacing="0" w:afterAutospacing="0" w:line="400" w:lineRule="exact"/>
              <w:ind w:firstLineChars="200" w:firstLine="560"/>
              <w:rPr>
                <w:rFonts w:ascii="Times New Roman" w:eastAsia="方正仿宋_GBK" w:cs="Times New Roman" w:hAnsi="Times New Roman"/>
                <w:sz w:val="28"/>
                <w:szCs w:val="28"/>
              </w:rPr>
            </w:pPr>
            <w:r>
              <w:rPr>
                <w:rFonts w:ascii="Times New Roman" w:eastAsia="方正仿宋_GBK" w:cs="Times New Roman" w:hAnsi="Times New Roman"/>
                <w:sz w:val="28"/>
                <w:szCs w:val="28"/>
              </w:rPr>
              <w:t>5. 本公告未尽事宜，由二连海关另行通知、解释。</w:t>
            </w:r>
          </w:p>
          <w:p>
            <w:pPr>
              <w:spacing w:beforeAutospacing="0" w:afterAutospacing="0" w:line="400" w:lineRule="exact"/>
              <w:ind w:firstLineChars="200" w:firstLine="560"/>
              <w:rPr>
                <w:rFonts w:ascii="Times New Roman" w:eastAsia="方正仿宋_GBK" w:cs="Times New Roman" w:hAnsi="Times New Roman"/>
                <w:sz w:val="28"/>
                <w:szCs w:val="28"/>
              </w:rPr>
            </w:pPr>
          </w:p>
        </w:tc>
      </w:tr>
      <w:tr>
        <w:trPr>
          <w:trHeight w:val="610"/>
        </w:trPr>
        <w:tc>
          <w:tcPr>
            <w:tcW w:w="2198" w:type="dxa"/>
            <w:vAlign w:val="center"/>
          </w:tcPr>
          <w:p>
            <w:pPr>
              <w:spacing w:line="560" w:lineRule="exact"/>
              <w:jc w:val="center"/>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评审因素</w:t>
            </w:r>
          </w:p>
        </w:tc>
        <w:tc>
          <w:tcPr>
            <w:tcW w:w="6862" w:type="dxa"/>
            <w:vAlign w:val="center"/>
          </w:tcPr>
          <w:p>
            <w:pPr>
              <w:spacing w:line="400" w:lineRule="exact"/>
              <w:jc w:val="both"/>
              <w:rPr>
                <w:rFonts w:ascii="Times New Roman" w:eastAsia="方正仿宋_GBK" w:cs="Times New Roman" w:hAnsi="Times New Roman"/>
                <w:sz w:val="28"/>
                <w:szCs w:val="28"/>
              </w:rPr>
            </w:pPr>
            <w:r>
              <w:rPr>
                <w:rFonts w:ascii="方正仿宋_GBK" w:eastAsia="方正仿宋_GBK" w:cs="方正仿宋_GBK" w:hint="eastAsia"/>
                <w:sz w:val="28"/>
                <w:szCs w:val="28"/>
              </w:rPr>
              <w:t>√最低价法</w:t>
            </w:r>
          </w:p>
        </w:tc>
      </w:tr>
    </w:tbl>
    <w:p>
      <w:pPr>
        <w:rPr>
          <w:rFonts w:ascii="方正仿宋_GBK" w:eastAsia="方正仿宋_GBK" w:cs="方正仿宋_GBK"/>
          <w:sz w:val="32"/>
          <w:szCs w:val="32"/>
        </w:rPr>
      </w:pPr>
    </w:p>
    <w:p>
      <w:pPr>
        <w:spacing w:line="560" w:lineRule="exact"/>
        <w:rPr>
          <w:rFonts w:ascii="方正仿宋_GBK" w:eastAsia="方正仿宋_GBK" w:cs="方正仿宋_GBK"/>
          <w:sz w:val="32"/>
          <w:szCs w:val="32"/>
        </w:rPr>
      </w:pPr>
    </w:p>
    <w:sectPr>
      <w:footerReference w:type="default" r:id="rId2"/>
      <w:footerReference w:type="even" r:id="rId3"/>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黑体_GBK">
    <w:panose1 w:val="03000509000000000000"/>
    <w:charset w:val="86"/>
    <w:family w:val="script"/>
    <w:pitch w:val="variable"/>
    <w:sig w:usb0="00000001" w:usb1="080E0000" w:usb2="00000000" w:usb3="00000000" w:csb0="00040000" w:csb1="00000000"/>
  </w:font>
  <w:font w:name="方正小标宋_GBK">
    <w:panose1 w:val="03000509000000000000"/>
    <w:charset w:val="86"/>
    <w:family w:val="script"/>
    <w:pitch w:val="variable"/>
    <w:sig w:usb0="00000001" w:usb1="080E0000" w:usb2="00000000" w:usb3="00000000" w:csb0="00040000" w:csb1="00000000"/>
  </w:font>
  <w:font w:name="方正楷体_GBK">
    <w:panose1 w:val="03000509000000000000"/>
    <w:charset w:val="86"/>
    <w:family w:val="script"/>
    <w:pitch w:val="variable"/>
    <w:sig w:usb0="00000001" w:usb1="080E0000" w:usb2="00000000" w:usb3="00000000" w:csb0="00040000" w:csb1="00000000"/>
  </w:font>
  <w:font w:name="方正仿宋_GBK">
    <w:panose1 w:val="03000509000000000000"/>
    <w:charset w:val="86"/>
    <w:family w:val="script"/>
    <w:pitch w:val="variable"/>
    <w:sig w:usb0="00000001" w:usb1="080E0000" w:usb2="00000000" w:usb3="00000000" w:csb0="00040000" w:csb1="00000000"/>
  </w:font>
  <w:font w:name="Times New Roman">
    <w:altName w:val="DejaVu Sans"/>
    <w:panose1 w:val="02020603050405020304"/>
    <w:charset w:val="00"/>
    <w:family w:val="roman"/>
    <w:pitch w:val="variable"/>
    <w:sig w:usb0="20007A87" w:usb1="80000000" w:usb2="00000008" w:usb3="00000000" w:csb0="000001FF" w:csb1="00000000"/>
  </w:font>
  <w:font w:name="宋体">
    <w:altName w:val="阳光吾坚体"/>
    <w:panose1 w:val="02010600030101010101"/>
    <w:charset w:val="86"/>
    <w:family w:val="auto"/>
    <w:pitch w:val="variable"/>
    <w:sig w:usb0="00000203" w:usb1="288F0000" w:usb2="00000006" w:usb3="00000000" w:csb0="00040001" w:csb1="00000000"/>
  </w:font>
  <w:font w:name="Calibri">
    <w:altName w:val="DejaVu Sans"/>
    <w:panose1 w:val="020F0502020204030204"/>
    <w:charset w:val="00"/>
    <w:family w:val="swiss"/>
    <w:pitch w:val="variable"/>
    <w:sig w:usb0="E4002EFF" w:usb1="C200247B" w:usb2="00000009" w:usb3="00000000" w:csb0="200001FF" w:csb1="00000000"/>
  </w:font>
  <w:font w:name="Arial">
    <w:altName w:val="DejaVu Sans"/>
    <w:panose1 w:val="020B0604020202020204"/>
    <w:charset w:val="01"/>
    <w:family w:val="swiss"/>
    <w:pitch w:val="variable"/>
    <w:sig w:usb0="E0002EFF" w:usb1="C000785B"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framePr w:w="0" w:hRule="auto" w:wrap="around" w:vAnchor="text" w:hAnchor="margin" w:xAlign="right" w:y="1" w:anchorLock="0"/>
      <w:tabs>
        <w:tab w:val="center" w:pos="4153"/>
        <w:tab w:val="right" w:pos="8306"/>
      </w:tabs>
    </w:pPr>
    <w:r>
      <w:rPr>
        <w:rStyle w:val="24"/>
      </w:rPr>
      <w:fldChar w:fldCharType="begin"/>
    </w:r>
    <w:r>
      <w:rPr>
        <w:rStyle w:val="24"/>
      </w:rPr>
      <w:instrText>Page</w:instrText>
    </w:r>
    <w:r>
      <w:rPr>
        <w:rStyle w:val="24"/>
      </w:rPr>
      <w:fldChar w:fldCharType="separate"/>
    </w:r>
    <w:r>
      <w:rPr>
        <w:rStyle w:val="24"/>
      </w:rPr>
      <w:t>3</w:t>
    </w:r>
    <w:r>
      <w:rPr>
        <w:rStyle w:val="24"/>
      </w:rPr>
      <w:fldChar w:fldCharType="end"/>
    </w:r>
  </w:p>
  <w:p>
    <w:pPr>
      <w:pStyle w:val="17"/>
      <w:tabs>
        <w:tab w:val="center" w:pos="4153"/>
        <w:tab w:val="right" w:pos="8306"/>
      </w:tabs>
      <w:ind w:right="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framePr w:w="0" w:hRule="auto" w:wrap="around" w:vAnchor="text" w:hAnchor="margin" w:xAlign="right" w:y="1" w:anchorLock="0"/>
      <w:tabs>
        <w:tab w:val="center" w:pos="4153"/>
        <w:tab w:val="right" w:pos="8306"/>
      </w:tabs>
    </w:pPr>
    <w:r>
      <w:rPr>
        <w:rStyle w:val="24"/>
      </w:rPr>
      <w:fldChar w:fldCharType="begin"/>
    </w:r>
    <w:r>
      <w:rPr>
        <w:rStyle w:val="24"/>
      </w:rPr>
      <w:instrText>Page</w:instrText>
    </w:r>
    <w:r>
      <w:rPr>
        <w:rStyle w:val="24"/>
      </w:rPr>
      <w:fldChar w:fldCharType="separate"/>
    </w:r>
    <w:r>
      <w:rPr>
        <w:rStyle w:val="24"/>
      </w:rPr>
      <w:t>1</w:t>
    </w:r>
    <w:r>
      <w:rPr>
        <w:rStyle w:val="24"/>
      </w:rPr>
      <w:fldChar w:fldCharType="end"/>
    </w:r>
  </w:p>
  <w:p>
    <w:pPr>
      <w:pStyle w:val="17"/>
      <w:tabs>
        <w:tab w:val="center" w:pos="4153"/>
        <w:tab w:val="right" w:pos="8306"/>
      </w:tabs>
      <w:ind w:right="360"/>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80"/>
  <w:doNotDisplayPageBoundaries/>
  <w:bordersDoNotSurroundHeader w:val="0"/>
  <w:bordersDoNotSurroundFooter w:val="0"/>
  <w:trackRevisions/>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OWRlNmFjNTE0YmQzNDgwNGMxODI4OWJlYzRjMWE3MTc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1"/>
    </w:pPr>
    <w:rPr>
      <w:rFonts w:ascii="宋体" w:eastAsia="宋体"/>
      <w:b/>
      <w:i w:val="0"/>
      <w:caps w:val="0"/>
      <w:smallCaps w:val="0"/>
      <w:strike w:val="0"/>
      <w:dstrike w:val="0"/>
      <w:snapToGrid/>
      <w:vanish w:val="0"/>
      <w:color w:val="auto"/>
      <w:spacing w:val="0"/>
      <w:w w:val="100"/>
      <w:kern w:val="0"/>
      <w:position w:val="0"/>
      <w:sz w:val="36"/>
      <w:u w:val="none" w:color="auto"/>
      <w:shd w:val="clear" w:color="auto" w:fill="auto"/>
      <w:vertAlign w:val="baseline"/>
      <w:em w:val="none"/>
      <w:lang w:val="en-US" w:eastAsia="zh-CN"/>
    </w:rPr>
  </w:style>
  <w:style w:type="paragraph" w:styleId="3">
    <w:name w:val="heading 3"/>
    <w:basedOn w:val="0"/>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2"/>
    </w:pPr>
    <w:rPr>
      <w:rFonts w:ascii="宋体" w:eastAsia="宋体"/>
      <w:b/>
      <w:i w:val="0"/>
      <w:caps w:val="0"/>
      <w:smallCaps w:val="0"/>
      <w:strike w:val="0"/>
      <w:dstrike w:val="0"/>
      <w:snapToGrid/>
      <w:vanish w:val="0"/>
      <w:color w:val="auto"/>
      <w:spacing w:val="0"/>
      <w:w w:val="100"/>
      <w:kern w:val="0"/>
      <w:position w:val="0"/>
      <w:sz w:val="27"/>
      <w:u w:val="none" w:color="auto"/>
      <w:shd w:val="clear" w:color="auto" w:fill="auto"/>
      <w:vertAlign w:val="baseline"/>
      <w:em w:val="none"/>
      <w:lang w:val="en-US" w:eastAsia="zh-CN"/>
    </w:rPr>
  </w:style>
  <w:style w:type="character" w:default="1" w:styleId="10">
    <w:name w:val="Default Paragraph Font"/>
  </w:style>
  <w:style w:type="paragraph" w:styleId="15">
    <w:name w:val="annotation text"/>
    <w:pPr>
      <w:widowControl w:val="0"/>
    </w:pPr>
    <w:rPr>
      <w:rFonts w:ascii="Calibri" w:eastAsia="宋体" w:cs="Arial" w:hAnsi="Calibri"/>
      <w:kern w:val="2"/>
      <w:sz w:val="21"/>
      <w:szCs w:val="24"/>
      <w:lang w:val="en-US" w:eastAsia="zh-CN" w:bidi="ar-SA"/>
    </w:rPr>
  </w:style>
  <w:style w:type="paragraph" w:styleId="16">
    <w:name w:val="Balloon Text"/>
    <w:basedOn w:val="0"/>
    <w:rPr>
      <w:sz w:val="18"/>
      <w:szCs w:val="18"/>
    </w:rPr>
  </w:style>
  <w:style w:type="paragraph" w:styleId="17">
    <w:name w:val="footer"/>
    <w:basedOn w:val="0"/>
    <w:pPr>
      <w:tabs>
        <w:tab w:val="center" w:pos="4153"/>
        <w:tab w:val="right" w:pos="8306"/>
      </w:tabs>
      <w:snapToGrid w:val="0"/>
      <w:jc w:val="left"/>
    </w:pPr>
    <w:rPr>
      <w:sz w:val="18"/>
      <w:szCs w:val="18"/>
    </w:rPr>
  </w:style>
  <w:style w:type="paragraph" w:styleId="18">
    <w:name w:val="header"/>
    <w:basedOn w:val="0"/>
    <w:pPr>
      <w:pBdr>
        <w:bottom w:val="single" w:sz="6" w:space="1" w:color="auto"/>
      </w:pBdr>
      <w:tabs>
        <w:tab w:val="center" w:pos="4153"/>
        <w:tab w:val="right" w:pos="8306"/>
      </w:tabs>
      <w:snapToGrid w:val="0"/>
      <w:jc w:val="center"/>
    </w:pPr>
    <w:rPr>
      <w:sz w:val="18"/>
      <w:szCs w:val="18"/>
    </w:rPr>
  </w:style>
  <w:style w:type="paragraph" w:styleId="19">
    <w:name w:val="index heading"/>
    <w:basedOn w:val="0"/>
    <w:rPr>
      <w:rFonts w:ascii="Arial" w:hAnsi="Arial"/>
      <w:b/>
    </w:rPr>
  </w:style>
  <w:style w:type="paragraph" w:styleId="20">
    <w:name w:val="List 5"/>
    <w:basedOn w:val="0"/>
    <w:pPr>
      <w:ind w:left="2100" w:hanging="420"/>
    </w:pPr>
  </w:style>
  <w:style w:type="paragraph" w:styleId="21">
    <w:name w:val="index 7"/>
    <w:basedOn w:val="0"/>
    <w:autoRedefine/>
    <w:next w:val="0"/>
    <w:pPr>
      <w:ind w:left="2520"/>
    </w:pPr>
  </w:style>
  <w:style w:type="paragraph" w:styleId="22">
    <w:name w:val="Normal (Web)"/>
    <w:next w:val="20"/>
    <w:pPr>
      <w:widowControl w:val="0"/>
      <w:spacing w:before="100" w:beforeAutospacing="1" w:after="100" w:afterAutospacing="1"/>
    </w:pPr>
    <w:rPr>
      <w:rFonts w:ascii="宋体" w:eastAsia="宋体" w:cs="Times New Roman"/>
      <w:kern w:val="2"/>
      <w:sz w:val="24"/>
      <w:szCs w:val="24"/>
      <w:lang w:val="en-US" w:eastAsia="zh-CN" w:bidi="ar-SA"/>
    </w:rPr>
  </w:style>
  <w:style w:type="paragraph" w:styleId="23">
    <w:name w:val="annotation subject"/>
    <w:next w:val="15"/>
    <w:pPr>
      <w:widowControl w:val="0"/>
    </w:pPr>
    <w:rPr>
      <w:rFonts w:ascii="Calibri" w:eastAsia="宋体" w:cs="Arial" w:hAnsi="Calibri"/>
      <w:b/>
      <w:kern w:val="2"/>
      <w:sz w:val="21"/>
      <w:szCs w:val="24"/>
      <w:lang w:val="en-US" w:eastAsia="zh-CN" w:bidi="ar-SA"/>
    </w:rPr>
  </w:style>
  <w:style w:type="character" w:styleId="24">
    <w:name w:val="page number"/>
    <w:basedOn w:val="10"/>
  </w:style>
  <w:style w:type="character" w:styleId="25">
    <w:name w:val="annotation reference"/>
    <w:basedOn w:val="10"/>
    <w:rPr>
      <w:sz w:val="21"/>
      <w:szCs w:val="21"/>
    </w:rPr>
  </w:style>
  <w:style w:type="paragraph" w:customStyle="1" w:styleId="26">
    <w:name w:val="样式 10 磅"/>
    <w:pPr>
      <w:widowControl w:val="0"/>
      <w:jc w:val="both"/>
    </w:pPr>
    <w:rPr>
      <w:rFonts w:ascii="Calibri" w:eastAsia="宋体" w:cs="Arial" w:hAnsi="Calibri"/>
      <w:kern w:val="2"/>
      <w:sz w:val="21"/>
      <w:szCs w:val="24"/>
      <w:lang w:val="en-US" w:eastAsia="zh-CN" w:bidi="ar-SA"/>
    </w:rPr>
  </w:style>
  <w:style w:type="paragraph" w:customStyle="1" w:styleId="27">
    <w:name w:val="样式 1 10 磅"/>
    <w:pPr>
      <w:widowControl w:val="0"/>
      <w:jc w:val="both"/>
    </w:pPr>
    <w:rPr>
      <w:rFonts w:ascii="Calibri" w:eastAsia="宋体" w:cs="Arial" w:hAnsi="Calibri"/>
      <w:kern w:val="2"/>
      <w:sz w:val="21"/>
      <w:szCs w:val="24"/>
      <w:lang w:val="en-US" w:eastAsia="zh-CN" w:bidi="ar-SA"/>
    </w:rPr>
  </w:style>
  <w:style w:type="paragraph" w:customStyle="1" w:styleId="28">
    <w:name w:val="样式 2 10 磅"/>
    <w:pPr>
      <w:widowControl w:val="0"/>
      <w:jc w:val="both"/>
    </w:pPr>
    <w:rPr>
      <w:rFonts w:ascii="Calibri" w:eastAsia="宋体" w:cs="Arial" w:hAnsi="Calibri"/>
      <w:kern w:val="2"/>
      <w:sz w:val="21"/>
      <w:szCs w:val="24"/>
      <w:lang w:val="en-US" w:eastAsia="zh-CN" w:bidi="ar-SA"/>
    </w:rPr>
  </w:style>
  <w:style w:type="paragraph" w:customStyle="1" w:styleId="29">
    <w:name w:val="样式 3 10 磅"/>
    <w:pPr>
      <w:widowControl w:val="0"/>
      <w:jc w:val="both"/>
    </w:pPr>
    <w:rPr>
      <w:rFonts w:ascii="Calibri" w:eastAsia="宋体" w:cs="Arial" w:hAnsi="Calibri"/>
      <w:kern w:val="2"/>
      <w:sz w:val="21"/>
      <w:szCs w:val="24"/>
      <w:lang w:val="en-US" w:eastAsia="zh-CN" w:bidi="ar-SA"/>
    </w:rPr>
  </w:style>
  <w:style w:type="paragraph" w:customStyle="1" w:styleId="30">
    <w:name w:val="样式 4 10 磅"/>
    <w:pPr>
      <w:widowControl w:val="0"/>
      <w:jc w:val="both"/>
    </w:pPr>
    <w:rPr>
      <w:rFonts w:ascii="Calibri" w:eastAsia="宋体" w:cs="Arial" w:hAnsi="Calibri"/>
      <w:kern w:val="2"/>
      <w:sz w:val="21"/>
      <w:szCs w:val="24"/>
      <w:lang w:val="en-US" w:eastAsia="zh-CN" w:bidi="ar-SA"/>
    </w:rPr>
  </w:style>
  <w:style w:type="paragraph" w:customStyle="1" w:styleId="31">
    <w:name w:val="样式 5 10 磅"/>
    <w:pPr>
      <w:widowControl w:val="0"/>
      <w:jc w:val="both"/>
    </w:pPr>
    <w:rPr>
      <w:rFonts w:ascii="Calibri" w:eastAsia="宋体" w:cs="Arial" w:hAnsi="Calibri"/>
      <w:kern w:val="2"/>
      <w:sz w:val="21"/>
      <w:szCs w:val="24"/>
      <w:lang w:val="en-US" w:eastAsia="zh-CN" w:bidi="ar-SA"/>
    </w:rPr>
  </w:style>
  <w:style w:type="paragraph" w:customStyle="1" w:styleId="32">
    <w:name w:val="样式 6 10 磅"/>
    <w:pPr>
      <w:widowControl w:val="0"/>
      <w:jc w:val="both"/>
    </w:pPr>
    <w:rPr>
      <w:rFonts w:ascii="Calibri" w:eastAsia="宋体" w:cs="Arial" w:hAnsi="Calibri"/>
      <w:kern w:val="2"/>
      <w:sz w:val="21"/>
      <w:szCs w:val="24"/>
      <w:lang w:val="en-US" w:eastAsia="zh-CN" w:bidi="ar-SA"/>
    </w:rPr>
  </w:style>
  <w:style w:type="paragraph" w:customStyle="1" w:styleId="33">
    <w:name w:val="样式 7 10 磅"/>
    <w:pPr>
      <w:widowControl w:val="0"/>
      <w:jc w:val="both"/>
    </w:pPr>
    <w:rPr>
      <w:rFonts w:ascii="Calibri" w:eastAsia="宋体" w:cs="Arial" w:hAnsi="Calibri"/>
      <w:kern w:val="2"/>
      <w:sz w:val="21"/>
      <w:szCs w:val="24"/>
      <w:lang w:val="en-US" w:eastAsia="zh-CN" w:bidi="ar-SA"/>
    </w:rPr>
  </w:style>
  <w:style w:type="paragraph" w:customStyle="1" w:styleId="34">
    <w:name w:val="样式 8 10 磅"/>
    <w:pPr>
      <w:widowControl w:val="0"/>
      <w:jc w:val="both"/>
    </w:pPr>
    <w:rPr>
      <w:rFonts w:ascii="Calibri" w:eastAsia="宋体" w:cs="Arial" w:hAnsi="Calibri"/>
      <w:kern w:val="2"/>
      <w:sz w:val="21"/>
      <w:szCs w:val="24"/>
      <w:lang w:val="en-US" w:eastAsia="zh-CN" w:bidi="ar-SA"/>
    </w:rPr>
  </w:style>
  <w:style w:type="paragraph" w:customStyle="1" w:styleId="35">
    <w:name w:val="样式 9 10 磅"/>
    <w:pPr>
      <w:widowControl w:val="0"/>
      <w:jc w:val="both"/>
    </w:pPr>
    <w:rPr>
      <w:rFonts w:ascii="Calibri" w:eastAsia="宋体" w:cs="Arial" w:hAnsi="Calibri"/>
      <w:kern w:val="2"/>
      <w:sz w:val="21"/>
      <w:szCs w:val="24"/>
      <w:lang w:val="en-US" w:eastAsia="zh-CN" w:bidi="ar-SA"/>
    </w:rPr>
  </w:style>
  <w:style w:type="paragraph" w:customStyle="1" w:styleId="36">
    <w:name w:val="样式 10 10 磅"/>
    <w:pPr>
      <w:widowControl w:val="0"/>
      <w:jc w:val="both"/>
    </w:pPr>
    <w:rPr>
      <w:rFonts w:ascii="Calibri" w:eastAsia="宋体" w:cs="Arial" w:hAnsi="Calibri"/>
      <w:kern w:val="2"/>
      <w:sz w:val="21"/>
      <w:szCs w:val="24"/>
      <w:lang w:val="en-US" w:eastAsia="zh-CN" w:bidi="ar-SA"/>
    </w:rPr>
  </w:style>
  <w:style w:type="paragraph" w:customStyle="1" w:styleId="37">
    <w:name w:val="样式 11 10 磅"/>
    <w:pPr>
      <w:widowControl w:val="0"/>
      <w:jc w:val="both"/>
    </w:pPr>
    <w:rPr>
      <w:rFonts w:ascii="Calibri" w:eastAsia="宋体" w:cs="Arial" w:hAnsi="Calibri"/>
      <w:kern w:val="2"/>
      <w:sz w:val="21"/>
      <w:szCs w:val="24"/>
      <w:lang w:val="en-US" w:eastAsia="zh-CN" w:bidi="ar-SA"/>
    </w:rPr>
  </w:style>
  <w:style w:type="paragraph" w:customStyle="1" w:styleId="38">
    <w:name w:val="样式 12 10 磅"/>
    <w:pPr>
      <w:widowControl w:val="0"/>
      <w:jc w:val="both"/>
    </w:pPr>
    <w:rPr>
      <w:rFonts w:ascii="Calibri" w:eastAsia="宋体" w:cs="Arial" w:hAnsi="Calibri"/>
      <w:kern w:val="2"/>
      <w:sz w:val="21"/>
      <w:szCs w:val="24"/>
      <w:lang w:val="en-US" w:eastAsia="zh-CN" w:bidi="ar-SA"/>
    </w:rPr>
  </w:style>
  <w:style w:type="paragraph" w:customStyle="1" w:styleId="39">
    <w:name w:val="样式 13 10 磅"/>
    <w:pPr>
      <w:widowControl w:val="0"/>
      <w:jc w:val="both"/>
    </w:pPr>
    <w:rPr>
      <w:rFonts w:ascii="Calibri" w:eastAsia="宋体" w:cs="Arial" w:hAnsi="Calibri"/>
      <w:kern w:val="2"/>
      <w:sz w:val="21"/>
      <w:szCs w:val="24"/>
      <w:lang w:val="en-US" w:eastAsia="zh-CN" w:bidi="ar-SA"/>
    </w:rPr>
  </w:style>
  <w:style w:type="paragraph" w:customStyle="1" w:styleId="40">
    <w:name w:val="样式 14 10 磅"/>
    <w:pPr>
      <w:widowControl w:val="0"/>
      <w:jc w:val="both"/>
    </w:pPr>
    <w:rPr>
      <w:rFonts w:ascii="Calibri" w:eastAsia="宋体" w:cs="Arial" w:hAnsi="Calibri"/>
      <w:kern w:val="2"/>
      <w:sz w:val="21"/>
      <w:szCs w:val="24"/>
      <w:lang w:val="en-US" w:eastAsia="zh-CN" w:bidi="ar-SA"/>
    </w:rPr>
  </w:style>
  <w:style w:type="paragraph" w:customStyle="1" w:styleId="41">
    <w:name w:val="样式 15 10 磅"/>
    <w:pPr>
      <w:widowControl w:val="0"/>
      <w:jc w:val="both"/>
    </w:pPr>
    <w:rPr>
      <w:rFonts w:ascii="Calibri" w:eastAsia="宋体" w:cs="Arial" w:hAnsi="Calibri"/>
      <w:kern w:val="2"/>
      <w:sz w:val="21"/>
      <w:szCs w:val="24"/>
      <w:lang w:val="en-US" w:eastAsia="zh-CN" w:bidi="ar-SA"/>
    </w:rPr>
  </w:style>
  <w:style w:type="paragraph" w:customStyle="1" w:styleId="42">
    <w:name w:val="样式 16 10 磅"/>
    <w:pPr>
      <w:widowControl w:val="0"/>
      <w:jc w:val="both"/>
    </w:pPr>
    <w:rPr>
      <w:rFonts w:ascii="Calibri" w:eastAsia="宋体" w:cs="Arial" w:hAnsi="Calibri"/>
      <w:kern w:val="2"/>
      <w:sz w:val="21"/>
      <w:szCs w:val="24"/>
      <w:lang w:val="en-US" w:eastAsia="zh-CN" w:bidi="ar-SA"/>
    </w:rPr>
  </w:style>
  <w:style w:type="paragraph" w:customStyle="1" w:styleId="43">
    <w:name w:val="样式 17 10 磅"/>
    <w:pPr>
      <w:widowControl w:val="0"/>
      <w:jc w:val="both"/>
    </w:pPr>
    <w:rPr>
      <w:rFonts w:ascii="Calibri" w:eastAsia="宋体" w:cs="Arial" w:hAnsi="Calibri"/>
      <w:kern w:val="2"/>
      <w:sz w:val="21"/>
      <w:szCs w:val="24"/>
      <w:lang w:val="en-US" w:eastAsia="zh-CN" w:bidi="ar-SA"/>
    </w:rPr>
  </w:style>
  <w:style w:type="paragraph" w:customStyle="1" w:styleId="44">
    <w:name w:val="样式 三号"/>
    <w:pPr>
      <w:widowControl w:val="0"/>
      <w:spacing w:line="560" w:lineRule="exact"/>
      <w:jc w:val="both"/>
    </w:pPr>
    <w:rPr>
      <w:rFonts w:ascii="Times New Roman" w:eastAsia="方正仿宋_GBK" w:cs="Times New Roman" w:hAnsi="Times New Roman"/>
      <w:kern w:val="2"/>
      <w:sz w:val="32"/>
      <w:szCs w:val="20"/>
      <w:lang w:val="en-US" w:eastAsia="zh-CN" w:bidi="ar-SA"/>
    </w:rPr>
  </w:style>
  <w:style w:type="paragraph" w:customStyle="1" w:styleId="45">
    <w:name w:val="样式 1 三号"/>
    <w:pPr>
      <w:widowControl w:val="0"/>
      <w:spacing w:line="560" w:lineRule="exact"/>
      <w:jc w:val="both"/>
    </w:pPr>
    <w:rPr>
      <w:rFonts w:ascii="Times New Roman" w:eastAsia="方正仿宋_GBK" w:cs="Times New Roman" w:hAnsi="Times New Roman"/>
      <w:kern w:val="2"/>
      <w:sz w:val="32"/>
      <w:szCs w:val="20"/>
      <w:lang w:val="en-US" w:eastAsia="zh-CN" w:bidi="ar-SA"/>
    </w:rPr>
  </w:style>
  <w:style w:type="paragraph" w:customStyle="1" w:styleId="46">
    <w:name w:val="样式 18 10 磅"/>
    <w:next w:val="29"/>
    <w:pPr>
      <w:widowControl w:val="0"/>
      <w:jc w:val="both"/>
    </w:pPr>
    <w:rPr>
      <w:rFonts w:ascii="Times New Roman" w:eastAsia="宋体" w:cs="Times New Roman" w:hAnsi="Times New Roman"/>
      <w:kern w:val="2"/>
      <w:sz w:val="21"/>
      <w:szCs w:val="21"/>
      <w:lang w:val="en-US" w:eastAsia="zh-CN" w:bidi="ar-SA"/>
    </w:rPr>
  </w:style>
  <w:style w:type="paragraph" w:customStyle="1" w:styleId="47">
    <w:name w:val="样式 19 10 磅"/>
    <w:pPr>
      <w:widowControl w:val="0"/>
      <w:jc w:val="both"/>
    </w:pPr>
    <w:rPr>
      <w:rFonts w:ascii="Calibri" w:eastAsia="宋体" w:cs="Arial" w:hAnsi="Calibri"/>
      <w:kern w:val="2"/>
      <w:sz w:val="21"/>
      <w:szCs w:val="24"/>
      <w:lang w:val="en-US" w:eastAsia="zh-CN" w:bidi="ar-SA"/>
    </w:rPr>
  </w:style>
  <w:style w:type="paragraph" w:customStyle="1" w:styleId="48">
    <w:name w:val="样式 20 10 磅"/>
    <w:pPr>
      <w:widowControl w:val="0"/>
      <w:jc w:val="both"/>
    </w:pPr>
    <w:rPr>
      <w:rFonts w:ascii="Calibri" w:eastAsia="宋体" w:cs="Arial" w:hAnsi="Calibri"/>
      <w:kern w:val="2"/>
      <w:sz w:val="21"/>
      <w:szCs w:val="24"/>
      <w:lang w:val="en-US" w:eastAsia="zh-CN" w:bidi="ar-SA"/>
    </w:rPr>
  </w:style>
  <w:style w:type="paragraph" w:customStyle="1" w:styleId="49">
    <w:name w:val="样式 21 10 磅"/>
    <w:pPr>
      <w:widowControl w:val="0"/>
      <w:jc w:val="both"/>
    </w:pPr>
    <w:rPr>
      <w:rFonts w:ascii="Calibri" w:eastAsia="宋体" w:cs="Arial" w:hAnsi="Calibri"/>
      <w:kern w:val="2"/>
      <w:sz w:val="21"/>
      <w:szCs w:val="24"/>
      <w:lang w:val="en-US" w:eastAsia="zh-CN" w:bidi="ar-SA"/>
    </w:rPr>
  </w:style>
  <w:style w:type="paragraph" w:customStyle="1" w:styleId="50">
    <w:name w:val="样式 22 10 磅"/>
    <w:pPr>
      <w:widowControl w:val="0"/>
      <w:jc w:val="both"/>
    </w:pPr>
    <w:rPr>
      <w:rFonts w:ascii="Calibri" w:eastAsia="宋体" w:cs="Arial" w:hAnsi="Calibri"/>
      <w:kern w:val="2"/>
      <w:sz w:val="21"/>
      <w:szCs w:val="24"/>
      <w:lang w:val="en-US" w:eastAsia="zh-CN" w:bidi="ar-SA"/>
    </w:rPr>
  </w:style>
  <w:style w:type="paragraph" w:customStyle="1" w:styleId="51">
    <w:name w:val="样式 小四"/>
    <w:pPr>
      <w:widowControl w:val="0"/>
    </w:pPr>
    <w:rPr>
      <w:rFonts w:ascii="宋体" w:eastAsia="宋体" w:cs="Times New Roman"/>
      <w:kern w:val="2"/>
      <w:sz w:val="24"/>
      <w:szCs w:val="21"/>
      <w:lang w:val="en-US" w:eastAsia="zh-CN" w:bidi="ar-SA"/>
    </w:rPr>
  </w:style>
  <w:style w:type="paragraph" w:customStyle="1" w:styleId="52">
    <w:name w:val="样式 23 10 磅"/>
    <w:pPr>
      <w:widowControl w:val="0"/>
      <w:jc w:val="both"/>
    </w:pPr>
    <w:rPr>
      <w:rFonts w:ascii="Calibri" w:eastAsia="宋体" w:cs="Arial" w:hAnsi="Calibri"/>
      <w:kern w:val="2"/>
      <w:sz w:val="21"/>
      <w:szCs w:val="24"/>
      <w:lang w:val="en-US" w:eastAsia="zh-CN" w:bidi="ar-SA"/>
    </w:rPr>
  </w:style>
  <w:style w:type="paragraph" w:customStyle="1" w:styleId="53">
    <w:name w:val="样式 24 10 磅"/>
    <w:pPr>
      <w:widowControl w:val="0"/>
      <w:jc w:val="both"/>
    </w:pPr>
    <w:rPr>
      <w:rFonts w:ascii="Calibri" w:eastAsia="宋体" w:cs="Arial" w:hAnsi="Calibri"/>
      <w:kern w:val="2"/>
      <w:sz w:val="21"/>
      <w:szCs w:val="24"/>
      <w:lang w:val="en-US" w:eastAsia="zh-CN" w:bidi="ar-SA"/>
    </w:rPr>
  </w:style>
  <w:style w:type="paragraph" w:customStyle="1" w:styleId="54">
    <w:name w:val="样式 2 三号"/>
    <w:pPr>
      <w:widowControl w:val="0"/>
      <w:spacing w:line="560" w:lineRule="exact"/>
      <w:jc w:val="both"/>
    </w:pPr>
    <w:rPr>
      <w:rFonts w:ascii="Times New Roman" w:eastAsia="方正仿宋_GBK" w:cs="Times New Roman" w:hAnsi="Times New Roman"/>
      <w:kern w:val="2"/>
      <w:sz w:val="32"/>
      <w:szCs w:val="20"/>
      <w:lang w:val="en-US" w:eastAsia="zh-CN" w:bidi="ar-SA"/>
    </w:rPr>
  </w:style>
  <w:style w:type="paragraph" w:customStyle="1" w:styleId="55">
    <w:name w:val="样式 3 三号"/>
    <w:pPr>
      <w:widowControl w:val="0"/>
      <w:spacing w:line="560" w:lineRule="exact"/>
      <w:jc w:val="both"/>
    </w:pPr>
    <w:rPr>
      <w:rFonts w:ascii="Times New Roman" w:eastAsia="方正仿宋_GBK" w:cs="Times New Roman" w:hAnsi="Times New Roman"/>
      <w:kern w:val="2"/>
      <w:sz w:val="32"/>
      <w:szCs w:val="20"/>
      <w:lang w:val="en-US" w:eastAsia="zh-CN" w:bidi="ar-SA"/>
    </w:rPr>
  </w:style>
  <w:style w:type="paragraph" w:customStyle="1" w:styleId="56">
    <w:name w:val="样式 25 10 磅"/>
    <w:pPr>
      <w:widowControl w:val="0"/>
      <w:jc w:val="both"/>
    </w:pPr>
    <w:rPr>
      <w:rFonts w:ascii="Calibri" w:eastAsia="宋体" w:cs="Arial" w:hAnsi="Calibri"/>
      <w:kern w:val="2"/>
      <w:sz w:val="21"/>
      <w:szCs w:val="24"/>
      <w:lang w:val="en-US" w:eastAsia="zh-CN" w:bidi="ar-SA"/>
    </w:rPr>
  </w:style>
  <w:style w:type="paragraph" w:customStyle="1" w:styleId="57">
    <w:name w:val="样式 26 10 磅"/>
    <w:pPr>
      <w:widowControl w:val="0"/>
      <w:jc w:val="both"/>
    </w:pPr>
    <w:rPr>
      <w:rFonts w:ascii="Calibri" w:eastAsia="宋体" w:cs="Arial" w:hAnsi="Calibri"/>
      <w:kern w:val="2"/>
      <w:sz w:val="21"/>
      <w:szCs w:val="24"/>
      <w:lang w:val="en-US" w:eastAsia="zh-CN" w:bidi="ar-SA"/>
    </w:rPr>
  </w:style>
  <w:style w:type="paragraph" w:customStyle="1" w:styleId="58">
    <w:name w:val="样式 27 10 磅"/>
    <w:pPr>
      <w:widowControl w:val="0"/>
      <w:jc w:val="both"/>
    </w:pPr>
    <w:rPr>
      <w:rFonts w:ascii="Calibri" w:eastAsia="宋体" w:cs="Times New Roman" w:hAnsi="Calibri"/>
      <w:kern w:val="2"/>
      <w:sz w:val="21"/>
      <w:szCs w:val="22"/>
      <w:lang w:val="en-US" w:eastAsia="zh-CN" w:bidi="ar-SA"/>
    </w:rPr>
  </w:style>
  <w:style w:type="paragraph" w:customStyle="1" w:styleId="59">
    <w:name w:val="样式 28 10 磅"/>
    <w:pPr>
      <w:widowControl w:val="0"/>
      <w:jc w:val="both"/>
    </w:pPr>
    <w:rPr>
      <w:rFonts w:ascii="Calibri" w:eastAsia="宋体" w:cs="Times New Roman" w:hAnsi="Calibri"/>
      <w:kern w:val="2"/>
      <w:sz w:val="21"/>
      <w:szCs w:val="22"/>
      <w:lang w:val="en-US" w:eastAsia="zh-CN" w:bidi="ar-SA"/>
    </w:rPr>
  </w:style>
  <w:style w:type="paragraph" w:customStyle="1" w:styleId="60">
    <w:name w:val="样式 29 10 磅"/>
    <w:pPr>
      <w:widowControl w:val="0"/>
      <w:jc w:val="both"/>
    </w:pPr>
    <w:rPr>
      <w:rFonts w:ascii="Calibri" w:eastAsia="宋体" w:cs="Arial" w:hAnsi="Calibri"/>
      <w:kern w:val="2"/>
      <w:sz w:val="21"/>
      <w:szCs w:val="24"/>
      <w:lang w:val="en-US" w:eastAsia="zh-CN" w:bidi="ar-SA"/>
    </w:rPr>
  </w:style>
  <w:style w:type="paragraph" w:customStyle="1" w:styleId="61">
    <w:name w:val="样式 30 10 磅"/>
    <w:pPr>
      <w:widowControl w:val="0"/>
      <w:jc w:val="both"/>
    </w:pPr>
    <w:rPr>
      <w:rFonts w:ascii="Calibri" w:eastAsia="宋体" w:cs="Arial" w:hAnsi="Calibri"/>
      <w:kern w:val="2"/>
      <w:sz w:val="21"/>
      <w:szCs w:val="24"/>
      <w:lang w:val="en-US" w:eastAsia="zh-CN" w:bidi="ar-SA"/>
    </w:rPr>
  </w:style>
  <w:style w:type="paragraph" w:customStyle="1" w:styleId="62">
    <w:name w:val="样式 31 10 磅"/>
    <w:pPr>
      <w:widowControl w:val="0"/>
      <w:jc w:val="both"/>
    </w:pPr>
    <w:rPr>
      <w:rFonts w:ascii="Calibri" w:eastAsia="宋体" w:cs="Arial" w:hAnsi="Calibri"/>
      <w:kern w:val="2"/>
      <w:sz w:val="21"/>
      <w:szCs w:val="24"/>
      <w:lang w:val="en-US" w:eastAsia="zh-CN" w:bidi="ar-SA"/>
    </w:rPr>
  </w:style>
  <w:style w:type="paragraph" w:customStyle="1" w:styleId="63">
    <w:name w:val="样式 32 10 磅"/>
    <w:pPr>
      <w:widowControl w:val="0"/>
      <w:jc w:val="both"/>
    </w:pPr>
    <w:rPr>
      <w:rFonts w:ascii="Calibri" w:eastAsia="宋体" w:cs="Arial" w:hAnsi="Calibri"/>
      <w:kern w:val="2"/>
      <w:sz w:val="21"/>
      <w:szCs w:val="24"/>
      <w:lang w:val="en-US" w:eastAsia="zh-CN" w:bidi="ar-SA"/>
    </w:rPr>
  </w:style>
  <w:style w:type="paragraph" w:customStyle="1" w:styleId="64">
    <w:name w:val="样式 33 10 磅"/>
    <w:pPr>
      <w:widowControl w:val="0"/>
      <w:jc w:val="both"/>
    </w:pPr>
    <w:rPr>
      <w:rFonts w:ascii="Times New Roman" w:eastAsia="宋体" w:cs="Times New Roman" w:hAnsi="Times New Roman"/>
      <w:kern w:val="2"/>
      <w:sz w:val="21"/>
      <w:szCs w:val="21"/>
      <w:lang w:val="en-US" w:eastAsia="zh-CN" w:bidi="ar-SA"/>
    </w:rPr>
  </w:style>
  <w:style w:type="paragraph" w:customStyle="1" w:styleId="65">
    <w:name w:val="样式 34 10 磅"/>
    <w:pPr>
      <w:widowControl w:val="0"/>
      <w:jc w:val="both"/>
    </w:pPr>
    <w:rPr>
      <w:rFonts w:ascii="Calibri" w:eastAsia="宋体" w:cs="Arial" w:hAnsi="Calibri"/>
      <w:kern w:val="2"/>
      <w:sz w:val="21"/>
      <w:szCs w:val="24"/>
      <w:lang w:val="en-US" w:eastAsia="zh-CN" w:bidi="ar-SA"/>
    </w:rPr>
  </w:style>
  <w:style w:type="paragraph" w:customStyle="1" w:styleId="66">
    <w:name w:val="样式 1 小四"/>
    <w:pPr>
      <w:widowControl w:val="0"/>
    </w:pPr>
    <w:rPr>
      <w:rFonts w:ascii="宋体" w:eastAsia="宋体" w:cs="Times New Roman"/>
      <w:kern w:val="2"/>
      <w:sz w:val="24"/>
      <w:szCs w:val="21"/>
      <w:lang w:val="en-US" w:eastAsia="zh-CN" w:bidi="ar-SA"/>
    </w:rPr>
  </w:style>
  <w:style w:type="paragraph" w:customStyle="1" w:styleId="67">
    <w:name w:val="样式 35 10 磅"/>
    <w:pPr>
      <w:widowControl w:val="0"/>
      <w:jc w:val="both"/>
    </w:pPr>
    <w:rPr>
      <w:rFonts w:ascii="Calibri" w:eastAsia="宋体" w:cs="Arial" w:hAnsi="Calibri"/>
      <w:kern w:val="2"/>
      <w:sz w:val="21"/>
      <w:szCs w:val="24"/>
      <w:lang w:val="en-US" w:eastAsia="zh-CN" w:bidi="ar-SA"/>
    </w:rPr>
  </w:style>
  <w:style w:type="paragraph" w:customStyle="1" w:styleId="68">
    <w:name w:val="样式 36 10 磅"/>
    <w:next w:val="65"/>
    <w:pPr>
      <w:widowControl w:val="0"/>
      <w:jc w:val="both"/>
    </w:pPr>
    <w:rPr>
      <w:rFonts w:ascii="Calibri" w:eastAsia="宋体" w:cs="Arial" w:hAnsi="Calibri"/>
      <w:kern w:val="2"/>
      <w:sz w:val="21"/>
      <w:szCs w:val="24"/>
      <w:lang w:val="en-US" w:eastAsia="zh-CN" w:bidi="ar-SA"/>
    </w:rPr>
  </w:style>
  <w:style w:type="paragraph" w:customStyle="1" w:styleId="69">
    <w:name w:val="样式 2 小四"/>
    <w:pPr>
      <w:widowControl w:val="0"/>
      <w:spacing w:before="100" w:beforeAutospacing="1" w:after="100" w:afterAutospacing="1"/>
    </w:pPr>
    <w:rPr>
      <w:rFonts w:ascii="宋体" w:eastAsia="宋体" w:cs="Times New Roman"/>
      <w:kern w:val="2"/>
      <w:sz w:val="24"/>
      <w:szCs w:val="24"/>
      <w:lang w:val="en-US" w:eastAsia="zh-CN" w:bidi="ar-SA"/>
    </w:rPr>
  </w:style>
  <w:style w:type="paragraph" w:customStyle="1" w:styleId="70">
    <w:name w:val="样式 3 小四"/>
    <w:pPr>
      <w:widowControl w:val="0"/>
      <w:spacing w:before="100" w:beforeAutospacing="1" w:after="100" w:afterAutospacing="1"/>
    </w:pPr>
    <w:rPr>
      <w:rFonts w:ascii="宋体" w:eastAsia="宋体" w:cs="Times New Roman"/>
      <w:kern w:val="2"/>
      <w:sz w:val="24"/>
      <w:szCs w:val="24"/>
      <w:lang w:val="en-US" w:eastAsia="zh-CN" w:bidi="ar-SA"/>
    </w:rPr>
  </w:style>
  <w:style w:type="paragraph" w:customStyle="1" w:styleId="71">
    <w:name w:val="样式 4 小四"/>
    <w:pPr>
      <w:widowControl w:val="0"/>
      <w:spacing w:before="100" w:beforeAutospacing="1" w:after="100" w:afterAutospacing="1"/>
    </w:pPr>
    <w:rPr>
      <w:rFonts w:ascii="宋体" w:eastAsia="宋体" w:cs="Times New Roman"/>
      <w:kern w:val="2"/>
      <w:sz w:val="24"/>
      <w:szCs w:val="24"/>
      <w:lang w:val="en-US" w:eastAsia="zh-CN" w:bidi="ar-SA"/>
    </w:rPr>
  </w:style>
  <w:style w:type="paragraph" w:customStyle="1" w:styleId="72">
    <w:name w:val="样式 5 小四"/>
    <w:pPr>
      <w:widowControl w:val="0"/>
      <w:spacing w:before="100" w:beforeAutospacing="1" w:after="100" w:afterAutospacing="1"/>
    </w:pPr>
    <w:rPr>
      <w:rFonts w:ascii="宋体" w:eastAsia="宋体" w:cs="Times New Roman"/>
      <w:kern w:val="2"/>
      <w:sz w:val="24"/>
      <w:szCs w:val="24"/>
      <w:lang w:val="en-US" w:eastAsia="zh-CN" w:bidi="ar-SA"/>
    </w:rPr>
  </w:style>
  <w:style w:type="paragraph" w:customStyle="1" w:styleId="73">
    <w:name w:val="样式 6 小四"/>
    <w:pPr>
      <w:widowControl w:val="0"/>
    </w:pPr>
    <w:rPr>
      <w:rFonts w:ascii="宋体" w:eastAsia="宋体" w:cs="Times New Roman"/>
      <w:kern w:val="2"/>
      <w:sz w:val="24"/>
      <w:szCs w:val="21"/>
      <w:lang w:val="en-US" w:eastAsia="zh-CN" w:bidi="ar-SA"/>
    </w:rPr>
  </w:style>
  <w:style w:type="paragraph" w:customStyle="1" w:styleId="74">
    <w:name w:val="样式 7 小四"/>
    <w:pPr>
      <w:widowControl w:val="0"/>
      <w:spacing w:before="100" w:beforeAutospacing="1" w:after="100" w:afterAutospacing="1"/>
    </w:pPr>
    <w:rPr>
      <w:rFonts w:ascii="宋体" w:eastAsia="宋体" w:cs="Times New Roman"/>
      <w:kern w:val="2"/>
      <w:sz w:val="24"/>
      <w:szCs w:val="24"/>
      <w:lang w:val="en-US" w:eastAsia="zh-CN" w:bidi="ar-SA"/>
    </w:rPr>
  </w:style>
  <w:style w:type="paragraph" w:customStyle="1" w:styleId="75">
    <w:name w:val="样式 8 小四"/>
    <w:pPr>
      <w:widowControl w:val="0"/>
    </w:pPr>
    <w:rPr>
      <w:rFonts w:ascii="宋体" w:eastAsia="宋体" w:cs="Times New Roman"/>
      <w:kern w:val="2"/>
      <w:sz w:val="24"/>
      <w:szCs w:val="21"/>
      <w:lang w:val="en-US" w:eastAsia="zh-CN" w:bidi="ar-SA"/>
    </w:rPr>
  </w:style>
  <w:style w:type="paragraph" w:customStyle="1" w:styleId="76">
    <w:name w:val="样式 9 小四"/>
    <w:pPr>
      <w:widowControl w:val="0"/>
      <w:spacing w:before="100" w:beforeAutospacing="1" w:after="100" w:afterAutospacing="1"/>
    </w:pPr>
    <w:rPr>
      <w:rFonts w:ascii="宋体" w:eastAsia="宋体" w:cs="Times New Roman"/>
      <w:kern w:val="2"/>
      <w:sz w:val="24"/>
      <w:szCs w:val="24"/>
      <w:lang w:val="en-US" w:eastAsia="zh-CN" w:bidi="ar-SA"/>
    </w:rPr>
  </w:style>
  <w:style w:type="paragraph" w:customStyle="1" w:styleId="77">
    <w:name w:val="样式 10 小四"/>
    <w:pPr>
      <w:widowControl w:val="0"/>
    </w:pPr>
    <w:rPr>
      <w:rFonts w:ascii="宋体" w:eastAsia="宋体" w:cs="Times New Roman"/>
      <w:kern w:val="2"/>
      <w:sz w:val="24"/>
      <w:szCs w:val="21"/>
      <w:lang w:val="en-US" w:eastAsia="zh-CN" w:bidi="ar-SA"/>
    </w:rPr>
  </w:style>
  <w:style w:type="paragraph" w:customStyle="1" w:styleId="78">
    <w:name w:val="样式 11 小四"/>
    <w:pPr>
      <w:widowControl w:val="0"/>
      <w:spacing w:before="100" w:beforeAutospacing="1" w:after="100" w:afterAutospacing="1"/>
    </w:pPr>
    <w:rPr>
      <w:rFonts w:ascii="宋体" w:eastAsia="宋体" w:cs="Times New Roman"/>
      <w:kern w:val="2"/>
      <w:sz w:val="24"/>
      <w:szCs w:val="24"/>
      <w:lang w:val="en-US" w:eastAsia="zh-CN" w:bidi="ar-SA"/>
    </w:rPr>
  </w:style>
  <w:style w:type="paragraph" w:customStyle="1" w:styleId="79">
    <w:name w:val="样式 12 小四"/>
    <w:pPr>
      <w:widowControl w:val="0"/>
      <w:spacing w:before="100" w:beforeAutospacing="1" w:after="100" w:afterAutospacing="1"/>
    </w:pPr>
    <w:rPr>
      <w:rFonts w:ascii="宋体" w:eastAsia="宋体" w:cs="Times New Roman"/>
      <w:kern w:val="2"/>
      <w:sz w:val="24"/>
      <w:szCs w:val="24"/>
      <w:lang w:val="en-US" w:eastAsia="zh-CN" w:bidi="ar-SA"/>
    </w:rPr>
  </w:style>
  <w:style w:type="paragraph" w:customStyle="1" w:styleId="80">
    <w:name w:val="样式 13 小四"/>
    <w:pPr>
      <w:widowControl w:val="0"/>
      <w:spacing w:before="100" w:beforeAutospacing="1" w:after="100" w:afterAutospacing="1"/>
    </w:pPr>
    <w:rPr>
      <w:rFonts w:ascii="宋体" w:eastAsia="宋体" w:cs="Times New Roman"/>
      <w:kern w:val="2"/>
      <w:sz w:val="24"/>
      <w:szCs w:val="24"/>
      <w:lang w:val="en-US" w:eastAsia="zh-CN" w:bidi="ar-SA"/>
    </w:rPr>
  </w:style>
  <w:style w:type="paragraph" w:customStyle="1" w:styleId="81">
    <w:name w:val="样式 37 10 磅"/>
    <w:pPr>
      <w:widowControl w:val="0"/>
      <w:jc w:val="both"/>
    </w:pPr>
    <w:rPr>
      <w:rFonts w:ascii="Calibri" w:eastAsia="宋体" w:cs="Arial" w:hAnsi="Calibri"/>
      <w:kern w:val="2"/>
      <w:sz w:val="21"/>
      <w:szCs w:val="24"/>
      <w:lang w:val="en-US" w:eastAsia="zh-CN" w:bidi="ar-SA"/>
    </w:rPr>
  </w:style>
  <w:style w:type="paragraph" w:customStyle="1" w:styleId="82">
    <w:name w:val="样式 54 10 磅"/>
    <w:next w:val="21"/>
    <w:pPr>
      <w:widowControl w:val="0"/>
      <w:jc w:val="both"/>
    </w:pPr>
    <w:rPr>
      <w:rFonts w:ascii="Calibri" w:eastAsia="宋体" w:cs="Arial" w:hAnsi="Calibri"/>
      <w:kern w:val="2"/>
      <w:sz w:val="21"/>
      <w:szCs w:val="24"/>
      <w:lang w:val="en-US" w:eastAsia="zh-CN" w:bidi="ar-SA"/>
    </w:rPr>
  </w:style>
  <w:style w:type="paragraph" w:customStyle="1" w:styleId="83">
    <w:name w:val="样式 14 小四"/>
    <w:pPr>
      <w:widowControl w:val="0"/>
      <w:spacing w:before="100" w:beforeAutospacing="1" w:after="100" w:afterAutospacing="1"/>
    </w:pPr>
    <w:rPr>
      <w:rFonts w:ascii="宋体" w:eastAsia="宋体" w:cs="Times New Roman"/>
      <w:kern w:val="2"/>
      <w:sz w:val="24"/>
      <w:szCs w:val="24"/>
      <w:lang w:val="en-US" w:eastAsia="zh-CN" w:bidi="ar-SA"/>
    </w:rPr>
  </w:style>
  <w:style w:type="paragraph" w:customStyle="1" w:styleId="84">
    <w:name w:val="样式 15 小四"/>
    <w:pPr>
      <w:widowControl w:val="0"/>
      <w:spacing w:before="100" w:beforeAutospacing="1" w:after="100" w:afterAutospacing="1"/>
    </w:pPr>
    <w:rPr>
      <w:rFonts w:ascii="宋体" w:eastAsia="宋体" w:cs="Times New Roman"/>
      <w:kern w:val="2"/>
      <w:sz w:val="24"/>
      <w:szCs w:val="24"/>
      <w:lang w:val="en-US" w:eastAsia="zh-CN" w:bidi="ar-SA"/>
    </w:rPr>
  </w:style>
  <w:style w:type="paragraph" w:customStyle="1" w:styleId="85">
    <w:name w:val="样式 38 10 磅"/>
    <w:pPr>
      <w:widowControl w:val="0"/>
      <w:jc w:val="both"/>
    </w:pPr>
    <w:rPr>
      <w:rFonts w:ascii="Calibri" w:eastAsia="宋体" w:cs="Arial" w:hAnsi="Calibri"/>
      <w:kern w:val="2"/>
      <w:sz w:val="21"/>
      <w:szCs w:val="24"/>
      <w:lang w:val="en-US" w:eastAsia="zh-CN" w:bidi="ar-SA"/>
    </w:rPr>
  </w:style>
  <w:style w:type="paragraph" w:customStyle="1" w:styleId="86">
    <w:name w:val="样式 39 10 磅"/>
    <w:pPr>
      <w:widowControl w:val="0"/>
    </w:pPr>
    <w:rPr>
      <w:rFonts w:ascii="Calibri" w:eastAsia="宋体" w:cs="Arial" w:hAnsi="Calibri"/>
      <w:kern w:val="2"/>
      <w:sz w:val="21"/>
      <w:szCs w:val="24"/>
      <w:lang w:val="en-US" w:eastAsia="zh-CN" w:bidi="ar-SA"/>
    </w:rPr>
  </w:style>
  <w:style w:type="paragraph" w:customStyle="1" w:styleId="87">
    <w:name w:val="样式 40 10 磅"/>
    <w:pPr>
      <w:widowControl w:val="0"/>
    </w:pPr>
    <w:rPr>
      <w:rFonts w:ascii="Calibri" w:eastAsia="宋体" w:cs="Arial" w:hAnsi="Calibri"/>
      <w:kern w:val="2"/>
      <w:sz w:val="21"/>
      <w:szCs w:val="24"/>
      <w:lang w:val="en-US" w:eastAsia="zh-CN" w:bidi="ar-SA"/>
    </w:rPr>
  </w:style>
  <w:style w:type="paragraph" w:customStyle="1" w:styleId="88">
    <w:name w:val="样式 41 10 磅"/>
    <w:pPr>
      <w:widowControl w:val="0"/>
    </w:pPr>
    <w:rPr>
      <w:rFonts w:ascii="Calibri" w:eastAsia="宋体" w:cs="Arial" w:hAnsi="Calibri"/>
      <w:kern w:val="2"/>
      <w:sz w:val="21"/>
      <w:szCs w:val="24"/>
      <w:lang w:val="en-US" w:eastAsia="zh-CN" w:bidi="ar-SA"/>
    </w:rPr>
  </w:style>
  <w:style w:type="paragraph" w:customStyle="1" w:styleId="89">
    <w:name w:val="样式 42 10 磅"/>
    <w:pPr>
      <w:widowControl w:val="0"/>
    </w:pPr>
    <w:rPr>
      <w:rFonts w:ascii="Calibri" w:eastAsia="宋体" w:cs="Arial" w:hAnsi="Calibri"/>
      <w:kern w:val="2"/>
      <w:sz w:val="21"/>
      <w:szCs w:val="24"/>
      <w:lang w:val="en-US" w:eastAsia="zh-CN" w:bidi="ar-SA"/>
    </w:rPr>
  </w:style>
  <w:style w:type="paragraph" w:customStyle="1" w:styleId="90">
    <w:name w:val="样式 43 10 磅"/>
    <w:pPr>
      <w:widowControl w:val="0"/>
      <w:jc w:val="both"/>
    </w:pPr>
    <w:rPr>
      <w:rFonts w:ascii="Calibri" w:eastAsia="宋体" w:cs="Arial" w:hAnsi="Calibri"/>
      <w:kern w:val="2"/>
      <w:sz w:val="21"/>
      <w:szCs w:val="24"/>
      <w:lang w:val="en-US" w:eastAsia="zh-CN" w:bidi="ar-SA"/>
    </w:rPr>
  </w:style>
  <w:style w:type="paragraph" w:customStyle="1" w:styleId="91">
    <w:name w:val="样式 44 10 磅"/>
    <w:pPr>
      <w:widowControl w:val="0"/>
    </w:pPr>
    <w:rPr>
      <w:rFonts w:ascii="Calibri" w:eastAsia="宋体" w:cs="Arial" w:hAnsi="Calibri"/>
      <w:kern w:val="2"/>
      <w:sz w:val="21"/>
      <w:szCs w:val="24"/>
      <w:lang w:val="en-US" w:eastAsia="zh-CN" w:bidi="ar-SA"/>
    </w:rPr>
  </w:style>
  <w:style w:type="paragraph" w:customStyle="1" w:styleId="92">
    <w:name w:val="样式 45 10 磅"/>
    <w:pPr>
      <w:widowControl w:val="0"/>
    </w:pPr>
    <w:rPr>
      <w:rFonts w:ascii="Calibri" w:eastAsia="宋体" w:cs="Arial" w:hAnsi="Calibri"/>
      <w:kern w:val="2"/>
      <w:sz w:val="21"/>
      <w:szCs w:val="24"/>
      <w:lang w:val="en-US" w:eastAsia="zh-CN" w:bidi="ar-SA"/>
    </w:rPr>
  </w:style>
  <w:style w:type="paragraph" w:customStyle="1" w:styleId="93">
    <w:name w:val="样式 16 小四"/>
    <w:pPr>
      <w:widowControl w:val="0"/>
      <w:spacing w:before="100" w:beforeAutospacing="1" w:after="100" w:afterAutospacing="1"/>
    </w:pPr>
    <w:rPr>
      <w:rFonts w:ascii="宋体" w:eastAsia="宋体" w:cs="Times New Roman"/>
      <w:kern w:val="2"/>
      <w:sz w:val="24"/>
      <w:szCs w:val="24"/>
      <w:lang w:val="en-US" w:eastAsia="zh-CN" w:bidi="ar-SA"/>
    </w:rPr>
  </w:style>
  <w:style w:type="paragraph" w:customStyle="1" w:styleId="94">
    <w:name w:val="样式 46 10 磅"/>
    <w:pPr>
      <w:widowControl w:val="0"/>
      <w:jc w:val="both"/>
    </w:pPr>
    <w:rPr>
      <w:rFonts w:ascii="Calibri" w:eastAsia="宋体" w:cs="Arial" w:hAnsi="Calibri"/>
      <w:kern w:val="2"/>
      <w:sz w:val="21"/>
      <w:szCs w:val="24"/>
      <w:lang w:val="en-US" w:eastAsia="zh-CN" w:bidi="ar-SA"/>
    </w:rPr>
  </w:style>
  <w:style w:type="paragraph" w:customStyle="1" w:styleId="95">
    <w:name w:val="样式 17 小四"/>
    <w:pPr>
      <w:widowControl w:val="0"/>
      <w:spacing w:before="100" w:beforeAutospacing="1" w:after="100" w:afterAutospacing="1"/>
    </w:pPr>
    <w:rPr>
      <w:rFonts w:ascii="宋体" w:eastAsia="宋体" w:cs="Times New Roman"/>
      <w:kern w:val="2"/>
      <w:sz w:val="24"/>
      <w:szCs w:val="24"/>
      <w:lang w:val="en-US" w:eastAsia="zh-CN" w:bidi="ar-SA"/>
    </w:rPr>
  </w:style>
  <w:style w:type="paragraph" w:customStyle="1" w:styleId="96">
    <w:name w:val="样式 47 10 磅"/>
    <w:pPr>
      <w:widowControl w:val="0"/>
      <w:jc w:val="both"/>
    </w:pPr>
    <w:rPr>
      <w:rFonts w:ascii="Calibri" w:eastAsia="宋体" w:cs="Arial" w:hAnsi="Calibri"/>
      <w:kern w:val="2"/>
      <w:sz w:val="21"/>
      <w:szCs w:val="24"/>
      <w:lang w:val="en-US" w:eastAsia="zh-CN" w:bidi="ar-SA"/>
    </w:rPr>
  </w:style>
  <w:style w:type="paragraph" w:customStyle="1" w:styleId="97">
    <w:name w:val="样式 18 小四"/>
    <w:pPr>
      <w:widowControl w:val="0"/>
      <w:spacing w:before="100" w:beforeAutospacing="1" w:after="100" w:afterAutospacing="1"/>
    </w:pPr>
    <w:rPr>
      <w:rFonts w:ascii="宋体" w:eastAsia="宋体" w:cs="Times New Roman"/>
      <w:kern w:val="2"/>
      <w:sz w:val="24"/>
      <w:szCs w:val="24"/>
      <w:lang w:val="en-US" w:eastAsia="zh-CN" w:bidi="ar-SA"/>
    </w:rPr>
  </w:style>
  <w:style w:type="paragraph" w:customStyle="1" w:styleId="98">
    <w:name w:val="样式 48 10 磅"/>
    <w:pPr>
      <w:widowControl w:val="0"/>
      <w:jc w:val="both"/>
    </w:pPr>
    <w:rPr>
      <w:rFonts w:ascii="Calibri" w:eastAsia="宋体" w:cs="Arial" w:hAnsi="Calibri"/>
      <w:kern w:val="2"/>
      <w:sz w:val="21"/>
      <w:szCs w:val="24"/>
      <w:lang w:val="en-US" w:eastAsia="zh-CN" w:bidi="ar-SA"/>
    </w:rPr>
  </w:style>
  <w:style w:type="paragraph" w:customStyle="1" w:styleId="99">
    <w:name w:val="样式 49 10 磅"/>
    <w:pPr>
      <w:widowControl w:val="0"/>
      <w:jc w:val="both"/>
    </w:pPr>
    <w:rPr>
      <w:rFonts w:ascii="Calibri" w:eastAsia="宋体" w:cs="Arial" w:hAnsi="Calibri"/>
      <w:kern w:val="2"/>
      <w:sz w:val="21"/>
      <w:szCs w:val="24"/>
      <w:lang w:val="en-US" w:eastAsia="zh-CN" w:bidi="ar-SA"/>
    </w:rPr>
  </w:style>
  <w:style w:type="paragraph" w:customStyle="1" w:styleId="100">
    <w:name w:val="样式 50 10 磅"/>
    <w:pPr>
      <w:widowControl w:val="0"/>
      <w:jc w:val="both"/>
    </w:pPr>
    <w:rPr>
      <w:rFonts w:ascii="Calibri" w:eastAsia="宋体" w:cs="Arial" w:hAnsi="Calibri"/>
      <w:kern w:val="2"/>
      <w:sz w:val="21"/>
      <w:szCs w:val="24"/>
      <w:lang w:val="en-US" w:eastAsia="zh-CN" w:bidi="ar-SA"/>
    </w:rPr>
  </w:style>
  <w:style w:type="paragraph" w:customStyle="1" w:styleId="101">
    <w:name w:val="样式 51 10 磅"/>
    <w:pPr>
      <w:widowControl w:val="0"/>
      <w:jc w:val="both"/>
    </w:pPr>
    <w:rPr>
      <w:rFonts w:ascii="Calibri" w:eastAsia="宋体" w:cs="Arial" w:hAnsi="Calibri"/>
      <w:kern w:val="2"/>
      <w:sz w:val="21"/>
      <w:szCs w:val="24"/>
      <w:lang w:val="en-US" w:eastAsia="zh-CN" w:bidi="ar-SA"/>
    </w:rPr>
  </w:style>
  <w:style w:type="paragraph" w:customStyle="1" w:styleId="102">
    <w:name w:val="样式 52 10 磅"/>
    <w:pPr>
      <w:widowControl w:val="0"/>
      <w:jc w:val="both"/>
    </w:pPr>
    <w:rPr>
      <w:rFonts w:ascii="Calibri" w:eastAsia="宋体" w:cs="Arial" w:hAnsi="Calibri"/>
      <w:kern w:val="2"/>
      <w:sz w:val="21"/>
      <w:szCs w:val="24"/>
      <w:lang w:val="en-US" w:eastAsia="zh-CN" w:bidi="ar-SA"/>
    </w:rPr>
  </w:style>
  <w:style w:type="paragraph" w:customStyle="1" w:styleId="103">
    <w:name w:val="样式 53 10 磅"/>
    <w:pPr>
      <w:widowControl w:val="0"/>
      <w:jc w:val="both"/>
    </w:pPr>
    <w:rPr>
      <w:rFonts w:ascii="Calibri" w:eastAsia="宋体" w:cs="Arial" w:hAnsi="Calibri"/>
      <w:kern w:val="2"/>
      <w:sz w:val="21"/>
      <w:szCs w:val="24"/>
      <w:lang w:val="en-US" w:eastAsia="zh-CN" w:bidi="ar-SA"/>
    </w:rPr>
  </w:style>
  <w:style w:type="paragraph" w:customStyle="1" w:styleId="104">
    <w:name w:val="样式 55 10 磅"/>
    <w:pPr>
      <w:widowControl w:val="0"/>
      <w:jc w:val="both"/>
    </w:pPr>
    <w:rPr>
      <w:rFonts w:ascii="Calibri" w:eastAsia="宋体" w:cs="Arial" w:hAnsi="Calibri"/>
      <w:kern w:val="2"/>
      <w:sz w:val="21"/>
      <w:szCs w:val="24"/>
      <w:lang w:val="en-US" w:eastAsia="zh-CN" w:bidi="ar-SA"/>
    </w:rPr>
  </w:style>
  <w:style w:type="paragraph" w:customStyle="1" w:styleId="105">
    <w:name w:val="样式 56 10 磅"/>
    <w:pPr>
      <w:widowControl w:val="0"/>
      <w:jc w:val="both"/>
    </w:pPr>
    <w:rPr>
      <w:rFonts w:ascii="Calibri" w:eastAsia="宋体" w:cs="Arial" w:hAnsi="Calibri"/>
      <w:kern w:val="2"/>
      <w:sz w:val="21"/>
      <w:szCs w:val="24"/>
      <w:lang w:val="en-US" w:eastAsia="zh-CN" w:bidi="ar-SA"/>
    </w:rPr>
  </w:style>
  <w:style w:type="paragraph" w:customStyle="1" w:styleId="106">
    <w:name w:val="样式 57 10 磅"/>
    <w:pPr>
      <w:widowControl w:val="0"/>
      <w:jc w:val="both"/>
    </w:pPr>
    <w:rPr>
      <w:rFonts w:ascii="Calibri" w:eastAsia="宋体" w:cs="Arial" w:hAnsi="Calibri"/>
      <w:kern w:val="2"/>
      <w:sz w:val="21"/>
      <w:szCs w:val="24"/>
      <w:lang w:val="en-US" w:eastAsia="zh-CN" w:bidi="ar-SA"/>
    </w:rPr>
  </w:style>
  <w:style w:type="paragraph" w:customStyle="1" w:styleId="107">
    <w:name w:val="样式 58 10 磅"/>
    <w:pPr>
      <w:widowControl w:val="0"/>
      <w:jc w:val="both"/>
    </w:pPr>
    <w:rPr>
      <w:rFonts w:ascii="Calibri" w:eastAsia="宋体" w:cs="Arial" w:hAnsi="Calibri"/>
      <w:kern w:val="2"/>
      <w:sz w:val="21"/>
      <w:szCs w:val="24"/>
      <w:lang w:val="en-US" w:eastAsia="zh-CN" w:bidi="ar-SA"/>
    </w:rPr>
  </w:style>
  <w:style w:type="character" w:styleId="108">
    <w:name w:val="Strong"/>
    <w:basedOn w:val="10"/>
    <w:rPr>
      <w:b/>
      <w:bCs/>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148</TotalTime>
  <Application>Yozo_Office</Application>
  <Pages>6</Pages>
  <Words>3515</Words>
  <Characters>3595</Characters>
  <Lines>72</Lines>
  <Paragraphs>64</Paragraphs>
  <CharactersWithSpaces>3632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阿牧古龙</dc:creator>
  <cp:lastModifiedBy>付玮</cp:lastModifiedBy>
  <cp:revision>6</cp:revision>
  <cp:lastPrinted>2026-06-04T07:02:00Z</cp:lastPrinted>
  <dcterms:created xsi:type="dcterms:W3CDTF">2026-06-04T07:16:00Z</dcterms:created>
  <dcterms:modified xsi:type="dcterms:W3CDTF">2026-06-15T09:47:09Z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2052-12.1.0.26895</vt:lpwstr>
  </property>
  <property fmtid="{D5CDD505-2E9C-101B-9397-08002B2CF9AE}" pid="3" name="ICV">
    <vt:lpwstr>BE9978755880403D8044C28543477F16_13</vt:lpwstr>
  </property>
  <property fmtid="{D5CDD505-2E9C-101B-9397-08002B2CF9AE}" pid="4" name="KSOTemplateDocerSaveRecord">
    <vt:lpwstr>eyJoZGlkIjoiMDRhYjQ2MmQ4YWM2OTJjNDIzYzlhMGQ1YTBjNTk1M2UiLCJ1c2VySWQiOiIyODk3MjQzNDQifQ==</vt:lpwstr>
  </property>
</Properties>
</file>