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2</w:t>
      </w:r>
    </w:p>
    <w:p>
      <w:pPr>
        <w:spacing w:line="560" w:lineRule="exact"/>
        <w:jc w:val="center"/>
        <w:rPr>
          <w:rFonts w:ascii="方正小标宋_GBK" w:eastAsia="方正小标宋_GBK" w:cs="方正小标宋_GBK"/>
          <w:sz w:val="44"/>
          <w:szCs w:val="44"/>
        </w:rPr>
      </w:pPr>
      <w:bookmarkStart w:id="0" w:name="_GoBack"/>
      <w:bookmarkEnd w:id="0"/>
      <w:r>
        <w:rPr>
          <w:rFonts w:ascii="方正小标宋_GBK" w:eastAsia="方正小标宋_GBK" w:cs="方正小标宋_GBK" w:hint="eastAsia"/>
          <w:sz w:val="44"/>
          <w:szCs w:val="44"/>
        </w:rPr>
        <w:t>比选采购需求书</w:t>
      </w:r>
    </w:p>
    <w:tbl>
      <w:tblPr>
        <w:jc w:val="left"/>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6862"/>
      </w:tblGrid>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6862"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二连海关信息化设备维修维护服务</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6862"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100000.00</w:t>
            </w:r>
            <w:r>
              <w:rPr>
                <w:rFonts w:ascii="Times New Roman" w:eastAsia="方正仿宋_GBK" w:cs="Times New Roman" w:hAnsi="Times New Roman"/>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6862"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F0A3"/>
            </w:r>
            <w:r>
              <w:rPr>
                <w:rFonts w:ascii="方正仿宋_GBK" w:eastAsia="方正仿宋_GBK" w:cs="方正仿宋_GBK" w:hint="eastAsia"/>
                <w:sz w:val="28"/>
                <w:szCs w:val="28"/>
              </w:rPr>
              <w:t>综合评分法（权重：价格</w:t>
            </w:r>
            <w:r>
              <w:rPr>
                <w:rFonts w:ascii="Times New Roman" w:eastAsia="方正仿宋_GBK" w:cs="Times New Roman" w:hAnsi="Times New Roman"/>
                <w:sz w:val="28"/>
                <w:szCs w:val="28"/>
              </w:rPr>
              <w:t>30%、评审因素70%</w:t>
            </w:r>
            <w:r>
              <w:rPr>
                <w:rFonts w:ascii="方正仿宋_GBK" w:eastAsia="方正仿宋_GBK" w:cs="方正仿宋_GBK" w:hint="eastAsia"/>
                <w:sz w:val="28"/>
                <w:szCs w:val="28"/>
              </w:rPr>
              <w:t>）</w:t>
            </w:r>
          </w:p>
        </w:tc>
      </w:tr>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808"/>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2117"/>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资格条件</w:t>
            </w:r>
          </w:p>
        </w:tc>
        <w:tc>
          <w:tcPr>
            <w:tcW w:w="6862" w:type="dxa"/>
            <w:vAlign w:val="center"/>
          </w:tcPr>
          <w:p>
            <w:pPr>
              <w:spacing w:line="400" w:lineRule="exact"/>
              <w:ind w:firstLineChars="200" w:firstLine="560"/>
              <w:rPr>
                <w:rFonts w:ascii="宋体" w:eastAsia="宋体" w:hint="eastAsia"/>
                <w:sz w:val="28"/>
                <w:szCs w:val="28"/>
              </w:rPr>
            </w:pPr>
            <w:r>
              <w:rPr>
                <w:rFonts w:ascii="宋体" w:eastAsia="宋体"/>
                <w:sz w:val="28"/>
                <w:szCs w:val="28"/>
              </w:rPr>
              <w:t>1. 供应商须为在中华人民共和国境内依法注册的独立法人企业，具备有效的营业执照，能够独立承担民事责任和合同履约责任。</w:t>
            </w:r>
          </w:p>
          <w:p>
            <w:pPr>
              <w:spacing w:line="400" w:lineRule="exact"/>
              <w:ind w:firstLineChars="200" w:firstLine="560"/>
              <w:rPr>
                <w:rFonts w:ascii="宋体" w:eastAsia="宋体" w:hint="eastAsia"/>
                <w:sz w:val="28"/>
                <w:szCs w:val="28"/>
              </w:rPr>
            </w:pPr>
            <w:r>
              <w:rPr>
                <w:rFonts w:ascii="宋体" w:eastAsia="宋体"/>
                <w:sz w:val="28"/>
                <w:szCs w:val="28"/>
              </w:rPr>
              <w:t>2. 供应商须具备二连浩特市本地化服务能力，可快速响应现场运维及应急保障工作；近3年内须拥有同类或类似视频监控系统运维项目业绩，需提供中标通知书、正式服务合同等有效佐证材料，具备完善的服务体系和专业技术团队，能够保障项目高质量履约。</w:t>
            </w:r>
          </w:p>
          <w:p>
            <w:pPr>
              <w:ind w:firstLineChars="200" w:firstLine="560"/>
              <w:jc w:val="left"/>
              <w:rPr>
                <w:rFonts w:ascii="宋体" w:eastAsia="宋体" w:hint="eastAsia"/>
                <w:sz w:val="28"/>
                <w:szCs w:val="28"/>
              </w:rPr>
            </w:pPr>
            <w:r>
              <w:rPr>
                <w:rFonts w:ascii="宋体" w:eastAsia="宋体"/>
                <w:sz w:val="28"/>
                <w:szCs w:val="28"/>
              </w:rPr>
              <w:t>3. 供应商须拥有固定的专业技术运维团队，驻场人员需熟练掌握中科可控、中科曙光、HP、Dell、华为等</w:t>
            </w:r>
            <w:r>
              <w:rPr>
                <w:rFonts w:ascii="宋体" w:eastAsia="宋体" w:hint="eastAsia"/>
                <w:sz w:val="28"/>
                <w:szCs w:val="28"/>
              </w:rPr>
              <w:t>主</w:t>
            </w:r>
            <w:r>
              <w:rPr>
                <w:rFonts w:ascii="宋体" w:eastAsia="宋体"/>
                <w:sz w:val="28"/>
                <w:szCs w:val="28"/>
              </w:rPr>
              <w:t>流品牌计算机及外围信息化设备性能，具备同类政务网络及信息化项目运维经验，可独立完成设备巡检、故障排查、系统调试、网络优化、软硬件修复等全部运维工作。</w:t>
            </w:r>
          </w:p>
          <w:p>
            <w:pPr>
              <w:spacing w:line="400" w:lineRule="exact"/>
              <w:ind w:firstLineChars="200" w:firstLine="560"/>
              <w:rPr>
                <w:rFonts w:ascii="宋体" w:eastAsia="宋体" w:hint="eastAsia"/>
                <w:sz w:val="28"/>
                <w:szCs w:val="28"/>
              </w:rPr>
            </w:pPr>
            <w:r>
              <w:rPr>
                <w:rFonts w:ascii="宋体" w:eastAsia="宋体"/>
                <w:sz w:val="28"/>
                <w:szCs w:val="28"/>
              </w:rPr>
              <w:t>4. 供应商未被列入“信用中国”网站失信被执行人名单、重大税收违法案件当事人名单，未被列入中国政府采购网政府采购严重违法失信行为记录名单，无重大违法违规经营记录（投标时须提供招标公告发布时间内的官网查询截图作为有效证明材料）。</w:t>
            </w:r>
          </w:p>
          <w:p>
            <w:pPr>
              <w:spacing w:line="400" w:lineRule="exact"/>
              <w:rPr>
                <w:rFonts w:ascii="宋体" w:eastAsia="宋体" w:hint="eastAsia"/>
                <w:sz w:val="28"/>
                <w:szCs w:val="28"/>
              </w:rPr>
            </w:pPr>
            <w:r>
              <w:rPr>
                <w:rFonts w:ascii="宋体" w:eastAsia="宋体"/>
                <w:sz w:val="28"/>
                <w:szCs w:val="28"/>
              </w:rPr>
              <w:t>5. 本项目不接受联合体投标，不允许分包、转包，不接受个体工商户及分支机构参与投标。</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6862" w:type="dxa"/>
          </w:tcPr>
          <w:p>
            <w:pPr>
              <w:spacing w:line="400" w:lineRule="exact"/>
              <w:ind w:firstLineChars="200" w:firstLine="560"/>
              <w:rPr>
                <w:rFonts w:ascii="宋体" w:eastAsia="宋体" w:hint="eastAsia"/>
                <w:sz w:val="28"/>
                <w:szCs w:val="28"/>
              </w:rPr>
            </w:pPr>
            <w:r>
              <w:rPr>
                <w:rFonts w:ascii="宋体" w:eastAsia="宋体"/>
                <w:sz w:val="28"/>
                <w:szCs w:val="28"/>
              </w:rPr>
              <w:t>本项目服务内容涵盖计算机终端及外设故障维修、多版本操作系统安装升级、国产化系统适配、海关专用业务软件运维、网络安全防护、业务网络运维、打印复印传真设备维保、整机除尘保养、视频会议室设备专项保障及应急处置等全流程服务。通过常态化巡检、标准化维保、快速故障响应、专人驻场保障、重大任务专项值守等服务模式，保障海关各项工作安全稳定开展。</w:t>
            </w:r>
            <w:r>
              <w:rPr>
                <w:rFonts w:ascii="宋体" w:eastAsia="宋体" w:cs="Times New Roman"/>
                <w:sz w:val="28"/>
                <w:szCs w:val="28"/>
              </w:rPr>
              <w:t>供应商需提供常态化、专业化、全流程运维保障服务，具体内容</w:t>
            </w:r>
            <w:r>
              <w:rPr>
                <w:rFonts w:ascii="宋体" w:eastAsia="宋体"/>
                <w:sz w:val="28"/>
                <w:szCs w:val="28"/>
              </w:rPr>
              <w:t>如下：</w:t>
            </w:r>
          </w:p>
          <w:p>
            <w:pPr>
              <w:pStyle w:val="2"/>
              <w:rPr>
                <w:rFonts w:ascii="宋体" w:eastAsia="宋体" w:hint="eastAsia"/>
                <w:bCs/>
                <w:kern w:val="2"/>
                <w:sz w:val="28"/>
                <w:szCs w:val="28"/>
              </w:rPr>
            </w:pPr>
            <w:r>
              <w:rPr>
                <w:rFonts w:ascii="宋体" w:eastAsia="宋体"/>
                <w:bCs/>
                <w:kern w:val="2"/>
                <w:sz w:val="28"/>
                <w:szCs w:val="28"/>
              </w:rPr>
              <w:t>一、项目服务内容及技术要求</w:t>
            </w:r>
          </w:p>
          <w:p>
            <w:pPr>
              <w:jc w:val="left"/>
              <w:rPr>
                <w:rFonts w:ascii="宋体" w:eastAsia="宋体" w:hint="eastAsia"/>
                <w:sz w:val="28"/>
                <w:szCs w:val="28"/>
              </w:rPr>
            </w:pPr>
            <w:r>
              <w:rPr>
                <w:rFonts w:ascii="宋体" w:eastAsia="宋体"/>
                <w:sz w:val="28"/>
                <w:szCs w:val="28"/>
              </w:rPr>
              <w:t>本项目服务范围涵盖二连海关全部信息化终端设备、办公外设、网络环境、操作系统、业务软件、视频会议系统的日常巡检、故障维修、系统调试、安全防护、清洁保养、专项保障及应急处置等全流程运维服务，具体内容如下：</w:t>
            </w:r>
          </w:p>
          <w:p>
            <w:pPr>
              <w:pStyle w:val="3"/>
              <w:rPr>
                <w:rFonts w:ascii="宋体" w:eastAsia="宋体" w:hint="eastAsia"/>
                <w:sz w:val="28"/>
                <w:szCs w:val="28"/>
              </w:rPr>
            </w:pPr>
            <w:r>
              <w:rPr>
                <w:rFonts w:ascii="宋体" w:eastAsia="宋体"/>
                <w:sz w:val="28"/>
                <w:szCs w:val="28"/>
              </w:rPr>
              <w:t>（一）计算机终端系统运维服务</w:t>
            </w:r>
          </w:p>
          <w:p>
            <w:pPr>
              <w:jc w:val="left"/>
              <w:rPr>
                <w:rFonts w:ascii="宋体" w:eastAsia="宋体" w:hint="eastAsia"/>
                <w:sz w:val="28"/>
                <w:szCs w:val="28"/>
              </w:rPr>
            </w:pPr>
            <w:r>
              <w:rPr>
                <w:rFonts w:ascii="宋体" w:eastAsia="宋体"/>
                <w:sz w:val="28"/>
                <w:szCs w:val="28"/>
              </w:rPr>
              <w:t>1. 负责海关专用业务软件运维，包含但不限于政务、业务办公软件的运行监控、定期巡检、调整优化、使用支持、故障排除、需求管理、备份和恢复，系统迁移、资产管理和配置管理等。保障相关系统安全稳定运行。</w:t>
            </w:r>
          </w:p>
          <w:p>
            <w:pPr>
              <w:jc w:val="left"/>
              <w:rPr>
                <w:rFonts w:ascii="宋体" w:eastAsia="宋体" w:hint="eastAsia"/>
                <w:sz w:val="28"/>
                <w:szCs w:val="28"/>
              </w:rPr>
            </w:pPr>
            <w:r>
              <w:rPr>
                <w:rFonts w:ascii="宋体" w:eastAsia="宋体"/>
                <w:sz w:val="28"/>
                <w:szCs w:val="28"/>
              </w:rPr>
              <w:t>2. 处置计算机各类硬件故障：开机无反应、黑屏报错、设备报警、运行卡顿、自动开关机、异常死机、开机自检停滞、设备掉电等；修复USB、COM、VGA、DP、HDMI等接口失效故障。</w:t>
            </w:r>
          </w:p>
          <w:p>
            <w:pPr>
              <w:jc w:val="left"/>
              <w:rPr>
                <w:rFonts w:ascii="宋体" w:eastAsia="宋体" w:hint="eastAsia"/>
                <w:sz w:val="28"/>
                <w:szCs w:val="28"/>
              </w:rPr>
            </w:pPr>
            <w:r>
              <w:rPr>
                <w:rFonts w:ascii="宋体" w:eastAsia="宋体"/>
                <w:sz w:val="28"/>
                <w:szCs w:val="28"/>
              </w:rPr>
              <w:t>3. 处理系统各类运行异常问题：蓝屏、花屏、键鼠失灵、弹窗报错、桌面异常、无音频、麦克风失效、U盘/移动硬盘读取异常、系统密码解密、网速卡顿、频繁掉线、杀毒报错、摄像头故障、光驱不读盘、打印机脱机、无法联网、系统安装失败等。</w:t>
            </w:r>
          </w:p>
          <w:p>
            <w:pPr>
              <w:jc w:val="left"/>
              <w:rPr>
                <w:rFonts w:ascii="宋体" w:eastAsia="宋体" w:hint="eastAsia"/>
                <w:sz w:val="28"/>
                <w:szCs w:val="28"/>
              </w:rPr>
            </w:pPr>
            <w:r>
              <w:rPr>
                <w:rFonts w:ascii="宋体" w:eastAsia="宋体"/>
                <w:sz w:val="28"/>
                <w:szCs w:val="28"/>
              </w:rPr>
              <w:t>4. 负责网络环境调试运维，包括网络优化，各类故障排查处理。</w:t>
            </w:r>
          </w:p>
          <w:p>
            <w:pPr>
              <w:jc w:val="left"/>
              <w:rPr>
                <w:rFonts w:ascii="宋体" w:eastAsia="宋体" w:hint="eastAsia"/>
                <w:sz w:val="28"/>
                <w:szCs w:val="28"/>
              </w:rPr>
            </w:pPr>
            <w:r>
              <w:rPr>
                <w:rFonts w:ascii="宋体" w:eastAsia="宋体"/>
                <w:sz w:val="28"/>
                <w:szCs w:val="28"/>
              </w:rPr>
              <w:t>5. 提供系统安装升级与安全防护服务，包括银河麒麟、windows、Linux等操作系统安装部署、故障排除、补丁升级、安全加固、数据备份和恢复</w:t>
            </w:r>
            <w:r>
              <w:rPr>
                <w:rFonts w:ascii="宋体" w:eastAsia="宋体" w:hint="eastAsia"/>
                <w:sz w:val="28"/>
                <w:szCs w:val="28"/>
              </w:rPr>
              <w:t>，</w:t>
            </w:r>
            <w:r>
              <w:rPr>
                <w:rFonts w:ascii="宋体" w:eastAsia="宋体"/>
                <w:sz w:val="28"/>
                <w:szCs w:val="28"/>
              </w:rPr>
              <w:t>提升终端运行稳定性与安全性，满足海关日常办公及业务运行需求。</w:t>
            </w:r>
          </w:p>
          <w:p>
            <w:pPr>
              <w:pStyle w:val="3"/>
              <w:rPr>
                <w:rFonts w:ascii="宋体" w:eastAsia="宋体" w:hint="eastAsia"/>
                <w:sz w:val="28"/>
                <w:szCs w:val="28"/>
              </w:rPr>
            </w:pPr>
            <w:r>
              <w:rPr>
                <w:rFonts w:ascii="宋体" w:eastAsia="宋体"/>
                <w:sz w:val="28"/>
                <w:szCs w:val="28"/>
              </w:rPr>
              <w:t>（二）办公外设运维服务</w:t>
            </w:r>
          </w:p>
          <w:p>
            <w:pPr>
              <w:jc w:val="left"/>
              <w:rPr>
                <w:rFonts w:ascii="宋体" w:eastAsia="宋体" w:hint="eastAsia"/>
                <w:sz w:val="28"/>
                <w:szCs w:val="28"/>
              </w:rPr>
            </w:pPr>
            <w:r>
              <w:rPr>
                <w:rFonts w:ascii="宋体" w:eastAsia="宋体"/>
                <w:sz w:val="28"/>
                <w:szCs w:val="28"/>
              </w:rPr>
              <w:t>负责海关打印机、扫描仪、传真机等办公输出设备全量运维工作，具体包括：处理设备不通电、脱机、卡纸、跳行、错位、空白、进纸异常等故障；修复打印复印模糊、墨点、色差、黑带、白带、字迹残缺等输出质量问题；开展设备日常清洁养护、故障报错修复，按需完成加粉、换鼓、换墨盒等常规耗材更换及设备调试工作。</w:t>
            </w:r>
          </w:p>
          <w:p>
            <w:pPr>
              <w:pStyle w:val="3"/>
              <w:rPr>
                <w:rFonts w:ascii="宋体" w:eastAsia="宋体" w:hint="eastAsia"/>
                <w:sz w:val="28"/>
                <w:szCs w:val="28"/>
              </w:rPr>
            </w:pPr>
            <w:r>
              <w:rPr>
                <w:rFonts w:ascii="宋体" w:eastAsia="宋体"/>
                <w:sz w:val="28"/>
                <w:szCs w:val="28"/>
              </w:rPr>
              <w:t>（三）设备除尘清洁服务</w:t>
            </w:r>
          </w:p>
          <w:p>
            <w:pPr>
              <w:jc w:val="left"/>
              <w:rPr>
                <w:rFonts w:ascii="宋体" w:eastAsia="宋体" w:hint="eastAsia"/>
                <w:sz w:val="28"/>
                <w:szCs w:val="28"/>
              </w:rPr>
            </w:pPr>
            <w:r>
              <w:rPr>
                <w:rFonts w:ascii="宋体" w:eastAsia="宋体"/>
                <w:sz w:val="28"/>
                <w:szCs w:val="28"/>
              </w:rPr>
              <w:t>定期对网络设备、计算机终端、显示器、打印机、一体机、传真机等全部办公信息化设备开展整机除尘清洁作业，清理设备内部积灰、散热通道及接口污渍，优化设备散热性能，降低硬件老化、死机、故障发生率。所有除尘作业规范操作，确保设备无损伤、无二次故障，有效延长设备使用寿命。</w:t>
            </w:r>
          </w:p>
          <w:p>
            <w:pPr>
              <w:pStyle w:val="3"/>
              <w:rPr>
                <w:rFonts w:ascii="宋体" w:eastAsia="宋体" w:hint="eastAsia"/>
                <w:sz w:val="28"/>
                <w:szCs w:val="28"/>
              </w:rPr>
            </w:pPr>
            <w:r>
              <w:rPr>
                <w:rFonts w:ascii="宋体" w:eastAsia="宋体"/>
                <w:sz w:val="28"/>
                <w:szCs w:val="28"/>
              </w:rPr>
              <w:t>（四）视频会议室专项保障服务</w:t>
            </w:r>
          </w:p>
          <w:p>
            <w:pPr>
              <w:jc w:val="left"/>
              <w:rPr>
                <w:rFonts w:ascii="宋体" w:eastAsia="宋体" w:hint="eastAsia"/>
                <w:sz w:val="28"/>
                <w:szCs w:val="28"/>
              </w:rPr>
            </w:pPr>
            <w:r>
              <w:rPr>
                <w:rFonts w:ascii="宋体" w:eastAsia="宋体"/>
                <w:sz w:val="28"/>
                <w:szCs w:val="28"/>
              </w:rPr>
              <w:t>1. 将海关所有视频会议设备、音频设备、显示设备、控制系统及配套网络纳入常态化运维管理，建立7×24小时应急处置机制，落实定期巡检、专项保养、故障快修工作，建立完整的会议设备运维台账档案。</w:t>
            </w:r>
          </w:p>
          <w:p>
            <w:pPr>
              <w:jc w:val="left"/>
              <w:rPr>
                <w:rFonts w:ascii="宋体" w:eastAsia="宋体" w:hint="eastAsia"/>
                <w:sz w:val="28"/>
                <w:szCs w:val="28"/>
              </w:rPr>
            </w:pPr>
            <w:r>
              <w:rPr>
                <w:rFonts w:ascii="宋体" w:eastAsia="宋体"/>
                <w:sz w:val="28"/>
                <w:szCs w:val="28"/>
              </w:rPr>
              <w:t>2. 实行视频会议全流程保障模式，会前完成设备调试、网络检测、音视频测试，会中全程在岗值守，会后做好设备复位、养护及问题复盘工作。</w:t>
            </w:r>
          </w:p>
          <w:p>
            <w:pPr>
              <w:pStyle w:val="22"/>
              <w:spacing w:before="0" w:beforeAutospacing="0" w:after="0" w:afterAutospacing="0" w:line="360" w:lineRule="exact"/>
              <w:ind w:firstLineChars="200" w:firstLine="560"/>
              <w:rPr>
                <w:rFonts w:ascii="宋体" w:eastAsia="宋体" w:hint="eastAsia"/>
                <w:sz w:val="28"/>
                <w:szCs w:val="28"/>
              </w:rPr>
            </w:pPr>
            <w:r>
              <w:rPr>
                <w:rFonts w:ascii="宋体" w:eastAsia="宋体"/>
                <w:sz w:val="28"/>
                <w:szCs w:val="28"/>
              </w:rPr>
              <w:t>3. 快速处置会议期间突发设备故障、音视频异常、网络中断等问题，全力保障各类上下级联动会议、专项工作会议稳定顺畅开展。</w:t>
            </w:r>
          </w:p>
          <w:p>
            <w:pPr>
              <w:pStyle w:val="70"/>
              <w:spacing w:beforeAutospacing="0" w:afterAutospacing="0" w:line="360" w:lineRule="exact"/>
              <w:ind w:firstLineChars="200" w:firstLine="560"/>
              <w:rPr>
                <w:rFonts w:ascii="宋体" w:eastAsia="宋体" w:hint="eastAsia"/>
                <w:b/>
                <w:bCs/>
                <w:sz w:val="28"/>
                <w:szCs w:val="28"/>
              </w:rPr>
            </w:pPr>
            <w:r>
              <w:rPr>
                <w:rFonts w:ascii="宋体" w:eastAsia="宋体"/>
                <w:b/>
                <w:bCs/>
                <w:sz w:val="28"/>
                <w:szCs w:val="28"/>
              </w:rPr>
              <w:t>（五）专人驻场运维服务</w:t>
            </w:r>
          </w:p>
          <w:p>
            <w:pPr>
              <w:jc w:val="left"/>
              <w:rPr>
                <w:rFonts w:ascii="宋体" w:eastAsia="宋体" w:hint="eastAsia"/>
                <w:sz w:val="28"/>
                <w:szCs w:val="28"/>
              </w:rPr>
            </w:pPr>
            <w:r>
              <w:rPr>
                <w:rFonts w:ascii="宋体" w:eastAsia="宋体"/>
                <w:sz w:val="28"/>
                <w:szCs w:val="28"/>
              </w:rPr>
              <w:t xml:space="preserve">1. </w:t>
            </w:r>
            <w:r>
              <w:rPr>
                <w:rStyle w:val="108"/>
                <w:rFonts w:ascii="宋体" w:eastAsia="宋体"/>
                <w:sz w:val="28"/>
                <w:szCs w:val="28"/>
              </w:rPr>
              <w:t>专属项目联系人</w:t>
            </w:r>
            <w:r>
              <w:rPr>
                <w:rFonts w:ascii="宋体" w:eastAsia="宋体"/>
                <w:sz w:val="28"/>
                <w:szCs w:val="28"/>
              </w:rPr>
              <w:t>：供应商须指定1名专职项目联系人，全程负责项目对接、工单统筹、问题反馈、进度汇报及日常沟通，保持7×24小时通讯畅通，与甲方建立常态化紧密联动机制。</w:t>
            </w:r>
          </w:p>
          <w:p>
            <w:pPr>
              <w:jc w:val="left"/>
              <w:rPr>
                <w:rFonts w:ascii="宋体" w:eastAsia="宋体" w:hint="eastAsia"/>
                <w:sz w:val="28"/>
                <w:szCs w:val="28"/>
              </w:rPr>
            </w:pPr>
            <w:r>
              <w:rPr>
                <w:rFonts w:ascii="宋体" w:eastAsia="宋体"/>
                <w:sz w:val="28"/>
                <w:szCs w:val="28"/>
              </w:rPr>
              <w:t xml:space="preserve">2. </w:t>
            </w:r>
            <w:r>
              <w:rPr>
                <w:rStyle w:val="108"/>
                <w:rFonts w:ascii="宋体" w:eastAsia="宋体"/>
                <w:sz w:val="28"/>
                <w:szCs w:val="28"/>
              </w:rPr>
              <w:t>全职驻场工程师</w:t>
            </w:r>
            <w:r>
              <w:rPr>
                <w:rFonts w:ascii="宋体" w:eastAsia="宋体"/>
                <w:sz w:val="28"/>
                <w:szCs w:val="28"/>
              </w:rPr>
              <w:t>：供应商须配置</w:t>
            </w:r>
            <w:r>
              <w:rPr>
                <w:rFonts w:ascii="宋体" w:eastAsia="宋体"/>
                <w:bCs/>
                <w:sz w:val="28"/>
                <w:szCs w:val="28"/>
              </w:rPr>
              <w:t>至少1名专职工程师全职驻场服务</w:t>
            </w:r>
            <w:r>
              <w:rPr>
                <w:rFonts w:ascii="宋体" w:eastAsia="宋体"/>
                <w:sz w:val="28"/>
                <w:szCs w:val="28"/>
              </w:rPr>
              <w:t>，驻场人员需熟练掌握中科可控、中科曙光、HP、Dell、联想等主流品牌计算机及外围信息化设备性能，具备同类政务网络及信息化项目运维经验，可独立完成设备巡检、故障排查、系统调试、网络优化、软硬件修复等全部运维工作。</w:t>
            </w:r>
          </w:p>
          <w:p>
            <w:pPr>
              <w:jc w:val="left"/>
              <w:rPr>
                <w:rFonts w:ascii="宋体" w:eastAsia="宋体" w:hint="eastAsia"/>
                <w:sz w:val="28"/>
                <w:szCs w:val="28"/>
              </w:rPr>
            </w:pPr>
            <w:r>
              <w:rPr>
                <w:rFonts w:ascii="宋体" w:eastAsia="宋体"/>
                <w:sz w:val="28"/>
                <w:szCs w:val="28"/>
              </w:rPr>
              <w:t xml:space="preserve">3. </w:t>
            </w:r>
            <w:r>
              <w:rPr>
                <w:rStyle w:val="108"/>
                <w:rFonts w:ascii="宋体" w:eastAsia="宋体"/>
                <w:sz w:val="28"/>
                <w:szCs w:val="28"/>
              </w:rPr>
              <w:t>应急增派保障</w:t>
            </w:r>
            <w:r>
              <w:rPr>
                <w:rFonts w:ascii="宋体" w:eastAsia="宋体"/>
                <w:sz w:val="28"/>
                <w:szCs w:val="28"/>
              </w:rPr>
              <w:t>：遇甲方重要会议、重大活动、专项检查等重点任务时，供应商须无条件增派至少1名专业工程师到场专项保障，确保重大任务零故障、零失误。</w:t>
            </w:r>
          </w:p>
          <w:p>
            <w:pPr>
              <w:pStyle w:val="70"/>
              <w:spacing w:beforeAutospacing="0" w:afterAutospacing="0" w:line="360" w:lineRule="exact"/>
              <w:rPr>
                <w:rFonts w:ascii="宋体" w:eastAsia="宋体" w:hint="eastAsia"/>
                <w:sz w:val="28"/>
                <w:szCs w:val="28"/>
              </w:rPr>
            </w:pPr>
            <w:r>
              <w:rPr>
                <w:rFonts w:ascii="宋体" w:eastAsia="宋体"/>
                <w:sz w:val="28"/>
                <w:szCs w:val="28"/>
              </w:rPr>
              <w:t xml:space="preserve">4. </w:t>
            </w:r>
            <w:r>
              <w:rPr>
                <w:rStyle w:val="108"/>
                <w:rFonts w:ascii="宋体" w:eastAsia="宋体"/>
                <w:sz w:val="28"/>
                <w:szCs w:val="28"/>
              </w:rPr>
              <w:t>驻场人员管理</w:t>
            </w:r>
            <w:r>
              <w:rPr>
                <w:rFonts w:ascii="宋体" w:eastAsia="宋体"/>
                <w:sz w:val="28"/>
                <w:szCs w:val="28"/>
              </w:rPr>
              <w:t>：驻场人员须严格遵守甲方考勤制度、管理制度及保密规定，服从甲方统一调度、着装规范；人员更换须提前7个工作日书面报备甲方，经审核同意后方可更换，保障服务连续性。</w:t>
            </w:r>
          </w:p>
          <w:p>
            <w:pPr>
              <w:spacing w:line="400" w:lineRule="exact"/>
              <w:rPr>
                <w:rFonts w:ascii="宋体" w:eastAsia="宋体" w:hint="eastAsia"/>
                <w:sz w:val="28"/>
                <w:szCs w:val="28"/>
              </w:rPr>
            </w:pPr>
            <w:r>
              <w:rPr>
                <w:rStyle w:val="108"/>
                <w:rFonts w:ascii="宋体" w:eastAsia="宋体"/>
                <w:sz w:val="28"/>
                <w:szCs w:val="28"/>
              </w:rPr>
              <w:t xml:space="preserve">5.保障时效： </w:t>
            </w:r>
            <w:r>
              <w:rPr>
                <w:rFonts w:ascii="宋体" w:eastAsia="宋体" w:cs="Times New Roman"/>
                <w:sz w:val="28"/>
                <w:szCs w:val="28"/>
              </w:rPr>
              <w:t>建立7×24小时全天候故障响应机制，接到故障报修、系统异常通知后，公路口岸、铁路口岸30分钟内抵达现场处置，航空口岸60分钟时内抵达现场；一般故障当日完成修复，重大故障24小时内出具专项处置方案并完成紧急抢修，最大限度缩短系统停运时间。</w:t>
            </w:r>
          </w:p>
          <w:p>
            <w:pPr>
              <w:spacing w:line="400" w:lineRule="exact"/>
              <w:ind w:firstLineChars="200" w:firstLine="560"/>
              <w:rPr>
                <w:rFonts w:ascii="宋体" w:eastAsia="宋体" w:cs="Times New Roman" w:hint="eastAsia"/>
                <w:b/>
                <w:bCs/>
                <w:sz w:val="28"/>
                <w:szCs w:val="28"/>
              </w:rPr>
            </w:pPr>
            <w:r>
              <w:rPr>
                <w:rFonts w:ascii="宋体" w:eastAsia="宋体" w:cs="Times New Roman"/>
                <w:b/>
                <w:bCs/>
                <w:sz w:val="28"/>
                <w:szCs w:val="28"/>
              </w:rPr>
              <w:t>（六）应急处置服务</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针对暴雨、雷击、断电、设备大面积故障、突发安全事件、专项安保任务等特殊场景，供应商需第一时间启动应急运维预案，安排专属技术人员到场处置，快速排查故障、恢复系统功能，全力保障监控系统关键时段正常履职。</w:t>
            </w:r>
          </w:p>
          <w:p>
            <w:pPr>
              <w:spacing w:line="400" w:lineRule="exact"/>
              <w:ind w:firstLineChars="200" w:firstLine="560"/>
              <w:rPr>
                <w:rFonts w:ascii="宋体" w:eastAsia="宋体" w:cs="Times New Roman" w:hint="eastAsia"/>
                <w:b/>
                <w:bCs/>
                <w:sz w:val="28"/>
                <w:szCs w:val="28"/>
              </w:rPr>
            </w:pPr>
            <w:r>
              <w:rPr>
                <w:rFonts w:ascii="宋体" w:eastAsia="宋体" w:cs="Times New Roman"/>
                <w:b/>
                <w:bCs/>
                <w:sz w:val="28"/>
                <w:szCs w:val="28"/>
              </w:rPr>
              <w:t>二、保密要求</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1. 供应商在项目服务全过程中，须严格遵守国家保密法律法规及采购单位保密管理制度，对服务过程中接触的单位内部信息、监控画面、录像资料、设备参数、网络数据、内部管控信息等全部涉密内容，承担终身保密责任。</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2. 未经采购单位书面正式授权，供应商及所有服务人员严禁擅自调取、复制、留存、传播、外泄、公开涉密单位信息，严禁将涉密资料用于本项目运维服务以外的任何用途。</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3. 供应商须对全体在岗运维人员开展专项保密培训，逐一签订个人保密承诺书，建立人员保密管理台账，严格管控涉密信息流转，全面杜绝泄密、窃密、数据泄露等安全风险。</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4. 服务期内及服务合同终止后，供应商须无条件配合采购单位完成涉密资料、数据、设备操作权限的清零、回收、注销工作，不得私自留存、拷贝、备份任何涉密数据及资料。若因供应商原因造成涉密信息、影像、数据泄露，需承担全部法律责任、经济损失及不良后果，采购单位有权立即终止合同、扣除全部服务费用并依法追责。</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5. 本项目中标供应商在签订运维服务主合同的</w:t>
            </w:r>
            <w:r>
              <w:rPr>
                <w:rFonts w:ascii="宋体" w:eastAsia="宋体" w:cs="Times New Roman"/>
                <w:bCs/>
                <w:sz w:val="28"/>
                <w:szCs w:val="28"/>
              </w:rPr>
              <w:t>同时，必须同步签订专项保密协议</w:t>
            </w:r>
            <w:r>
              <w:rPr>
                <w:rFonts w:ascii="宋体" w:eastAsia="宋体" w:cs="Times New Roman"/>
                <w:sz w:val="28"/>
                <w:szCs w:val="28"/>
              </w:rPr>
              <w:t>，明确双方保密权责、保密期限、违约追责条款等内容；未签订专项保密协议的，不予签订服务合同，由此产生的一切后果由中标供应商自行承担。</w:t>
            </w:r>
          </w:p>
          <w:p>
            <w:pPr>
              <w:spacing w:line="400" w:lineRule="exact"/>
              <w:ind w:firstLineChars="200" w:firstLine="560"/>
              <w:rPr>
                <w:rFonts w:ascii="宋体" w:eastAsia="宋体" w:cs="Times New Roman" w:hint="eastAsia"/>
                <w:b/>
                <w:bCs/>
                <w:sz w:val="28"/>
                <w:szCs w:val="28"/>
              </w:rPr>
            </w:pPr>
            <w:r>
              <w:rPr>
                <w:rFonts w:ascii="宋体" w:eastAsia="宋体" w:cs="Times New Roman"/>
                <w:b/>
                <w:bCs/>
                <w:sz w:val="28"/>
                <w:szCs w:val="28"/>
              </w:rPr>
              <w:t>三、其他事项</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1. 供应商须自行完成现场踏勘，全面核实项目设备现状、服务范围、场地条件，充分评估履约风险，结合实际情况制定服务方案及报价。一经投标，即视为充分知晓并认可本项目全部需求、现状及所有条款，后续无异议。</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2. 本项目报价为全包固定包干总价，包含人工、设备维修、耗材更换、全域巡检、交通通勤、应急处置、税费、保密服务等所有相关费用，合同存续期间二连海关不承担任何额外增补费用。</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3. 中标供应商不得擅自转包、分包本项目服务内容，未经二连海关书面同意擅自分包转包的，二连海关有权无条件终止合同并追究违约责任。</w:t>
            </w:r>
          </w:p>
          <w:p>
            <w:pPr>
              <w:spacing w:line="400" w:lineRule="exact"/>
              <w:ind w:firstLineChars="200" w:firstLine="560"/>
              <w:rPr>
                <w:rFonts w:ascii="宋体" w:eastAsia="宋体" w:cs="Times New Roman" w:hint="eastAsia"/>
                <w:sz w:val="28"/>
                <w:szCs w:val="28"/>
              </w:rPr>
            </w:pPr>
            <w:r>
              <w:rPr>
                <w:rFonts w:ascii="宋体" w:eastAsia="宋体" w:cs="Times New Roman"/>
                <w:sz w:val="28"/>
                <w:szCs w:val="28"/>
              </w:rPr>
              <w:t>4. 二连海关有权根据实际工作及安防管理需求，对服务内容、服务标准进行合理优化调整，中标供应商须无条件全力配合执行。</w:t>
            </w:r>
          </w:p>
          <w:p>
            <w:pPr>
              <w:spacing w:line="400" w:lineRule="exact"/>
              <w:ind w:firstLineChars="200" w:firstLine="560"/>
              <w:rPr>
                <w:rFonts w:ascii="宋体" w:eastAsia="宋体" w:hint="eastAsia"/>
                <w:color w:val="000000"/>
                <w:sz w:val="28"/>
                <w:szCs w:val="28"/>
              </w:rPr>
            </w:pPr>
            <w:r>
              <w:rPr>
                <w:rFonts w:ascii="宋体" w:eastAsia="宋体" w:cs="Times New Roman"/>
                <w:sz w:val="28"/>
                <w:szCs w:val="28"/>
              </w:rPr>
              <w:t>5.</w:t>
            </w:r>
            <w:r>
              <w:rPr>
                <w:rFonts w:ascii="宋体" w:eastAsia="宋体" w:cs="Times New Roman" w:hint="eastAsia"/>
                <w:sz w:val="28"/>
                <w:szCs w:val="28"/>
              </w:rPr>
              <w:t>本项目</w:t>
            </w:r>
            <w:r>
              <w:rPr>
                <w:rFonts w:ascii="宋体" w:eastAsia="宋体" w:cs="Times New Roman"/>
                <w:sz w:val="28"/>
                <w:szCs w:val="28"/>
              </w:rPr>
              <w:t>未尽事宜，由二连海关另行通知、解释。</w:t>
            </w:r>
          </w:p>
        </w:tc>
      </w:tr>
      <w:tr>
        <w:trPr>
          <w:trHeight w:val="610"/>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评审因素</w:t>
            </w:r>
          </w:p>
        </w:tc>
        <w:tc>
          <w:tcPr>
            <w:tcW w:w="6862" w:type="dxa"/>
            <w:vAlign w:val="center"/>
          </w:tcPr>
          <w:p>
            <w:pPr>
              <w:spacing w:line="400" w:lineRule="exact"/>
              <w:rPr>
                <w:rFonts w:ascii="Times New Roman" w:eastAsia="方正仿宋_GBK" w:cs="Times New Roman" w:hAnsi="Times New Roman"/>
                <w:sz w:val="28"/>
                <w:szCs w:val="28"/>
              </w:rPr>
            </w:pPr>
            <w:r>
              <w:rPr>
                <w:rFonts w:ascii="方正仿宋_GBK" w:eastAsia="方正仿宋_GBK" w:cs="方正仿宋_GBK" w:hint="eastAsia"/>
                <w:sz w:val="28"/>
                <w:szCs w:val="28"/>
              </w:rPr>
              <w:t>√最低价法</w:t>
            </w:r>
          </w:p>
        </w:tc>
      </w:tr>
      <w:tr>
        <w:trPr>
          <w:trHeight w:val="2545"/>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6862" w:type="dxa"/>
          </w:tcPr>
          <w:p>
            <w:pPr>
              <w:spacing w:line="400" w:lineRule="exact"/>
              <w:jc w:val="left"/>
              <w:rPr>
                <w:rFonts w:ascii="方正仿宋_GBK" w:eastAsia="方正仿宋_GBK" w:cs="方正仿宋_GBK"/>
                <w:sz w:val="28"/>
                <w:szCs w:val="28"/>
              </w:rPr>
            </w:pPr>
          </w:p>
        </w:tc>
      </w:tr>
    </w:tbl>
    <w:p>
      <w:pPr>
        <w:rPr>
          <w:rFonts w:ascii="方正仿宋_GBK" w:eastAsia="方正仿宋_GBK" w:cs="方正仿宋_GBK"/>
          <w:sz w:val="32"/>
          <w:szCs w:val="32"/>
        </w:rPr>
      </w:pPr>
    </w:p>
    <w:p>
      <w:pPr>
        <w:spacing w:line="560" w:lineRule="exac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微软雅黑"/>
    <w:panose1 w:val="00000000000000000000"/>
    <w:charset w:val="86"/>
    <w:family w:val="script"/>
    <w:pitch w:val="variable"/>
    <w:sig w:usb0="00000001" w:usb1="080E0000" w:usb2="00000000" w:usb3="00000000" w:csb0="00040000" w:csb1="00000000"/>
  </w:font>
  <w:font w:name="方正小标宋_GBK">
    <w:altName w:val="微软雅黑"/>
    <w:panose1 w:val="00000000000000000000"/>
    <w:charset w:val="86"/>
    <w:family w:val="script"/>
    <w:pitch w:val="variable"/>
    <w:sig w:usb0="00000001" w:usb1="080E0000" w:usb2="00000000" w:usb3="00000000" w:csb0="00040000" w:csb1="00000000"/>
  </w:font>
  <w:font w:name="方正楷体_GBK">
    <w:altName w:val="微软雅黑"/>
    <w:panose1 w:val="00000000000000000000"/>
    <w:charset w:val="86"/>
    <w:family w:val="script"/>
    <w:pitch w:val="variable"/>
    <w:sig w:usb0="00000001" w:usb1="080E0000" w:usb2="00000000" w:usb3="00000000" w:csb0="00040000" w:csb1="00000000"/>
  </w:font>
  <w:font w:name="方正仿宋_GBK">
    <w:altName w:val="微软雅黑"/>
    <w:panose1 w:val="00000000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3</w:t>
    </w:r>
    <w:r>
      <w:rPr>
        <w:rStyle w:val="24"/>
      </w:rPr>
      <w:fldChar w:fldCharType="end"/>
    </w:r>
  </w:p>
  <w:p>
    <w:pPr>
      <w:pStyle w:val="17"/>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7"/>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bordersDoNotSurroundFooter/>
  <w:trackRevisions/>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pPr>
      <w:widowControl/>
      <w:spacing w:before="100" w:beforeAutospacing="1" w:after="100" w:afterAutospacing="1"/>
      <w:jc w:val="left"/>
      <w:outlineLvl w:val="1"/>
    </w:pPr>
    <w:rPr>
      <w:rFonts w:ascii="宋体"/>
      <w:b/>
      <w:kern w:val="0"/>
      <w:sz w:val="36"/>
    </w:rPr>
  </w:style>
  <w:style w:type="paragraph" w:styleId="3">
    <w:name w:val="heading 3"/>
    <w:basedOn w:val="0"/>
    <w:pPr>
      <w:widowControl/>
      <w:spacing w:before="100" w:beforeAutospacing="1" w:after="100" w:afterAutospacing="1"/>
      <w:jc w:val="left"/>
      <w:outlineLvl w:val="2"/>
    </w:pPr>
    <w:rPr>
      <w:rFonts w:ascii="宋体"/>
      <w:b/>
      <w:kern w:val="0"/>
      <w:sz w:val="27"/>
    </w:rPr>
  </w:style>
  <w:style w:type="character" w:default="1" w:styleId="10">
    <w:name w:val="Default Paragraph Font"/>
  </w:style>
  <w:style w:type="paragraph" w:styleId="15">
    <w:name w:val="annotation text"/>
    <w:pPr>
      <w:widowControl w:val="0"/>
    </w:pPr>
    <w:rPr>
      <w:rFonts w:ascii="Calibri" w:eastAsia="宋体" w:cs="Arial" w:hAnsi="Calibri"/>
      <w:kern w:val="2"/>
      <w:sz w:val="21"/>
      <w:szCs w:val="24"/>
      <w:lang w:val="en-US" w:eastAsia="zh-CN" w:bidi="ar-SA"/>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index heading"/>
    <w:basedOn w:val="0"/>
    <w:rPr>
      <w:rFonts w:ascii="Arial" w:hAnsi="Arial"/>
      <w:b/>
    </w:rPr>
  </w:style>
  <w:style w:type="paragraph" w:styleId="20">
    <w:name w:val="List 5"/>
    <w:basedOn w:val="0"/>
    <w:pPr>
      <w:ind w:left="2100" w:hanging="420"/>
    </w:pPr>
  </w:style>
  <w:style w:type="paragraph" w:styleId="21">
    <w:name w:val="index 7"/>
    <w:basedOn w:val="0"/>
    <w:autoRedefine/>
    <w:next w:val="0"/>
    <w:pPr>
      <w:ind w:left="2520"/>
    </w:pPr>
  </w:style>
  <w:style w:type="paragraph" w:styleId="22">
    <w:name w:val="Normal (Web)"/>
    <w:next w:val="20"/>
    <w:pPr>
      <w:widowControl w:val="0"/>
      <w:spacing w:before="100" w:beforeAutospacing="1" w:after="100" w:afterAutospacing="1"/>
    </w:pPr>
    <w:rPr>
      <w:rFonts w:ascii="宋体" w:eastAsia="宋体" w:cs="Times New Roman"/>
      <w:kern w:val="2"/>
      <w:sz w:val="24"/>
      <w:szCs w:val="24"/>
      <w:lang w:val="en-US" w:eastAsia="zh-CN" w:bidi="ar-SA"/>
    </w:rPr>
  </w:style>
  <w:style w:type="paragraph" w:styleId="23">
    <w:name w:val="annotation subject"/>
    <w:next w:val="15"/>
    <w:pPr>
      <w:widowControl w:val="0"/>
    </w:pPr>
    <w:rPr>
      <w:rFonts w:ascii="Calibri" w:eastAsia="宋体" w:cs="Arial" w:hAnsi="Calibri"/>
      <w:b/>
      <w:kern w:val="2"/>
      <w:sz w:val="21"/>
      <w:szCs w:val="24"/>
      <w:lang w:val="en-US" w:eastAsia="zh-CN" w:bidi="ar-SA"/>
    </w:rPr>
  </w:style>
  <w:style w:type="character" w:styleId="24">
    <w:name w:val="page number"/>
    <w:basedOn w:val="10"/>
  </w:style>
  <w:style w:type="character" w:styleId="25">
    <w:name w:val="annotation reference"/>
    <w:basedOn w:val="10"/>
    <w:rPr>
      <w:sz w:val="21"/>
      <w:szCs w:val="21"/>
    </w:rPr>
  </w:style>
  <w:style w:type="paragraph" w:customStyle="1" w:styleId="26">
    <w:name w:val="样式 10 磅"/>
    <w:pPr>
      <w:widowControl w:val="0"/>
      <w:jc w:val="both"/>
    </w:pPr>
    <w:rPr>
      <w:rFonts w:ascii="Calibri" w:eastAsia="宋体" w:cs="Arial" w:hAnsi="Calibri"/>
      <w:kern w:val="2"/>
      <w:sz w:val="21"/>
      <w:szCs w:val="24"/>
      <w:lang w:val="en-US" w:eastAsia="zh-CN" w:bidi="ar-SA"/>
    </w:rPr>
  </w:style>
  <w:style w:type="paragraph" w:customStyle="1" w:styleId="27">
    <w:name w:val="样式 1 10 磅"/>
    <w:pPr>
      <w:widowControl w:val="0"/>
      <w:jc w:val="both"/>
    </w:pPr>
    <w:rPr>
      <w:rFonts w:ascii="Calibri" w:eastAsia="宋体" w:cs="Arial" w:hAnsi="Calibri"/>
      <w:kern w:val="2"/>
      <w:sz w:val="21"/>
      <w:szCs w:val="24"/>
      <w:lang w:val="en-US" w:eastAsia="zh-CN" w:bidi="ar-SA"/>
    </w:rPr>
  </w:style>
  <w:style w:type="paragraph" w:customStyle="1" w:styleId="28">
    <w:name w:val="样式 2 10 磅"/>
    <w:pPr>
      <w:widowControl w:val="0"/>
      <w:jc w:val="both"/>
    </w:pPr>
    <w:rPr>
      <w:rFonts w:ascii="Calibri" w:eastAsia="宋体" w:cs="Arial" w:hAnsi="Calibri"/>
      <w:kern w:val="2"/>
      <w:sz w:val="21"/>
      <w:szCs w:val="24"/>
      <w:lang w:val="en-US" w:eastAsia="zh-CN" w:bidi="ar-SA"/>
    </w:rPr>
  </w:style>
  <w:style w:type="paragraph" w:customStyle="1" w:styleId="29">
    <w:name w:val="样式 3 10 磅"/>
    <w:pPr>
      <w:widowControl w:val="0"/>
      <w:jc w:val="both"/>
    </w:pPr>
    <w:rPr>
      <w:rFonts w:ascii="Calibri" w:eastAsia="宋体" w:cs="Arial" w:hAnsi="Calibri"/>
      <w:kern w:val="2"/>
      <w:sz w:val="21"/>
      <w:szCs w:val="24"/>
      <w:lang w:val="en-US" w:eastAsia="zh-CN" w:bidi="ar-SA"/>
    </w:rPr>
  </w:style>
  <w:style w:type="paragraph" w:customStyle="1" w:styleId="30">
    <w:name w:val="样式 4 10 磅"/>
    <w:pPr>
      <w:widowControl w:val="0"/>
      <w:jc w:val="both"/>
    </w:pPr>
    <w:rPr>
      <w:rFonts w:ascii="Calibri" w:eastAsia="宋体" w:cs="Arial" w:hAnsi="Calibri"/>
      <w:kern w:val="2"/>
      <w:sz w:val="21"/>
      <w:szCs w:val="24"/>
      <w:lang w:val="en-US" w:eastAsia="zh-CN" w:bidi="ar-SA"/>
    </w:rPr>
  </w:style>
  <w:style w:type="paragraph" w:customStyle="1" w:styleId="31">
    <w:name w:val="样式 5 10 磅"/>
    <w:pPr>
      <w:widowControl w:val="0"/>
      <w:jc w:val="both"/>
    </w:pPr>
    <w:rPr>
      <w:rFonts w:ascii="Calibri" w:eastAsia="宋体" w:cs="Arial" w:hAnsi="Calibri"/>
      <w:kern w:val="2"/>
      <w:sz w:val="21"/>
      <w:szCs w:val="24"/>
      <w:lang w:val="en-US" w:eastAsia="zh-CN" w:bidi="ar-SA"/>
    </w:rPr>
  </w:style>
  <w:style w:type="paragraph" w:customStyle="1" w:styleId="32">
    <w:name w:val="样式 6 10 磅"/>
    <w:pPr>
      <w:widowControl w:val="0"/>
      <w:jc w:val="both"/>
    </w:pPr>
    <w:rPr>
      <w:rFonts w:ascii="Calibri" w:eastAsia="宋体" w:cs="Arial" w:hAnsi="Calibri"/>
      <w:kern w:val="2"/>
      <w:sz w:val="21"/>
      <w:szCs w:val="24"/>
      <w:lang w:val="en-US" w:eastAsia="zh-CN" w:bidi="ar-SA"/>
    </w:rPr>
  </w:style>
  <w:style w:type="paragraph" w:customStyle="1" w:styleId="33">
    <w:name w:val="样式 7 10 磅"/>
    <w:pPr>
      <w:widowControl w:val="0"/>
      <w:jc w:val="both"/>
    </w:pPr>
    <w:rPr>
      <w:rFonts w:ascii="Calibri" w:eastAsia="宋体" w:cs="Arial" w:hAnsi="Calibri"/>
      <w:kern w:val="2"/>
      <w:sz w:val="21"/>
      <w:szCs w:val="24"/>
      <w:lang w:val="en-US" w:eastAsia="zh-CN" w:bidi="ar-SA"/>
    </w:rPr>
  </w:style>
  <w:style w:type="paragraph" w:customStyle="1" w:styleId="34">
    <w:name w:val="样式 8 10 磅"/>
    <w:pPr>
      <w:widowControl w:val="0"/>
      <w:jc w:val="both"/>
    </w:pPr>
    <w:rPr>
      <w:rFonts w:ascii="Calibri" w:eastAsia="宋体" w:cs="Arial" w:hAnsi="Calibri"/>
      <w:kern w:val="2"/>
      <w:sz w:val="21"/>
      <w:szCs w:val="24"/>
      <w:lang w:val="en-US" w:eastAsia="zh-CN" w:bidi="ar-SA"/>
    </w:rPr>
  </w:style>
  <w:style w:type="paragraph" w:customStyle="1" w:styleId="35">
    <w:name w:val="样式 9 10 磅"/>
    <w:pPr>
      <w:widowControl w:val="0"/>
      <w:jc w:val="both"/>
    </w:pPr>
    <w:rPr>
      <w:rFonts w:ascii="Calibri" w:eastAsia="宋体" w:cs="Arial" w:hAnsi="Calibri"/>
      <w:kern w:val="2"/>
      <w:sz w:val="21"/>
      <w:szCs w:val="24"/>
      <w:lang w:val="en-US" w:eastAsia="zh-CN" w:bidi="ar-SA"/>
    </w:rPr>
  </w:style>
  <w:style w:type="paragraph" w:customStyle="1" w:styleId="36">
    <w:name w:val="样式 10 10 磅"/>
    <w:pPr>
      <w:widowControl w:val="0"/>
      <w:jc w:val="both"/>
    </w:pPr>
    <w:rPr>
      <w:rFonts w:ascii="Calibri" w:eastAsia="宋体" w:cs="Arial" w:hAnsi="Calibri"/>
      <w:kern w:val="2"/>
      <w:sz w:val="21"/>
      <w:szCs w:val="24"/>
      <w:lang w:val="en-US" w:eastAsia="zh-CN" w:bidi="ar-SA"/>
    </w:rPr>
  </w:style>
  <w:style w:type="paragraph" w:customStyle="1" w:styleId="37">
    <w:name w:val="样式 11 10 磅"/>
    <w:pPr>
      <w:widowControl w:val="0"/>
      <w:jc w:val="both"/>
    </w:pPr>
    <w:rPr>
      <w:rFonts w:ascii="Calibri" w:eastAsia="宋体" w:cs="Arial" w:hAnsi="Calibri"/>
      <w:kern w:val="2"/>
      <w:sz w:val="21"/>
      <w:szCs w:val="24"/>
      <w:lang w:val="en-US" w:eastAsia="zh-CN" w:bidi="ar-SA"/>
    </w:rPr>
  </w:style>
  <w:style w:type="paragraph" w:customStyle="1" w:styleId="38">
    <w:name w:val="样式 12 10 磅"/>
    <w:pPr>
      <w:widowControl w:val="0"/>
      <w:jc w:val="both"/>
    </w:pPr>
    <w:rPr>
      <w:rFonts w:ascii="Calibri" w:eastAsia="宋体" w:cs="Arial" w:hAnsi="Calibri"/>
      <w:kern w:val="2"/>
      <w:sz w:val="21"/>
      <w:szCs w:val="24"/>
      <w:lang w:val="en-US" w:eastAsia="zh-CN" w:bidi="ar-SA"/>
    </w:rPr>
  </w:style>
  <w:style w:type="paragraph" w:customStyle="1" w:styleId="39">
    <w:name w:val="样式 13 10 磅"/>
    <w:pPr>
      <w:widowControl w:val="0"/>
      <w:jc w:val="both"/>
    </w:pPr>
    <w:rPr>
      <w:rFonts w:ascii="Calibri" w:eastAsia="宋体" w:cs="Arial" w:hAnsi="Calibri"/>
      <w:kern w:val="2"/>
      <w:sz w:val="21"/>
      <w:szCs w:val="24"/>
      <w:lang w:val="en-US" w:eastAsia="zh-CN" w:bidi="ar-SA"/>
    </w:rPr>
  </w:style>
  <w:style w:type="paragraph" w:customStyle="1" w:styleId="40">
    <w:name w:val="样式 14 10 磅"/>
    <w:pPr>
      <w:widowControl w:val="0"/>
      <w:jc w:val="both"/>
    </w:pPr>
    <w:rPr>
      <w:rFonts w:ascii="Calibri" w:eastAsia="宋体" w:cs="Arial" w:hAnsi="Calibri"/>
      <w:kern w:val="2"/>
      <w:sz w:val="21"/>
      <w:szCs w:val="24"/>
      <w:lang w:val="en-US" w:eastAsia="zh-CN" w:bidi="ar-SA"/>
    </w:rPr>
  </w:style>
  <w:style w:type="paragraph" w:customStyle="1" w:styleId="41">
    <w:name w:val="样式 15 10 磅"/>
    <w:pPr>
      <w:widowControl w:val="0"/>
      <w:jc w:val="both"/>
    </w:pPr>
    <w:rPr>
      <w:rFonts w:ascii="Calibri" w:eastAsia="宋体" w:cs="Arial" w:hAnsi="Calibri"/>
      <w:kern w:val="2"/>
      <w:sz w:val="21"/>
      <w:szCs w:val="24"/>
      <w:lang w:val="en-US" w:eastAsia="zh-CN" w:bidi="ar-SA"/>
    </w:rPr>
  </w:style>
  <w:style w:type="paragraph" w:customStyle="1" w:styleId="42">
    <w:name w:val="样式 16 10 磅"/>
    <w:pPr>
      <w:widowControl w:val="0"/>
      <w:jc w:val="both"/>
    </w:pPr>
    <w:rPr>
      <w:rFonts w:ascii="Calibri" w:eastAsia="宋体" w:cs="Arial" w:hAnsi="Calibri"/>
      <w:kern w:val="2"/>
      <w:sz w:val="21"/>
      <w:szCs w:val="24"/>
      <w:lang w:val="en-US" w:eastAsia="zh-CN" w:bidi="ar-SA"/>
    </w:rPr>
  </w:style>
  <w:style w:type="paragraph" w:customStyle="1" w:styleId="43">
    <w:name w:val="样式 17 10 磅"/>
    <w:pPr>
      <w:widowControl w:val="0"/>
      <w:jc w:val="both"/>
    </w:pPr>
    <w:rPr>
      <w:rFonts w:ascii="Calibri" w:eastAsia="宋体" w:cs="Arial" w:hAnsi="Calibri"/>
      <w:kern w:val="2"/>
      <w:sz w:val="21"/>
      <w:szCs w:val="24"/>
      <w:lang w:val="en-US" w:eastAsia="zh-CN" w:bidi="ar-SA"/>
    </w:rPr>
  </w:style>
  <w:style w:type="paragraph" w:customStyle="1" w:styleId="44">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5">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6">
    <w:name w:val="样式 18 10 磅"/>
    <w:next w:val="29"/>
    <w:pPr>
      <w:widowControl w:val="0"/>
      <w:jc w:val="both"/>
    </w:pPr>
    <w:rPr>
      <w:rFonts w:ascii="Times New Roman" w:eastAsia="宋体" w:cs="Times New Roman" w:hAnsi="Times New Roman"/>
      <w:kern w:val="2"/>
      <w:sz w:val="21"/>
      <w:szCs w:val="21"/>
      <w:lang w:val="en-US" w:eastAsia="zh-CN" w:bidi="ar-SA"/>
    </w:rPr>
  </w:style>
  <w:style w:type="paragraph" w:customStyle="1" w:styleId="47">
    <w:name w:val="样式 19 10 磅"/>
    <w:pPr>
      <w:widowControl w:val="0"/>
      <w:jc w:val="both"/>
    </w:pPr>
    <w:rPr>
      <w:rFonts w:ascii="Calibri" w:eastAsia="宋体" w:cs="Arial" w:hAnsi="Calibri"/>
      <w:kern w:val="2"/>
      <w:sz w:val="21"/>
      <w:szCs w:val="24"/>
      <w:lang w:val="en-US" w:eastAsia="zh-CN" w:bidi="ar-SA"/>
    </w:rPr>
  </w:style>
  <w:style w:type="paragraph" w:customStyle="1" w:styleId="48">
    <w:name w:val="样式 20 10 磅"/>
    <w:pPr>
      <w:widowControl w:val="0"/>
      <w:jc w:val="both"/>
    </w:pPr>
    <w:rPr>
      <w:rFonts w:ascii="Calibri" w:eastAsia="宋体" w:cs="Arial" w:hAnsi="Calibri"/>
      <w:kern w:val="2"/>
      <w:sz w:val="21"/>
      <w:szCs w:val="24"/>
      <w:lang w:val="en-US" w:eastAsia="zh-CN" w:bidi="ar-SA"/>
    </w:rPr>
  </w:style>
  <w:style w:type="paragraph" w:customStyle="1" w:styleId="49">
    <w:name w:val="样式 21 10 磅"/>
    <w:pPr>
      <w:widowControl w:val="0"/>
      <w:jc w:val="both"/>
    </w:pPr>
    <w:rPr>
      <w:rFonts w:ascii="Calibri" w:eastAsia="宋体" w:cs="Arial" w:hAnsi="Calibri"/>
      <w:kern w:val="2"/>
      <w:sz w:val="21"/>
      <w:szCs w:val="24"/>
      <w:lang w:val="en-US" w:eastAsia="zh-CN" w:bidi="ar-SA"/>
    </w:rPr>
  </w:style>
  <w:style w:type="paragraph" w:customStyle="1" w:styleId="50">
    <w:name w:val="样式 22 10 磅"/>
    <w:pPr>
      <w:widowControl w:val="0"/>
      <w:jc w:val="both"/>
    </w:pPr>
    <w:rPr>
      <w:rFonts w:ascii="Calibri" w:eastAsia="宋体" w:cs="Arial" w:hAnsi="Calibri"/>
      <w:kern w:val="2"/>
      <w:sz w:val="21"/>
      <w:szCs w:val="24"/>
      <w:lang w:val="en-US" w:eastAsia="zh-CN" w:bidi="ar-SA"/>
    </w:rPr>
  </w:style>
  <w:style w:type="paragraph" w:customStyle="1" w:styleId="51">
    <w:name w:val="样式 小四"/>
    <w:pPr>
      <w:widowControl w:val="0"/>
    </w:pPr>
    <w:rPr>
      <w:rFonts w:ascii="宋体" w:eastAsia="宋体" w:cs="Times New Roman"/>
      <w:kern w:val="2"/>
      <w:sz w:val="24"/>
      <w:szCs w:val="21"/>
      <w:lang w:val="en-US" w:eastAsia="zh-CN" w:bidi="ar-SA"/>
    </w:rPr>
  </w:style>
  <w:style w:type="paragraph" w:customStyle="1" w:styleId="52">
    <w:name w:val="样式 23 10 磅"/>
    <w:pPr>
      <w:widowControl w:val="0"/>
      <w:jc w:val="both"/>
    </w:pPr>
    <w:rPr>
      <w:rFonts w:ascii="Calibri" w:eastAsia="宋体" w:cs="Arial" w:hAnsi="Calibri"/>
      <w:kern w:val="2"/>
      <w:sz w:val="21"/>
      <w:szCs w:val="24"/>
      <w:lang w:val="en-US" w:eastAsia="zh-CN" w:bidi="ar-SA"/>
    </w:rPr>
  </w:style>
  <w:style w:type="paragraph" w:customStyle="1" w:styleId="53">
    <w:name w:val="样式 24 10 磅"/>
    <w:pPr>
      <w:widowControl w:val="0"/>
      <w:jc w:val="both"/>
    </w:pPr>
    <w:rPr>
      <w:rFonts w:ascii="Calibri" w:eastAsia="宋体" w:cs="Arial" w:hAnsi="Calibri"/>
      <w:kern w:val="2"/>
      <w:sz w:val="21"/>
      <w:szCs w:val="24"/>
      <w:lang w:val="en-US" w:eastAsia="zh-CN" w:bidi="ar-SA"/>
    </w:rPr>
  </w:style>
  <w:style w:type="paragraph" w:customStyle="1" w:styleId="54">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5">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6">
    <w:name w:val="样式 25 10 磅"/>
    <w:pPr>
      <w:widowControl w:val="0"/>
      <w:jc w:val="both"/>
    </w:pPr>
    <w:rPr>
      <w:rFonts w:ascii="Calibri" w:eastAsia="宋体" w:cs="Arial" w:hAnsi="Calibri"/>
      <w:kern w:val="2"/>
      <w:sz w:val="21"/>
      <w:szCs w:val="24"/>
      <w:lang w:val="en-US" w:eastAsia="zh-CN" w:bidi="ar-SA"/>
    </w:rPr>
  </w:style>
  <w:style w:type="paragraph" w:customStyle="1" w:styleId="57">
    <w:name w:val="样式 26 10 磅"/>
    <w:pPr>
      <w:widowControl w:val="0"/>
      <w:jc w:val="both"/>
    </w:pPr>
    <w:rPr>
      <w:rFonts w:ascii="Calibri" w:eastAsia="宋体" w:cs="Arial" w:hAnsi="Calibri"/>
      <w:kern w:val="2"/>
      <w:sz w:val="21"/>
      <w:szCs w:val="24"/>
      <w:lang w:val="en-US" w:eastAsia="zh-CN" w:bidi="ar-SA"/>
    </w:rPr>
  </w:style>
  <w:style w:type="paragraph" w:customStyle="1" w:styleId="58">
    <w:name w:val="样式 27 10 磅"/>
    <w:pPr>
      <w:widowControl w:val="0"/>
      <w:jc w:val="both"/>
    </w:pPr>
    <w:rPr>
      <w:rFonts w:ascii="Calibri" w:eastAsia="宋体" w:cs="Times New Roman" w:hAnsi="Calibri"/>
      <w:kern w:val="2"/>
      <w:sz w:val="21"/>
      <w:szCs w:val="22"/>
      <w:lang w:val="en-US" w:eastAsia="zh-CN" w:bidi="ar-SA"/>
    </w:rPr>
  </w:style>
  <w:style w:type="paragraph" w:customStyle="1" w:styleId="59">
    <w:name w:val="样式 28 10 磅"/>
    <w:pPr>
      <w:widowControl w:val="0"/>
      <w:jc w:val="both"/>
    </w:pPr>
    <w:rPr>
      <w:rFonts w:ascii="Calibri" w:eastAsia="宋体" w:cs="Times New Roman" w:hAnsi="Calibri"/>
      <w:kern w:val="2"/>
      <w:sz w:val="21"/>
      <w:szCs w:val="22"/>
      <w:lang w:val="en-US" w:eastAsia="zh-CN" w:bidi="ar-SA"/>
    </w:rPr>
  </w:style>
  <w:style w:type="paragraph" w:customStyle="1" w:styleId="60">
    <w:name w:val="样式 29 10 磅"/>
    <w:pPr>
      <w:widowControl w:val="0"/>
      <w:jc w:val="both"/>
    </w:pPr>
    <w:rPr>
      <w:rFonts w:ascii="Calibri" w:eastAsia="宋体" w:cs="Arial" w:hAnsi="Calibri"/>
      <w:kern w:val="2"/>
      <w:sz w:val="21"/>
      <w:szCs w:val="24"/>
      <w:lang w:val="en-US" w:eastAsia="zh-CN" w:bidi="ar-SA"/>
    </w:rPr>
  </w:style>
  <w:style w:type="paragraph" w:customStyle="1" w:styleId="61">
    <w:name w:val="样式 30 10 磅"/>
    <w:pPr>
      <w:widowControl w:val="0"/>
      <w:jc w:val="both"/>
    </w:pPr>
    <w:rPr>
      <w:rFonts w:ascii="Calibri" w:eastAsia="宋体" w:cs="Arial" w:hAnsi="Calibri"/>
      <w:kern w:val="2"/>
      <w:sz w:val="21"/>
      <w:szCs w:val="24"/>
      <w:lang w:val="en-US" w:eastAsia="zh-CN" w:bidi="ar-SA"/>
    </w:rPr>
  </w:style>
  <w:style w:type="paragraph" w:customStyle="1" w:styleId="62">
    <w:name w:val="样式 31 10 磅"/>
    <w:pPr>
      <w:widowControl w:val="0"/>
      <w:jc w:val="both"/>
    </w:pPr>
    <w:rPr>
      <w:rFonts w:ascii="Calibri" w:eastAsia="宋体" w:cs="Arial" w:hAnsi="Calibri"/>
      <w:kern w:val="2"/>
      <w:sz w:val="21"/>
      <w:szCs w:val="24"/>
      <w:lang w:val="en-US" w:eastAsia="zh-CN" w:bidi="ar-SA"/>
    </w:rPr>
  </w:style>
  <w:style w:type="paragraph" w:customStyle="1" w:styleId="63">
    <w:name w:val="样式 32 10 磅"/>
    <w:pPr>
      <w:widowControl w:val="0"/>
      <w:jc w:val="both"/>
    </w:pPr>
    <w:rPr>
      <w:rFonts w:ascii="Calibri" w:eastAsia="宋体" w:cs="Arial" w:hAnsi="Calibri"/>
      <w:kern w:val="2"/>
      <w:sz w:val="21"/>
      <w:szCs w:val="24"/>
      <w:lang w:val="en-US" w:eastAsia="zh-CN" w:bidi="ar-SA"/>
    </w:rPr>
  </w:style>
  <w:style w:type="paragraph" w:customStyle="1" w:styleId="64">
    <w:name w:val="样式 33 10 磅"/>
    <w:pPr>
      <w:widowControl w:val="0"/>
      <w:jc w:val="both"/>
    </w:pPr>
    <w:rPr>
      <w:rFonts w:ascii="Times New Roman" w:eastAsia="宋体" w:cs="Times New Roman" w:hAnsi="Times New Roman"/>
      <w:kern w:val="2"/>
      <w:sz w:val="21"/>
      <w:szCs w:val="21"/>
      <w:lang w:val="en-US" w:eastAsia="zh-CN" w:bidi="ar-SA"/>
    </w:rPr>
  </w:style>
  <w:style w:type="paragraph" w:customStyle="1" w:styleId="65">
    <w:name w:val="样式 34 10 磅"/>
    <w:pPr>
      <w:widowControl w:val="0"/>
      <w:jc w:val="both"/>
    </w:pPr>
    <w:rPr>
      <w:rFonts w:ascii="Calibri" w:eastAsia="宋体" w:cs="Arial" w:hAnsi="Calibri"/>
      <w:kern w:val="2"/>
      <w:sz w:val="21"/>
      <w:szCs w:val="24"/>
      <w:lang w:val="en-US" w:eastAsia="zh-CN" w:bidi="ar-SA"/>
    </w:rPr>
  </w:style>
  <w:style w:type="paragraph" w:customStyle="1" w:styleId="66">
    <w:name w:val="样式 1 小四"/>
    <w:pPr>
      <w:widowControl w:val="0"/>
    </w:pPr>
    <w:rPr>
      <w:rFonts w:ascii="宋体" w:eastAsia="宋体" w:cs="Times New Roman"/>
      <w:kern w:val="2"/>
      <w:sz w:val="24"/>
      <w:szCs w:val="21"/>
      <w:lang w:val="en-US" w:eastAsia="zh-CN" w:bidi="ar-SA"/>
    </w:rPr>
  </w:style>
  <w:style w:type="paragraph" w:customStyle="1" w:styleId="67">
    <w:name w:val="样式 35 10 磅"/>
    <w:pPr>
      <w:widowControl w:val="0"/>
      <w:jc w:val="both"/>
    </w:pPr>
    <w:rPr>
      <w:rFonts w:ascii="Calibri" w:eastAsia="宋体" w:cs="Arial" w:hAnsi="Calibri"/>
      <w:kern w:val="2"/>
      <w:sz w:val="21"/>
      <w:szCs w:val="24"/>
      <w:lang w:val="en-US" w:eastAsia="zh-CN" w:bidi="ar-SA"/>
    </w:rPr>
  </w:style>
  <w:style w:type="paragraph" w:customStyle="1" w:styleId="68">
    <w:name w:val="样式 36 10 磅"/>
    <w:next w:val="65"/>
    <w:pPr>
      <w:widowControl w:val="0"/>
      <w:jc w:val="both"/>
    </w:pPr>
    <w:rPr>
      <w:rFonts w:ascii="Calibri" w:eastAsia="宋体" w:cs="Arial" w:hAnsi="Calibri"/>
      <w:kern w:val="2"/>
      <w:sz w:val="21"/>
      <w:szCs w:val="24"/>
      <w:lang w:val="en-US" w:eastAsia="zh-CN" w:bidi="ar-SA"/>
    </w:rPr>
  </w:style>
  <w:style w:type="paragraph" w:customStyle="1" w:styleId="69">
    <w:name w:val="样式 2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0">
    <w:name w:val="样式 3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1">
    <w:name w:val="样式 4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2">
    <w:name w:val="样式 5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3">
    <w:name w:val="样式 6 小四"/>
    <w:pPr>
      <w:widowControl w:val="0"/>
    </w:pPr>
    <w:rPr>
      <w:rFonts w:ascii="宋体" w:eastAsia="宋体" w:cs="Times New Roman"/>
      <w:kern w:val="2"/>
      <w:sz w:val="24"/>
      <w:szCs w:val="21"/>
      <w:lang w:val="en-US" w:eastAsia="zh-CN" w:bidi="ar-SA"/>
    </w:rPr>
  </w:style>
  <w:style w:type="paragraph" w:customStyle="1" w:styleId="74">
    <w:name w:val="样式 7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5">
    <w:name w:val="样式 8 小四"/>
    <w:pPr>
      <w:widowControl w:val="0"/>
    </w:pPr>
    <w:rPr>
      <w:rFonts w:ascii="宋体" w:eastAsia="宋体" w:cs="Times New Roman"/>
      <w:kern w:val="2"/>
      <w:sz w:val="24"/>
      <w:szCs w:val="21"/>
      <w:lang w:val="en-US" w:eastAsia="zh-CN" w:bidi="ar-SA"/>
    </w:rPr>
  </w:style>
  <w:style w:type="paragraph" w:customStyle="1" w:styleId="76">
    <w:name w:val="样式 9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7">
    <w:name w:val="样式 10 小四"/>
    <w:pPr>
      <w:widowControl w:val="0"/>
    </w:pPr>
    <w:rPr>
      <w:rFonts w:ascii="宋体" w:eastAsia="宋体" w:cs="Times New Roman"/>
      <w:kern w:val="2"/>
      <w:sz w:val="24"/>
      <w:szCs w:val="21"/>
      <w:lang w:val="en-US" w:eastAsia="zh-CN" w:bidi="ar-SA"/>
    </w:rPr>
  </w:style>
  <w:style w:type="paragraph" w:customStyle="1" w:styleId="78">
    <w:name w:val="样式 11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9">
    <w:name w:val="样式 12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0">
    <w:name w:val="样式 13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1">
    <w:name w:val="样式 37 10 磅"/>
    <w:pPr>
      <w:widowControl w:val="0"/>
      <w:jc w:val="both"/>
    </w:pPr>
    <w:rPr>
      <w:rFonts w:ascii="Calibri" w:eastAsia="宋体" w:cs="Arial" w:hAnsi="Calibri"/>
      <w:kern w:val="2"/>
      <w:sz w:val="21"/>
      <w:szCs w:val="24"/>
      <w:lang w:val="en-US" w:eastAsia="zh-CN" w:bidi="ar-SA"/>
    </w:rPr>
  </w:style>
  <w:style w:type="paragraph" w:customStyle="1" w:styleId="82">
    <w:name w:val="样式 54 10 磅"/>
    <w:next w:val="21"/>
    <w:pPr>
      <w:widowControl w:val="0"/>
      <w:jc w:val="both"/>
    </w:pPr>
    <w:rPr>
      <w:rFonts w:ascii="Calibri" w:eastAsia="宋体" w:cs="Arial" w:hAnsi="Calibri"/>
      <w:kern w:val="2"/>
      <w:sz w:val="21"/>
      <w:szCs w:val="24"/>
      <w:lang w:val="en-US" w:eastAsia="zh-CN" w:bidi="ar-SA"/>
    </w:rPr>
  </w:style>
  <w:style w:type="paragraph" w:customStyle="1" w:styleId="83">
    <w:name w:val="样式 14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4">
    <w:name w:val="样式 15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5">
    <w:name w:val="样式 38 10 磅"/>
    <w:pPr>
      <w:widowControl w:val="0"/>
      <w:jc w:val="both"/>
    </w:pPr>
    <w:rPr>
      <w:rFonts w:ascii="Calibri" w:eastAsia="宋体" w:cs="Arial" w:hAnsi="Calibri"/>
      <w:kern w:val="2"/>
      <w:sz w:val="21"/>
      <w:szCs w:val="24"/>
      <w:lang w:val="en-US" w:eastAsia="zh-CN" w:bidi="ar-SA"/>
    </w:rPr>
  </w:style>
  <w:style w:type="paragraph" w:customStyle="1" w:styleId="86">
    <w:name w:val="样式 39 10 磅"/>
    <w:pPr>
      <w:widowControl w:val="0"/>
    </w:pPr>
    <w:rPr>
      <w:rFonts w:ascii="Calibri" w:eastAsia="宋体" w:cs="Arial" w:hAnsi="Calibri"/>
      <w:kern w:val="2"/>
      <w:sz w:val="21"/>
      <w:szCs w:val="24"/>
      <w:lang w:val="en-US" w:eastAsia="zh-CN" w:bidi="ar-SA"/>
    </w:rPr>
  </w:style>
  <w:style w:type="paragraph" w:customStyle="1" w:styleId="87">
    <w:name w:val="样式 40 10 磅"/>
    <w:pPr>
      <w:widowControl w:val="0"/>
    </w:pPr>
    <w:rPr>
      <w:rFonts w:ascii="Calibri" w:eastAsia="宋体" w:cs="Arial" w:hAnsi="Calibri"/>
      <w:kern w:val="2"/>
      <w:sz w:val="21"/>
      <w:szCs w:val="24"/>
      <w:lang w:val="en-US" w:eastAsia="zh-CN" w:bidi="ar-SA"/>
    </w:rPr>
  </w:style>
  <w:style w:type="paragraph" w:customStyle="1" w:styleId="88">
    <w:name w:val="样式 41 10 磅"/>
    <w:pPr>
      <w:widowControl w:val="0"/>
    </w:pPr>
    <w:rPr>
      <w:rFonts w:ascii="Calibri" w:eastAsia="宋体" w:cs="Arial" w:hAnsi="Calibri"/>
      <w:kern w:val="2"/>
      <w:sz w:val="21"/>
      <w:szCs w:val="24"/>
      <w:lang w:val="en-US" w:eastAsia="zh-CN" w:bidi="ar-SA"/>
    </w:rPr>
  </w:style>
  <w:style w:type="paragraph" w:customStyle="1" w:styleId="89">
    <w:name w:val="样式 42 10 磅"/>
    <w:pPr>
      <w:widowControl w:val="0"/>
    </w:pPr>
    <w:rPr>
      <w:rFonts w:ascii="Calibri" w:eastAsia="宋体" w:cs="Arial" w:hAnsi="Calibri"/>
      <w:kern w:val="2"/>
      <w:sz w:val="21"/>
      <w:szCs w:val="24"/>
      <w:lang w:val="en-US" w:eastAsia="zh-CN" w:bidi="ar-SA"/>
    </w:rPr>
  </w:style>
  <w:style w:type="paragraph" w:customStyle="1" w:styleId="90">
    <w:name w:val="样式 43 10 磅"/>
    <w:pPr>
      <w:widowControl w:val="0"/>
      <w:jc w:val="both"/>
    </w:pPr>
    <w:rPr>
      <w:rFonts w:ascii="Calibri" w:eastAsia="宋体" w:cs="Arial" w:hAnsi="Calibri"/>
      <w:kern w:val="2"/>
      <w:sz w:val="21"/>
      <w:szCs w:val="24"/>
      <w:lang w:val="en-US" w:eastAsia="zh-CN" w:bidi="ar-SA"/>
    </w:rPr>
  </w:style>
  <w:style w:type="paragraph" w:customStyle="1" w:styleId="91">
    <w:name w:val="样式 44 10 磅"/>
    <w:pPr>
      <w:widowControl w:val="0"/>
    </w:pPr>
    <w:rPr>
      <w:rFonts w:ascii="Calibri" w:eastAsia="宋体" w:cs="Arial" w:hAnsi="Calibri"/>
      <w:kern w:val="2"/>
      <w:sz w:val="21"/>
      <w:szCs w:val="24"/>
      <w:lang w:val="en-US" w:eastAsia="zh-CN" w:bidi="ar-SA"/>
    </w:rPr>
  </w:style>
  <w:style w:type="paragraph" w:customStyle="1" w:styleId="92">
    <w:name w:val="样式 45 10 磅"/>
    <w:pPr>
      <w:widowControl w:val="0"/>
    </w:pPr>
    <w:rPr>
      <w:rFonts w:ascii="Calibri" w:eastAsia="宋体" w:cs="Arial" w:hAnsi="Calibri"/>
      <w:kern w:val="2"/>
      <w:sz w:val="21"/>
      <w:szCs w:val="24"/>
      <w:lang w:val="en-US" w:eastAsia="zh-CN" w:bidi="ar-SA"/>
    </w:rPr>
  </w:style>
  <w:style w:type="paragraph" w:customStyle="1" w:styleId="93">
    <w:name w:val="样式 16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4">
    <w:name w:val="样式 46 10 磅"/>
    <w:pPr>
      <w:widowControl w:val="0"/>
      <w:jc w:val="both"/>
    </w:pPr>
    <w:rPr>
      <w:rFonts w:ascii="Calibri" w:eastAsia="宋体" w:cs="Arial" w:hAnsi="Calibri"/>
      <w:kern w:val="2"/>
      <w:sz w:val="21"/>
      <w:szCs w:val="24"/>
      <w:lang w:val="en-US" w:eastAsia="zh-CN" w:bidi="ar-SA"/>
    </w:rPr>
  </w:style>
  <w:style w:type="paragraph" w:customStyle="1" w:styleId="95">
    <w:name w:val="样式 17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6">
    <w:name w:val="样式 47 10 磅"/>
    <w:pPr>
      <w:widowControl w:val="0"/>
      <w:jc w:val="both"/>
    </w:pPr>
    <w:rPr>
      <w:rFonts w:ascii="Calibri" w:eastAsia="宋体" w:cs="Arial" w:hAnsi="Calibri"/>
      <w:kern w:val="2"/>
      <w:sz w:val="21"/>
      <w:szCs w:val="24"/>
      <w:lang w:val="en-US" w:eastAsia="zh-CN" w:bidi="ar-SA"/>
    </w:rPr>
  </w:style>
  <w:style w:type="paragraph" w:customStyle="1" w:styleId="97">
    <w:name w:val="样式 18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8">
    <w:name w:val="样式 48 10 磅"/>
    <w:pPr>
      <w:widowControl w:val="0"/>
      <w:jc w:val="both"/>
    </w:pPr>
    <w:rPr>
      <w:rFonts w:ascii="Calibri" w:eastAsia="宋体" w:cs="Arial" w:hAnsi="Calibri"/>
      <w:kern w:val="2"/>
      <w:sz w:val="21"/>
      <w:szCs w:val="24"/>
      <w:lang w:val="en-US" w:eastAsia="zh-CN" w:bidi="ar-SA"/>
    </w:rPr>
  </w:style>
  <w:style w:type="paragraph" w:customStyle="1" w:styleId="99">
    <w:name w:val="样式 49 10 磅"/>
    <w:pPr>
      <w:widowControl w:val="0"/>
      <w:jc w:val="both"/>
    </w:pPr>
    <w:rPr>
      <w:rFonts w:ascii="Calibri" w:eastAsia="宋体" w:cs="Arial" w:hAnsi="Calibri"/>
      <w:kern w:val="2"/>
      <w:sz w:val="21"/>
      <w:szCs w:val="24"/>
      <w:lang w:val="en-US" w:eastAsia="zh-CN" w:bidi="ar-SA"/>
    </w:rPr>
  </w:style>
  <w:style w:type="paragraph" w:customStyle="1" w:styleId="100">
    <w:name w:val="样式 50 10 磅"/>
    <w:pPr>
      <w:widowControl w:val="0"/>
      <w:jc w:val="both"/>
    </w:pPr>
    <w:rPr>
      <w:rFonts w:ascii="Calibri" w:eastAsia="宋体" w:cs="Arial" w:hAnsi="Calibri"/>
      <w:kern w:val="2"/>
      <w:sz w:val="21"/>
      <w:szCs w:val="24"/>
      <w:lang w:val="en-US" w:eastAsia="zh-CN" w:bidi="ar-SA"/>
    </w:rPr>
  </w:style>
  <w:style w:type="paragraph" w:customStyle="1" w:styleId="101">
    <w:name w:val="样式 51 10 磅"/>
    <w:pPr>
      <w:widowControl w:val="0"/>
      <w:jc w:val="both"/>
    </w:pPr>
    <w:rPr>
      <w:rFonts w:ascii="Calibri" w:eastAsia="宋体" w:cs="Arial" w:hAnsi="Calibri"/>
      <w:kern w:val="2"/>
      <w:sz w:val="21"/>
      <w:szCs w:val="24"/>
      <w:lang w:val="en-US" w:eastAsia="zh-CN" w:bidi="ar-SA"/>
    </w:rPr>
  </w:style>
  <w:style w:type="paragraph" w:customStyle="1" w:styleId="102">
    <w:name w:val="样式 52 10 磅"/>
    <w:pPr>
      <w:widowControl w:val="0"/>
      <w:jc w:val="both"/>
    </w:pPr>
    <w:rPr>
      <w:rFonts w:ascii="Calibri" w:eastAsia="宋体" w:cs="Arial" w:hAnsi="Calibri"/>
      <w:kern w:val="2"/>
      <w:sz w:val="21"/>
      <w:szCs w:val="24"/>
      <w:lang w:val="en-US" w:eastAsia="zh-CN" w:bidi="ar-SA"/>
    </w:rPr>
  </w:style>
  <w:style w:type="paragraph" w:customStyle="1" w:styleId="103">
    <w:name w:val="样式 53 10 磅"/>
    <w:pPr>
      <w:widowControl w:val="0"/>
      <w:jc w:val="both"/>
    </w:pPr>
    <w:rPr>
      <w:rFonts w:ascii="Calibri" w:eastAsia="宋体" w:cs="Arial" w:hAnsi="Calibri"/>
      <w:kern w:val="2"/>
      <w:sz w:val="21"/>
      <w:szCs w:val="24"/>
      <w:lang w:val="en-US" w:eastAsia="zh-CN" w:bidi="ar-SA"/>
    </w:rPr>
  </w:style>
  <w:style w:type="paragraph" w:customStyle="1" w:styleId="104">
    <w:name w:val="样式 55 10 磅"/>
    <w:pPr>
      <w:widowControl w:val="0"/>
      <w:jc w:val="both"/>
    </w:pPr>
    <w:rPr>
      <w:rFonts w:ascii="Calibri" w:eastAsia="宋体" w:cs="Arial" w:hAnsi="Calibri"/>
      <w:kern w:val="2"/>
      <w:sz w:val="21"/>
      <w:szCs w:val="24"/>
      <w:lang w:val="en-US" w:eastAsia="zh-CN" w:bidi="ar-SA"/>
    </w:rPr>
  </w:style>
  <w:style w:type="paragraph" w:customStyle="1" w:styleId="105">
    <w:name w:val="样式 56 10 磅"/>
    <w:pPr>
      <w:widowControl w:val="0"/>
      <w:jc w:val="both"/>
    </w:pPr>
    <w:rPr>
      <w:rFonts w:ascii="Calibri" w:eastAsia="宋体" w:cs="Arial" w:hAnsi="Calibri"/>
      <w:kern w:val="2"/>
      <w:sz w:val="21"/>
      <w:szCs w:val="24"/>
      <w:lang w:val="en-US" w:eastAsia="zh-CN" w:bidi="ar-SA"/>
    </w:rPr>
  </w:style>
  <w:style w:type="paragraph" w:customStyle="1" w:styleId="106">
    <w:name w:val="样式 57 10 磅"/>
    <w:pPr>
      <w:widowControl w:val="0"/>
      <w:jc w:val="both"/>
    </w:pPr>
    <w:rPr>
      <w:rFonts w:ascii="Calibri" w:eastAsia="宋体" w:cs="Arial" w:hAnsi="Calibri"/>
      <w:kern w:val="2"/>
      <w:sz w:val="21"/>
      <w:szCs w:val="24"/>
      <w:lang w:val="en-US" w:eastAsia="zh-CN" w:bidi="ar-SA"/>
    </w:rPr>
  </w:style>
  <w:style w:type="paragraph" w:customStyle="1" w:styleId="107">
    <w:name w:val="样式 58 10 磅"/>
    <w:pPr>
      <w:widowControl w:val="0"/>
      <w:jc w:val="both"/>
    </w:pPr>
    <w:rPr>
      <w:rFonts w:ascii="Calibri" w:eastAsia="宋体" w:cs="Arial" w:hAnsi="Calibri"/>
      <w:kern w:val="2"/>
      <w:sz w:val="21"/>
      <w:szCs w:val="24"/>
      <w:lang w:val="en-US" w:eastAsia="zh-CN" w:bidi="ar-SA"/>
    </w:rPr>
  </w:style>
  <w:style w:type="character" w:styleId="108">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93</TotalTime>
  <Application>Yozo_Office</Application>
  <Pages>7</Pages>
  <Words>3288</Words>
  <Characters>3371</Characters>
  <Lines>59</Lines>
  <Paragraphs>62</Paragraphs>
  <CharactersWithSpaces>3398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付玮</cp:lastModifiedBy>
  <cp:revision>8</cp:revision>
  <cp:lastPrinted>2026-06-04T07:02:00Z</cp:lastPrinted>
  <dcterms:created xsi:type="dcterms:W3CDTF">2026-06-04T07:16:00Z</dcterms:created>
  <dcterms:modified xsi:type="dcterms:W3CDTF">2026-06-15T09:41:48Z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D68DD73654E24520A45C7463E354BE99_13</vt:lpwstr>
  </property>
  <property fmtid="{D5CDD505-2E9C-101B-9397-08002B2CF9AE}" pid="4" name="KSOTemplateDocerSaveRecord">
    <vt:lpwstr>eyJoZGlkIjoiMDRhYjQ2MmQ4YWM2OTJjNDIzYzlhMGQ1YTBjNTk1M2UiLCJ1c2VySWQiOiIyODk3MjQzNDQifQ==</vt:lpwstr>
  </property>
</Properties>
</file>