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方正小标宋_GBK" w:eastAsia="方正小标宋_GBK" w:cs="方正小标宋_GBK"/>
          <w:sz w:val="44"/>
          <w:szCs w:val="44"/>
        </w:rPr>
      </w:pPr>
      <w:bookmarkStart w:id="0" w:name="_GoBack"/>
      <w:bookmarkEnd w:id="0"/>
      <w:r>
        <w:rPr>
          <w:rFonts w:ascii="方正小标宋_GBK" w:eastAsia="方正小标宋_GBK" w:cs="方正小标宋_GBK" w:hint="eastAsia"/>
          <w:sz w:val="44"/>
          <w:szCs w:val="44"/>
        </w:rPr>
        <w:t>比选采购需求书（B版）</w:t>
      </w:r>
    </w:p>
    <w:tbl>
      <w:tblPr>
        <w:jc w:val="lef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70"/>
        <w:gridCol w:w="6852"/>
      </w:tblGrid>
      <w:tr>
        <w:tc>
          <w:tcPr>
            <w:tcW w:w="8522" w:type="dxa"/>
            <w:gridSpan w:val="2"/>
            <w:vAlign w:val="center"/>
          </w:tcPr>
          <w:p>
            <w:pPr>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基础信息栏</w:t>
            </w:r>
          </w:p>
        </w:tc>
      </w:tr>
      <w:tr>
        <w:tc>
          <w:tcPr>
            <w:tcW w:w="1670"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项目名称</w:t>
            </w:r>
          </w:p>
        </w:tc>
        <w:tc>
          <w:tcPr>
            <w:tcW w:w="6852"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二连浩特国际旅行卫生保健中心</w:t>
            </w:r>
            <w:r>
              <w:rPr>
                <w:rFonts w:ascii="方正仿宋_GBK" w:eastAsia="方正仿宋_GBK" w:cs="方正仿宋_GBK" w:hint="eastAsia"/>
                <w:sz w:val="28"/>
                <w:szCs w:val="28"/>
                <w:lang w:val="en-US" w:eastAsia="zh-CN"/>
              </w:rPr>
              <w:t>核酸检测试剂</w:t>
            </w:r>
            <w:r>
              <w:rPr>
                <w:rFonts w:ascii="方正仿宋_GBK" w:eastAsia="方正仿宋_GBK" w:cs="方正仿宋_GBK" w:hint="eastAsia"/>
                <w:sz w:val="28"/>
                <w:szCs w:val="28"/>
              </w:rPr>
              <w:t>采购项目</w:t>
            </w:r>
          </w:p>
        </w:tc>
      </w:tr>
      <w:tr>
        <w:tc>
          <w:tcPr>
            <w:tcW w:w="1670"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采购预算</w:t>
            </w:r>
          </w:p>
        </w:tc>
        <w:tc>
          <w:tcPr>
            <w:tcW w:w="6852" w:type="dxa"/>
            <w:vAlign w:val="center"/>
          </w:tcPr>
          <w:p>
            <w:pPr>
              <w:spacing w:line="560" w:lineRule="exact"/>
              <w:jc w:val="center"/>
              <w:rPr>
                <w:rFonts w:ascii="方正仿宋_GBK" w:eastAsia="方正仿宋_GBK" w:cs="方正仿宋_GBK" w:hint="eastAsia"/>
                <w:sz w:val="28"/>
                <w:szCs w:val="28"/>
                <w:lang w:eastAsia="zh-CN"/>
              </w:rPr>
            </w:pPr>
            <w:r>
              <w:rPr>
                <w:rFonts w:ascii="方正仿宋_GBK" w:eastAsia="方正仿宋_GBK" w:cs="方正仿宋_GBK" w:hint="eastAsia"/>
                <w:sz w:val="28"/>
                <w:szCs w:val="28"/>
                <w:lang w:val="en-US" w:eastAsia="zh-CN"/>
              </w:rPr>
              <w:t>200000</w:t>
            </w:r>
            <w:r>
              <w:rPr>
                <w:rFonts w:ascii="方正仿宋_GBK" w:eastAsia="方正仿宋_GBK" w:cs="方正仿宋_GBK" w:hint="eastAsia"/>
                <w:sz w:val="28"/>
                <w:szCs w:val="28"/>
              </w:rPr>
              <w:t>元</w:t>
            </w:r>
          </w:p>
        </w:tc>
      </w:tr>
      <w:tr>
        <w:tc>
          <w:tcPr>
            <w:tcW w:w="1670"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评审方法</w:t>
            </w:r>
          </w:p>
        </w:tc>
        <w:tc>
          <w:tcPr>
            <w:tcW w:w="6852" w:type="dxa"/>
            <w:vAlign w:val="center"/>
          </w:tcPr>
          <w:p>
            <w:pPr>
              <w:pStyle w:val="27"/>
              <w:jc w:val="left"/>
              <w:rPr>
                <w:rFonts w:ascii="方正仿宋_GBK" w:eastAsia="方正仿宋_GBK" w:cs="方正仿宋_GBK"/>
                <w:sz w:val="28"/>
                <w:szCs w:val="28"/>
              </w:rPr>
            </w:pPr>
            <w:r>
              <w:rPr>
                <w:rFonts w:ascii="方正仿宋_GBK" w:eastAsia="方正仿宋_GBK" w:cs="方正仿宋_GBK" w:hint="eastAsia"/>
                <w:sz w:val="28"/>
                <w:szCs w:val="28"/>
              </w:rPr>
              <w:t>最低价法</w:t>
            </w:r>
          </w:p>
        </w:tc>
      </w:tr>
      <w:tr>
        <w:tc>
          <w:tcPr>
            <w:tcW w:w="8522" w:type="dxa"/>
            <w:gridSpan w:val="2"/>
            <w:vAlign w:val="center"/>
          </w:tcPr>
          <w:p>
            <w:pPr>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详细需求栏</w:t>
            </w:r>
          </w:p>
        </w:tc>
      </w:tr>
      <w:tr>
        <w:trPr>
          <w:trHeight w:val="2000"/>
        </w:trPr>
        <w:tc>
          <w:tcPr>
            <w:tcW w:w="1670"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说明</w:t>
            </w:r>
          </w:p>
        </w:tc>
        <w:tc>
          <w:tcPr>
            <w:tcW w:w="6852" w:type="dxa"/>
            <w:vAlign w:val="center"/>
          </w:tcPr>
          <w:p>
            <w:pPr>
              <w:spacing w:line="400" w:lineRule="exact"/>
              <w:rPr>
                <w:rFonts w:ascii="Times New Roman" w:eastAsia="方正仿宋_GBK" w:cs="Times New Roman" w:hAnsi="Times New Roman"/>
                <w:sz w:val="28"/>
                <w:szCs w:val="28"/>
              </w:rPr>
            </w:pPr>
            <w:r>
              <w:rPr>
                <w:rFonts w:ascii="Times New Roman" w:eastAsia="方正仿宋_GBK" w:cs="Times New Roman" w:hAnsi="Times New Roman"/>
                <w:sz w:val="28"/>
                <w:szCs w:val="28"/>
              </w:rPr>
              <w:t>1.不满足资格条件的响应文件将按无效响应文件处理。</w:t>
            </w:r>
          </w:p>
          <w:p>
            <w:pPr>
              <w:spacing w:line="400" w:lineRule="exact"/>
              <w:rPr>
                <w:rFonts w:ascii="方正仿宋_GBK" w:eastAsia="方正仿宋_GBK" w:cs="方正仿宋_GBK" w:hint="eastAsia"/>
                <w:sz w:val="28"/>
                <w:szCs w:val="28"/>
              </w:rPr>
            </w:pPr>
            <w:r>
              <w:rPr>
                <w:rFonts w:ascii="Times New Roman" w:eastAsia="方正仿宋_GBK" w:cs="Times New Roman" w:hAnsi="Times New Roman"/>
                <w:sz w:val="28"/>
                <w:szCs w:val="28"/>
              </w:rPr>
              <w:t>2.</w:t>
            </w:r>
            <w:r>
              <w:rPr>
                <w:rFonts w:ascii="方正仿宋_GBK" w:eastAsia="方正仿宋_GBK" w:cs="方正仿宋_GBK" w:hint="eastAsia"/>
                <w:sz w:val="28"/>
                <w:szCs w:val="28"/>
              </w:rPr>
              <w:t xml:space="preserve">详细需求栏中所有加“★”项的需求均为实质性要求，不满足实质性要求的响应文件将按无效响应文件处理。 </w:t>
            </w:r>
          </w:p>
          <w:p>
            <w:pPr>
              <w:spacing w:line="400" w:lineRule="exact"/>
              <w:rPr>
                <w:rFonts w:ascii="方正仿宋_GBK" w:eastAsia="方正仿宋_GBK" w:cs="方正仿宋_GBK"/>
                <w:sz w:val="28"/>
                <w:szCs w:val="28"/>
              </w:rPr>
            </w:pPr>
            <w:r>
              <w:rPr>
                <w:rFonts w:ascii="方正仿宋_GBK" w:eastAsia="方正仿宋_GBK" w:cs="方正仿宋_GBK" w:hint="eastAsia"/>
                <w:sz w:val="28"/>
                <w:szCs w:val="28"/>
              </w:rPr>
              <w:t>注：本采购项目为固定单价采购模式，比价方式以各项试剂单价总和进行比价，采购清单以实际发生量乘以</w:t>
            </w:r>
            <w:r>
              <w:rPr>
                <w:rFonts w:ascii="方正仿宋_GBK" w:eastAsia="方正仿宋_GBK" w:cs="方正仿宋_GBK"/>
                <w:sz w:val="28"/>
                <w:szCs w:val="28"/>
              </w:rPr>
              <w:t>供货</w:t>
            </w:r>
            <w:r>
              <w:rPr>
                <w:rFonts w:ascii="方正仿宋_GBK" w:eastAsia="方正仿宋_GBK" w:cs="方正仿宋_GBK" w:hint="eastAsia"/>
                <w:sz w:val="28"/>
                <w:szCs w:val="28"/>
              </w:rPr>
              <w:t>方投标单价进行结算，总额不超过预算资金。</w:t>
            </w:r>
          </w:p>
        </w:tc>
      </w:tr>
      <w:tr>
        <w:trPr>
          <w:trHeight w:val="1488"/>
        </w:trPr>
        <w:tc>
          <w:tcPr>
            <w:tcW w:w="1670"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资格条件</w:t>
            </w:r>
          </w:p>
        </w:tc>
        <w:tc>
          <w:tcPr>
            <w:tcW w:w="6852" w:type="dxa"/>
            <w:vAlign w:val="center"/>
          </w:tcPr>
          <w:p>
            <w:pPr>
              <w:pStyle w:val="44"/>
              <w:spacing w:line="400" w:lineRule="exact"/>
              <w:rPr>
                <w:rFonts w:ascii="Times New Roman" w:eastAsia="方正仿宋_GBK" w:cs="Times New Roman" w:hAnsi="Times New Roman"/>
                <w:sz w:val="28"/>
                <w:szCs w:val="28"/>
              </w:rPr>
            </w:pPr>
            <w:r>
              <w:rPr>
                <w:rFonts w:ascii="Times New Roman" w:eastAsia="方正仿宋_GBK" w:cs="Times New Roman" w:hAnsi="Times New Roman" w:hint="eastAsia"/>
                <w:sz w:val="28"/>
                <w:szCs w:val="28"/>
              </w:rPr>
              <w:t>1.具有独立承担民事责任的能力。</w:t>
            </w:r>
          </w:p>
          <w:p>
            <w:pPr>
              <w:snapToGrid w:val="0"/>
              <w:spacing w:line="400" w:lineRule="exact"/>
              <w:rPr>
                <w:rFonts w:ascii="Times New Roman" w:eastAsia="方正仿宋_GBK" w:cs="Times New Roman" w:hAnsi="Times New Roman" w:hint="eastAsia"/>
                <w:color w:val="auto"/>
                <w:sz w:val="28"/>
                <w:szCs w:val="28"/>
                <w:u w:val="none"/>
              </w:rPr>
            </w:pPr>
            <w:r>
              <w:rPr>
                <w:rFonts w:ascii="Times New Roman" w:eastAsia="方正仿宋_GBK" w:cs="Times New Roman" w:hAnsi="Times New Roman" w:hint="eastAsia"/>
                <w:sz w:val="28"/>
                <w:szCs w:val="28"/>
              </w:rPr>
              <w:t>2</w:t>
            </w:r>
            <w:r>
              <w:rPr>
                <w:rFonts w:ascii="Times New Roman" w:eastAsia="方正仿宋_GBK" w:cs="Times New Roman" w:hAnsi="Times New Roman" w:hint="eastAsia"/>
                <w:color w:val="auto"/>
                <w:sz w:val="28"/>
                <w:szCs w:val="28"/>
                <w:u w:val="none"/>
              </w:rPr>
              <w:t>.</w:t>
            </w:r>
            <w:r>
              <w:rPr>
                <w:rFonts w:ascii="Times New Roman" w:eastAsia="方正仿宋_GBK" w:cs="Times New Roman" w:hAnsi="Times New Roman" w:hint="eastAsia"/>
                <w:i w:val="0"/>
                <w:iCs w:val="0"/>
                <w:caps w:val="0"/>
                <w:smallCaps w:val="0"/>
                <w:color w:val="auto"/>
                <w:spacing w:val="0"/>
                <w:sz w:val="28"/>
                <w:szCs w:val="28"/>
                <w:u w:val="none"/>
                <w:shd w:val="clear" w:color="auto" w:fill="auto"/>
              </w:rPr>
              <w:t>供应商为代理商的须提供与采购产品医疗器械分类等级对应的有效期内的《医疗器械经营许可证》或《医疗器械经营备案凭证》，供应商为生产商的须提供与采购产品医疗器械分类等级对应的有效期内的《医疗器械生产许可证》或《医疗器械生产备案凭证》</w:t>
            </w:r>
            <w:r>
              <w:rPr>
                <w:rFonts w:ascii="Times New Roman" w:eastAsia="方正仿宋_GBK" w:cs="Times New Roman" w:hAnsi="Times New Roman" w:hint="eastAsia"/>
                <w:color w:val="auto"/>
                <w:sz w:val="28"/>
                <w:szCs w:val="28"/>
                <w:u w:val="none"/>
              </w:rPr>
              <w:t>。</w:t>
            </w:r>
          </w:p>
          <w:p>
            <w:pPr>
              <w:spacing w:line="400" w:lineRule="exact"/>
              <w:rPr>
                <w:rFonts w:ascii="Times New Roman" w:eastAsia="方正仿宋_GBK" w:cs="Times New Roman" w:hAnsi="Times New Roman"/>
                <w:sz w:val="28"/>
                <w:szCs w:val="28"/>
              </w:rPr>
            </w:pPr>
            <w:r>
              <w:rPr>
                <w:rFonts w:ascii="Times New Roman" w:eastAsia="方正仿宋_GBK" w:cs="Times New Roman" w:hAnsi="Times New Roman"/>
                <w:sz w:val="28"/>
                <w:szCs w:val="28"/>
              </w:rPr>
              <w:t>3.能够提供不低于国家相关法律法规要求的质量保证。</w:t>
            </w:r>
          </w:p>
          <w:p>
            <w:pPr>
              <w:spacing w:line="400" w:lineRule="exact"/>
              <w:rPr>
                <w:rFonts w:ascii="Times New Roman" w:eastAsia="方正仿宋_GBK" w:cs="Times New Roman" w:hAnsi="Times New Roman"/>
                <w:sz w:val="28"/>
                <w:szCs w:val="28"/>
              </w:rPr>
            </w:pPr>
            <w:r>
              <w:rPr>
                <w:rFonts w:ascii="Times New Roman" w:eastAsia="方正仿宋_GBK" w:cs="Times New Roman" w:hAnsi="Times New Roman"/>
                <w:sz w:val="28"/>
                <w:szCs w:val="28"/>
              </w:rPr>
              <w:t>4.能够及时提供售后服务。</w:t>
            </w:r>
          </w:p>
          <w:p>
            <w:pPr>
              <w:snapToGrid w:val="0"/>
              <w:spacing w:line="400" w:lineRule="exact"/>
              <w:rPr>
                <w:rFonts w:ascii="Times New Roman" w:eastAsia="方正仿宋_GBK" w:cs="Times New Roman" w:hAnsi="Times New Roman" w:hint="eastAsia"/>
                <w:sz w:val="28"/>
                <w:szCs w:val="28"/>
              </w:rPr>
            </w:pPr>
            <w:r>
              <w:rPr>
                <w:rFonts w:ascii="Times New Roman" w:eastAsia="方正仿宋_GBK" w:cs="Times New Roman" w:hAnsi="Times New Roman"/>
                <w:sz w:val="28"/>
                <w:szCs w:val="28"/>
              </w:rPr>
              <w:t>5.试剂的规格符合要求。</w:t>
            </w:r>
          </w:p>
        </w:tc>
      </w:tr>
      <w:tr>
        <w:trPr>
          <w:trHeight w:val="5213"/>
        </w:trPr>
        <w:tc>
          <w:tcPr>
            <w:tcW w:w="1670"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w:t>
            </w:r>
          </w:p>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实质性需求</w:t>
            </w:r>
          </w:p>
        </w:tc>
        <w:tc>
          <w:tcPr>
            <w:tcW w:w="6852" w:type="dxa"/>
          </w:tcPr>
          <w:p>
            <w:pPr>
              <w:pStyle w:val="45"/>
              <w:spacing w:line="360" w:lineRule="exact"/>
              <w:rPr>
                <w:rFonts w:ascii="方正仿宋_GBK" w:eastAsia="方正仿宋_GBK" w:cs="方正仿宋_GBK" w:hint="eastAsia"/>
                <w:sz w:val="28"/>
                <w:szCs w:val="28"/>
              </w:rPr>
            </w:pPr>
            <w:r>
              <w:rPr>
                <w:rFonts w:ascii="方正仿宋_GBK" w:eastAsia="方正仿宋_GBK" w:cs="方正仿宋_GBK" w:hint="eastAsia"/>
                <w:sz w:val="28"/>
                <w:szCs w:val="28"/>
              </w:rPr>
              <w:t>检测试剂采购需求：</w:t>
            </w:r>
          </w:p>
          <w:p>
            <w:pPr>
              <w:pStyle w:val="45"/>
              <w:numPr>
                <w:ilvl w:val="0"/>
                <w:numId w:val="1"/>
              </w:numPr>
              <w:jc w:val="left"/>
              <w:rPr>
                <w:rFonts w:ascii="方正仿宋_GBK" w:eastAsia="方正仿宋_GBK" w:cs="方正仿宋_GBK" w:hint="eastAsia"/>
                <w:sz w:val="28"/>
                <w:szCs w:val="28"/>
              </w:rPr>
            </w:pPr>
            <w:r>
              <w:rPr>
                <w:rFonts w:ascii="方正仿宋_GBK" w:eastAsia="方正仿宋_GBK" w:cs="方正仿宋_GBK" w:hint="eastAsia"/>
                <w:sz w:val="28"/>
                <w:szCs w:val="28"/>
              </w:rPr>
              <w:t>试剂种类见附表</w:t>
            </w:r>
            <w:r>
              <w:rPr>
                <w:rFonts w:ascii="方正仿宋_GBK" w:eastAsia="方正仿宋_GBK" w:cs="方正仿宋_GBK" w:hint="eastAsia"/>
                <w:sz w:val="28"/>
                <w:szCs w:val="28"/>
                <w:lang w:eastAsia="zh-CN"/>
              </w:rPr>
              <w:t>。</w:t>
            </w:r>
          </w:p>
          <w:p>
            <w:pPr>
              <w:pStyle w:val="45"/>
              <w:numPr>
                <w:ilvl w:val="0"/>
                <w:numId w:val="1"/>
              </w:numPr>
              <w:spacing w:line="360" w:lineRule="exact"/>
              <w:rPr>
                <w:rFonts w:ascii="方正仿宋_GBK" w:eastAsia="方正仿宋_GBK" w:cs="方正仿宋_GBK" w:hint="eastAsia"/>
                <w:sz w:val="28"/>
                <w:szCs w:val="28"/>
              </w:rPr>
            </w:pPr>
            <w:r>
              <w:rPr>
                <w:rFonts w:ascii="方正仿宋_GBK" w:eastAsia="方正仿宋_GBK" w:cs="方正仿宋_GBK" w:hint="eastAsia"/>
                <w:sz w:val="28"/>
                <w:szCs w:val="28"/>
              </w:rPr>
              <w:t>付款条件：</w:t>
            </w:r>
          </w:p>
          <w:p>
            <w:pPr>
              <w:pStyle w:val="45"/>
              <w:spacing w:line="360" w:lineRule="exact"/>
              <w:rPr>
                <w:rFonts w:ascii="方正仿宋_GBK" w:eastAsia="方正仿宋_GBK" w:cs="方正仿宋_GBK" w:hint="eastAsia"/>
                <w:sz w:val="28"/>
                <w:szCs w:val="28"/>
              </w:rPr>
            </w:pPr>
            <w:r>
              <w:rPr>
                <w:rFonts w:ascii="方正仿宋_GBK" w:eastAsia="方正仿宋_GBK" w:cs="方正仿宋_GBK" w:hint="eastAsia"/>
                <w:sz w:val="28"/>
                <w:szCs w:val="28"/>
              </w:rPr>
              <w:t xml:space="preserve"> </w:t>
            </w:r>
            <w:r>
              <w:rPr>
                <w:rFonts w:ascii="方正仿宋_GBK" w:eastAsia="方正仿宋_GBK" w:cs="方正仿宋_GBK" w:hint="eastAsia"/>
                <w:sz w:val="28"/>
                <w:szCs w:val="28"/>
                <w:lang w:val="en-US" w:eastAsia="zh-CN"/>
              </w:rPr>
              <w:t xml:space="preserve">  </w:t>
            </w:r>
            <w:r>
              <w:rPr>
                <w:rFonts w:ascii="方正仿宋_GBK" w:eastAsia="方正仿宋_GBK" w:cs="方正仿宋_GBK" w:hint="eastAsia"/>
                <w:sz w:val="28"/>
                <w:szCs w:val="28"/>
              </w:rPr>
              <w:t>验收合格后，以实际供货数量为准结算，试剂耗材交货并经采购方验收合格一个月内付该批次全款，采购方付款前需要供货方开具发票、收据等结算材料。</w:t>
            </w:r>
          </w:p>
          <w:p>
            <w:pPr>
              <w:pStyle w:val="45"/>
              <w:spacing w:line="360" w:lineRule="exact"/>
              <w:rPr>
                <w:rFonts w:ascii="方正仿宋_GBK" w:eastAsia="方正仿宋_GBK" w:cs="方正仿宋_GBK" w:hint="eastAsia"/>
                <w:sz w:val="28"/>
                <w:szCs w:val="28"/>
              </w:rPr>
            </w:pPr>
            <w:r>
              <w:rPr>
                <w:rFonts w:ascii="方正仿宋_GBK" w:eastAsia="方正仿宋_GBK" w:cs="方正仿宋_GBK" w:hint="eastAsia"/>
                <w:sz w:val="28"/>
                <w:szCs w:val="28"/>
              </w:rPr>
              <w:t>三、供货方式：</w:t>
            </w:r>
          </w:p>
          <w:p>
            <w:pPr>
              <w:spacing w:line="360" w:lineRule="exact"/>
              <w:ind w:firstLineChars="200" w:firstLine="772"/>
              <w:rPr>
                <w:rFonts w:ascii="方正仿宋_GBK" w:eastAsia="方正仿宋_GBK" w:cs="方正仿宋_GBK" w:hint="eastAsia"/>
                <w:sz w:val="28"/>
                <w:szCs w:val="28"/>
              </w:rPr>
            </w:pPr>
            <w:r>
              <w:rPr>
                <w:rFonts w:ascii="方正仿宋_GBK" w:eastAsia="方正仿宋_GBK" w:cs="方正仿宋_GBK" w:hint="eastAsia"/>
                <w:sz w:val="28"/>
                <w:szCs w:val="28"/>
              </w:rPr>
              <w:t>合同签订后，按采购方每批计划和供货通知的要求，供货方必须按照服务承诺将试剂运至采购方指定地点，由采购方负责验收。费用由供货方承担。</w:t>
            </w:r>
          </w:p>
          <w:p>
            <w:pPr>
              <w:spacing w:line="360" w:lineRule="exact"/>
              <w:rPr>
                <w:rFonts w:ascii="方正仿宋_GBK" w:eastAsia="方正仿宋_GBK" w:cs="方正仿宋_GBK" w:hint="eastAsia"/>
                <w:sz w:val="28"/>
                <w:szCs w:val="28"/>
              </w:rPr>
            </w:pPr>
            <w:r>
              <w:rPr>
                <w:rFonts w:ascii="方正仿宋_GBK" w:eastAsia="方正仿宋_GBK" w:cs="方正仿宋_GBK" w:hint="eastAsia"/>
                <w:kern w:val="2"/>
                <w:sz w:val="28"/>
                <w:szCs w:val="28"/>
                <w:lang w:val="en-US" w:eastAsia="zh-CN" w:bidi="ar-SA"/>
              </w:rPr>
              <w:t>四、</w:t>
            </w:r>
            <w:r>
              <w:rPr>
                <w:rFonts w:ascii="方正仿宋_GBK" w:eastAsia="方正仿宋_GBK" w:cs="方正仿宋_GBK" w:hint="eastAsia"/>
                <w:sz w:val="28"/>
                <w:szCs w:val="28"/>
              </w:rPr>
              <w:t>产品质保期：</w:t>
            </w:r>
          </w:p>
          <w:p>
            <w:pPr>
              <w:spacing w:line="360" w:lineRule="exact"/>
              <w:ind w:left="0" w:firstLineChars="200" w:firstLine="772"/>
              <w:rPr>
                <w:rStyle w:val="40Char"/>
                <w:rFonts w:ascii="Times New Roman" w:eastAsia="方正仿宋_GBK" w:cs="Times New Roman" w:hAnsi="Times New Roman" w:hint="eastAsia"/>
                <w:sz w:val="28"/>
                <w:szCs w:val="28"/>
              </w:rPr>
            </w:pPr>
            <w:r>
              <w:rPr>
                <w:rFonts w:ascii="方正仿宋_GBK" w:eastAsia="方正仿宋_GBK" w:cs="方正仿宋_GBK" w:hint="eastAsia"/>
                <w:sz w:val="28"/>
                <w:szCs w:val="28"/>
              </w:rPr>
              <w:t>不少于产品有效期的70%，如因特殊情况需调换效期，供货方需配合调换。产品在有效期内正常使用中出现故障，由供货方免费更换。</w:t>
            </w:r>
          </w:p>
        </w:tc>
      </w:tr>
      <w:tr>
        <w:trPr>
          <w:trHeight w:val="699"/>
        </w:trPr>
        <w:tc>
          <w:tcPr>
            <w:tcW w:w="1670"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评审因素</w:t>
            </w:r>
          </w:p>
        </w:tc>
        <w:tc>
          <w:tcPr>
            <w:tcW w:w="6852" w:type="dxa"/>
          </w:tcPr>
          <w:p>
            <w:pPr>
              <w:spacing w:line="560" w:lineRule="exact"/>
              <w:jc w:val="left"/>
              <w:rPr>
                <w:rFonts w:ascii="方正仿宋_GBK" w:eastAsia="方正仿宋_GBK" w:cs="方正仿宋_GBK"/>
                <w:sz w:val="28"/>
                <w:szCs w:val="28"/>
              </w:rPr>
            </w:pPr>
            <w:r>
              <w:rPr>
                <w:rFonts w:ascii="方正仿宋_GBK" w:eastAsia="方正仿宋_GBK" w:cs="方正仿宋_GBK"/>
                <w:sz w:val="28"/>
                <w:szCs w:val="28"/>
              </w:rPr>
              <w:t>评审方法按照最低价法</w:t>
            </w:r>
          </w:p>
        </w:tc>
      </w:tr>
      <w:tr>
        <w:trPr>
          <w:trHeight w:val="1225"/>
        </w:trPr>
        <w:tc>
          <w:tcPr>
            <w:tcW w:w="1670"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其他因素</w:t>
            </w:r>
          </w:p>
        </w:tc>
        <w:tc>
          <w:tcPr>
            <w:tcW w:w="6852" w:type="dxa"/>
          </w:tcPr>
          <w:p>
            <w:pPr>
              <w:spacing w:line="400" w:lineRule="exact"/>
              <w:jc w:val="left"/>
              <w:rPr>
                <w:rFonts w:ascii="方正仿宋_GBK" w:eastAsia="方正仿宋_GBK" w:cs="方正仿宋_GBK"/>
                <w:sz w:val="28"/>
                <w:szCs w:val="28"/>
              </w:rPr>
            </w:pPr>
            <w:r>
              <w:rPr>
                <w:rFonts w:ascii="方正仿宋_GBK" w:eastAsia="方正仿宋_GBK" w:cs="方正仿宋_GBK" w:hint="eastAsia"/>
                <w:sz w:val="28"/>
                <w:szCs w:val="28"/>
              </w:rPr>
              <w:t>1、公告期限（</w:t>
            </w:r>
            <w:r>
              <w:rPr>
                <w:rFonts w:ascii="方正仿宋_GBK" w:eastAsia="方正仿宋_GBK" w:cs="方正仿宋_GBK" w:hint="eastAsia"/>
                <w:sz w:val="28"/>
                <w:szCs w:val="28"/>
                <w:lang w:val="en-US" w:eastAsia="zh-CN"/>
              </w:rPr>
              <w:t>5</w:t>
            </w:r>
            <w:r>
              <w:rPr>
                <w:rFonts w:ascii="方正仿宋_GBK" w:eastAsia="方正仿宋_GBK" w:cs="方正仿宋_GBK" w:hint="eastAsia"/>
                <w:sz w:val="28"/>
                <w:szCs w:val="28"/>
              </w:rPr>
              <w:t>个工作日）</w:t>
            </w:r>
          </w:p>
          <w:p>
            <w:pPr>
              <w:spacing w:line="400" w:lineRule="exact"/>
              <w:jc w:val="left"/>
              <w:rPr>
                <w:rFonts w:ascii="方正仿宋_GBK" w:eastAsia="方正仿宋_GBK" w:cs="方正仿宋_GBK"/>
                <w:sz w:val="28"/>
                <w:szCs w:val="28"/>
              </w:rPr>
            </w:pPr>
            <w:r>
              <w:rPr>
                <w:rFonts w:ascii="方正仿宋_GBK" w:eastAsia="方正仿宋_GBK" w:cs="方正仿宋_GBK" w:hint="eastAsia"/>
                <w:sz w:val="28"/>
                <w:szCs w:val="28"/>
              </w:rPr>
              <w:t>2、响应文件份数（</w:t>
            </w:r>
            <w:r>
              <w:rPr>
                <w:rFonts w:ascii="方正仿宋_GBK" w:eastAsia="方正仿宋_GBK" w:cs="方正仿宋_GBK"/>
                <w:sz w:val="28"/>
                <w:szCs w:val="28"/>
              </w:rPr>
              <w:t>2份</w:t>
            </w:r>
            <w:r>
              <w:rPr>
                <w:rFonts w:ascii="方正仿宋_GBK" w:eastAsia="方正仿宋_GBK" w:cs="方正仿宋_GBK" w:hint="eastAsia"/>
                <w:sz w:val="28"/>
                <w:szCs w:val="28"/>
              </w:rPr>
              <w:t>）</w:t>
            </w:r>
          </w:p>
        </w:tc>
      </w:tr>
    </w:tbl>
    <w:p>
      <w:pPr>
        <w:jc w:val="left"/>
        <w:rPr>
          <w:rFonts w:ascii="方正仿宋_GBK" w:eastAsia="方正仿宋_GBK" w:cs="方正仿宋_GBK" w:hint="eastAsia"/>
          <w:sz w:val="32"/>
          <w:szCs w:val="32"/>
          <w:lang w:val="en-US" w:eastAsia="zh-CN"/>
        </w:rPr>
      </w:pPr>
    </w:p>
    <w:p>
      <w:pPr>
        <w:jc w:val="left"/>
        <w:rPr>
          <w:rFonts w:ascii="方正仿宋_GBK" w:eastAsia="方正仿宋_GBK" w:cs="方正仿宋_GBK" w:hint="eastAsia"/>
          <w:sz w:val="32"/>
          <w:szCs w:val="32"/>
          <w:lang w:val="en-US" w:eastAsia="zh-CN"/>
        </w:rPr>
      </w:pPr>
    </w:p>
    <w:p>
      <w:pPr>
        <w:jc w:val="left"/>
        <w:rPr>
          <w:rFonts w:ascii="方正仿宋_GBK" w:eastAsia="方正仿宋_GBK" w:cs="方正仿宋_GBK" w:hint="eastAsia"/>
          <w:sz w:val="32"/>
          <w:szCs w:val="32"/>
          <w:lang w:val="en-US" w:eastAsia="zh-CN"/>
        </w:rPr>
      </w:pPr>
    </w:p>
    <w:p>
      <w:pPr>
        <w:jc w:val="left"/>
        <w:rPr>
          <w:rFonts w:ascii="方正仿宋_GBK" w:eastAsia="方正仿宋_GBK" w:cs="方正仿宋_GBK" w:hint="eastAsia"/>
          <w:sz w:val="32"/>
          <w:szCs w:val="32"/>
          <w:lang w:val="en-US" w:eastAsia="zh-CN"/>
        </w:rPr>
      </w:pPr>
    </w:p>
    <w:p>
      <w:pPr>
        <w:jc w:val="left"/>
        <w:rPr>
          <w:rFonts w:ascii="方正仿宋_GBK" w:eastAsia="方正仿宋_GBK" w:cs="方正仿宋_GBK" w:hint="eastAsia"/>
          <w:sz w:val="32"/>
          <w:szCs w:val="32"/>
          <w:lang w:val="en-US" w:eastAsia="zh-CN"/>
        </w:rPr>
      </w:pPr>
      <w:r>
        <w:rPr>
          <w:rFonts w:ascii="方正仿宋_GBK" w:eastAsia="方正仿宋_GBK" w:cs="方正仿宋_GBK" w:hint="eastAsia"/>
          <w:sz w:val="32"/>
          <w:szCs w:val="32"/>
          <w:lang w:val="en-US" w:eastAsia="zh-CN"/>
        </w:rPr>
        <w:t>附表      核酸检测试剂清单</w:t>
      </w:r>
    </w:p>
    <w:tbl>
      <w:tblPr>
        <w:tblpPr w:leftFromText="180" w:rightFromText="180" w:vertAnchor="text" w:horzAnchor="page" w:tblpX="888" w:tblpY="640"/>
        <w:tblOverlap w:val="never"/>
        <w:tblW w:w="105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762"/>
        <w:gridCol w:w="737"/>
        <w:gridCol w:w="5685"/>
        <w:gridCol w:w="2339"/>
        <w:gridCol w:w="997"/>
      </w:tblGrid>
      <w:tr>
        <w:trPr>
          <w:tblHeader/>
        </w:trP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b/>
                <w:i w:val="0"/>
                <w:iCs w:val="0"/>
                <w:color w:val="000000"/>
                <w:sz w:val="24"/>
                <w:szCs w:val="24"/>
                <w:u w:val="none"/>
              </w:rPr>
            </w:pPr>
            <w:r>
              <w:rPr>
                <w:rFonts w:ascii="方正仿宋_GBK" w:eastAsia="方正仿宋_GBK" w:cs="方正仿宋_GBK" w:hint="eastAsia"/>
                <w:b/>
                <w:i w:val="0"/>
                <w:iCs w:val="0"/>
                <w:color w:val="000000"/>
                <w:kern w:val="0"/>
                <w:sz w:val="24"/>
                <w:szCs w:val="24"/>
                <w:u w:val="none"/>
                <w:lang w:val="en-US" w:eastAsia="zh-CN"/>
              </w:rPr>
              <w:t>序号</w:t>
            </w:r>
          </w:p>
        </w:tc>
        <w:tc>
          <w:tcPr>
            <w:tcW w:w="73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b/>
                <w:i w:val="0"/>
                <w:iCs w:val="0"/>
                <w:color w:val="000000"/>
                <w:sz w:val="24"/>
                <w:szCs w:val="24"/>
                <w:u w:val="none"/>
              </w:rPr>
            </w:pPr>
            <w:r>
              <w:rPr>
                <w:rFonts w:ascii="方正仿宋_GBK" w:eastAsia="方正仿宋_GBK" w:cs="方正仿宋_GBK" w:hint="eastAsia"/>
                <w:b/>
                <w:i w:val="0"/>
                <w:iCs w:val="0"/>
                <w:color w:val="000000"/>
                <w:kern w:val="0"/>
                <w:sz w:val="24"/>
                <w:szCs w:val="24"/>
                <w:u w:val="none"/>
                <w:lang w:val="en-US" w:eastAsia="zh-CN"/>
              </w:rPr>
              <w:t>分类</w:t>
            </w: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b/>
                <w:bCs/>
                <w:i w:val="0"/>
                <w:iCs w:val="0"/>
                <w:color w:val="000000"/>
                <w:sz w:val="24"/>
                <w:szCs w:val="24"/>
                <w:u w:val="none"/>
              </w:rPr>
            </w:pPr>
            <w:r>
              <w:rPr>
                <w:rFonts w:ascii="方正仿宋_GBK" w:eastAsia="方正仿宋_GBK" w:cs="方正仿宋_GBK" w:hint="eastAsia"/>
                <w:b/>
                <w:bCs/>
                <w:i w:val="0"/>
                <w:iCs w:val="0"/>
                <w:color w:val="000000"/>
                <w:kern w:val="0"/>
                <w:sz w:val="24"/>
                <w:szCs w:val="24"/>
                <w:u w:val="none"/>
                <w:lang w:val="en-US" w:eastAsia="zh-CN"/>
              </w:rPr>
              <w:t>品名</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b/>
                <w:bCs/>
                <w:i w:val="0"/>
                <w:iCs w:val="0"/>
                <w:color w:val="000000"/>
                <w:sz w:val="24"/>
                <w:szCs w:val="24"/>
                <w:u w:val="none"/>
              </w:rPr>
            </w:pPr>
            <w:r>
              <w:rPr>
                <w:rFonts w:ascii="方正仿宋_GBK" w:eastAsia="方正仿宋_GBK" w:cs="方正仿宋_GBK" w:hint="eastAsia"/>
                <w:b/>
                <w:bCs/>
                <w:i w:val="0"/>
                <w:iCs w:val="0"/>
                <w:color w:val="000000"/>
                <w:kern w:val="0"/>
                <w:sz w:val="24"/>
                <w:szCs w:val="24"/>
                <w:u w:val="none"/>
                <w:lang w:val="en-US" w:eastAsia="zh-CN"/>
              </w:rPr>
              <w:t>检测方法</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b/>
                <w:bCs/>
                <w:i w:val="0"/>
                <w:iCs w:val="0"/>
                <w:color w:val="000000"/>
                <w:kern w:val="0"/>
                <w:sz w:val="24"/>
                <w:szCs w:val="24"/>
                <w:u w:val="none"/>
                <w:lang w:val="en-US" w:eastAsia="zh-CN"/>
              </w:rPr>
            </w:pPr>
            <w:r>
              <w:rPr>
                <w:rFonts w:ascii="方正仿宋_GBK" w:eastAsia="方正仿宋_GBK" w:cs="方正仿宋_GBK" w:hint="eastAsia"/>
                <w:b/>
                <w:bCs/>
                <w:i w:val="0"/>
                <w:iCs w:val="0"/>
                <w:color w:val="000000"/>
                <w:kern w:val="0"/>
                <w:sz w:val="24"/>
                <w:szCs w:val="24"/>
                <w:u w:val="none"/>
                <w:lang w:val="en-US" w:eastAsia="zh-CN"/>
              </w:rPr>
              <w:t>备注</w:t>
            </w:r>
          </w:p>
        </w:tc>
      </w:tr>
      <w:tr>
        <w:tc>
          <w:tcPr>
            <w:tcW w:w="7184" w:type="dxa"/>
            <w:gridSpan w:val="3"/>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b/>
                <w:bCs/>
                <w:i w:val="0"/>
                <w:iCs w:val="0"/>
                <w:color w:val="000000"/>
                <w:sz w:val="24"/>
                <w:szCs w:val="24"/>
                <w:u w:val="none"/>
              </w:rPr>
            </w:pPr>
            <w:r>
              <w:rPr>
                <w:rFonts w:ascii="方正仿宋_GBK" w:eastAsia="方正仿宋_GBK" w:cs="方正仿宋_GBK" w:hint="eastAsia"/>
                <w:b/>
                <w:bCs/>
                <w:i w:val="0"/>
                <w:iCs w:val="0"/>
                <w:color w:val="000000"/>
                <w:kern w:val="0"/>
                <w:sz w:val="24"/>
                <w:szCs w:val="24"/>
                <w:u w:val="none"/>
                <w:lang w:val="en-US" w:eastAsia="zh-CN"/>
              </w:rPr>
              <w:t>质控品</w:t>
            </w:r>
          </w:p>
        </w:tc>
        <w:tc>
          <w:tcPr>
            <w:tcW w:w="2339" w:type="dxa"/>
            <w:tcBorders>
              <w:top w:val="nil"/>
              <w:left w:val="nil"/>
              <w:bottom w:val="nil"/>
              <w:right w:val="nil"/>
            </w:tcBorders>
            <w:shd w:val="clear" w:color="auto" w:fill="auto"/>
            <w:noWrap/>
            <w:tcMar>
              <w:left w:w="0" w:type="dxa"/>
              <w:right w:w="0" w:type="dxa"/>
            </w:tcMar>
            <w:vAlign w:val="center"/>
          </w:tcPr>
          <w:p>
            <w:pPr>
              <w:snapToGrid w:val="0"/>
              <w:ind w:left="0" w:right="0" w:firstLine="0"/>
              <w:jc w:val="center"/>
              <w:rPr>
                <w:rFonts w:ascii="方正仿宋_GBK" w:eastAsia="方正仿宋_GBK" w:cs="方正仿宋_GBK" w:hint="eastAsia"/>
                <w:i w:val="0"/>
                <w:iCs w:val="0"/>
                <w:color w:val="000000"/>
                <w:sz w:val="24"/>
                <w:szCs w:val="24"/>
                <w:u w:val="none"/>
              </w:rPr>
            </w:pPr>
          </w:p>
        </w:tc>
        <w:tc>
          <w:tcPr>
            <w:tcW w:w="997" w:type="dxa"/>
            <w:tcBorders>
              <w:top w:val="nil"/>
              <w:left w:val="nil"/>
              <w:bottom w:val="nil"/>
              <w:right w:val="nil"/>
            </w:tcBorders>
            <w:shd w:val="clear" w:color="auto" w:fill="auto"/>
            <w:noWrap/>
            <w:tcMar>
              <w:left w:w="0" w:type="dxa"/>
              <w:right w:w="0" w:type="dxa"/>
            </w:tcMar>
            <w:vAlign w:val="center"/>
          </w:tcPr>
          <w:p>
            <w:pPr>
              <w:snapToGrid w:val="0"/>
              <w:ind w:left="0" w:right="0" w:firstLine="0"/>
              <w:jc w:val="center"/>
              <w:rPr>
                <w:rFonts w:ascii="方正仿宋_GBK" w:eastAsia="方正仿宋_GBK" w:cs="方正仿宋_GBK" w:hint="eastAsia"/>
                <w:i w:val="0"/>
                <w:iCs w:val="0"/>
                <w:color w:val="000000"/>
                <w:sz w:val="24"/>
                <w:szCs w:val="24"/>
                <w:u w:val="none"/>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1</w:t>
            </w:r>
          </w:p>
        </w:tc>
        <w:tc>
          <w:tcPr>
            <w:tcW w:w="737" w:type="dxa"/>
            <w:vMerge w:val="restart"/>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质控品</w:t>
            </w: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乙型肝炎核酸检测试剂 质控品</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2</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丙型肝炎核酸检测试剂 质控品</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3</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甲型流感病毒核酸检测试剂 质控品</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4</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乙型流感病毒核酸检测试剂 质控品</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5</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新型冠状病毒核酸试剂 质控品</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184" w:type="dxa"/>
            <w:gridSpan w:val="3"/>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b/>
                <w:bCs/>
                <w:i w:val="0"/>
                <w:iCs w:val="0"/>
                <w:color w:val="000000"/>
                <w:sz w:val="24"/>
                <w:szCs w:val="24"/>
                <w:u w:val="none"/>
              </w:rPr>
            </w:pPr>
            <w:r>
              <w:rPr>
                <w:rFonts w:ascii="方正仿宋_GBK" w:eastAsia="方正仿宋_GBK" w:cs="方正仿宋_GBK" w:hint="eastAsia"/>
                <w:b/>
                <w:bCs/>
                <w:i w:val="0"/>
                <w:iCs w:val="0"/>
                <w:color w:val="000000"/>
                <w:kern w:val="0"/>
                <w:sz w:val="24"/>
                <w:szCs w:val="24"/>
                <w:u w:val="none"/>
                <w:lang w:val="en-US" w:eastAsia="zh-CN"/>
              </w:rPr>
              <w:t>检测试剂</w:t>
            </w:r>
          </w:p>
        </w:tc>
        <w:tc>
          <w:tcPr>
            <w:tcW w:w="2339" w:type="dxa"/>
            <w:tcBorders>
              <w:top w:val="nil"/>
              <w:left w:val="nil"/>
              <w:bottom w:val="nil"/>
              <w:right w:val="nil"/>
            </w:tcBorders>
            <w:shd w:val="clear" w:color="auto" w:fill="auto"/>
            <w:noWrap/>
            <w:tcMar>
              <w:left w:w="0" w:type="dxa"/>
              <w:right w:w="0" w:type="dxa"/>
            </w:tcMar>
            <w:vAlign w:val="center"/>
          </w:tcPr>
          <w:p>
            <w:pPr>
              <w:snapToGrid w:val="0"/>
              <w:ind w:left="0" w:right="0" w:firstLine="0"/>
              <w:jc w:val="center"/>
              <w:rPr>
                <w:rFonts w:ascii="方正仿宋_GBK" w:eastAsia="方正仿宋_GBK" w:cs="方正仿宋_GBK" w:hint="eastAsia"/>
                <w:i w:val="0"/>
                <w:iCs w:val="0"/>
                <w:color w:val="000000"/>
                <w:sz w:val="24"/>
                <w:szCs w:val="24"/>
                <w:u w:val="none"/>
              </w:rPr>
            </w:pPr>
          </w:p>
        </w:tc>
        <w:tc>
          <w:tcPr>
            <w:tcW w:w="997" w:type="dxa"/>
            <w:tcBorders>
              <w:top w:val="nil"/>
              <w:left w:val="nil"/>
              <w:bottom w:val="nil"/>
              <w:right w:val="nil"/>
            </w:tcBorders>
            <w:shd w:val="clear" w:color="auto" w:fill="auto"/>
            <w:noWrap/>
            <w:tcMar>
              <w:left w:w="0" w:type="dxa"/>
              <w:right w:w="0" w:type="dxa"/>
            </w:tcMar>
            <w:vAlign w:val="center"/>
          </w:tcPr>
          <w:p>
            <w:pPr>
              <w:snapToGrid w:val="0"/>
              <w:ind w:left="0" w:right="0" w:firstLine="0"/>
              <w:jc w:val="center"/>
              <w:rPr>
                <w:rFonts w:ascii="方正仿宋_GBK" w:eastAsia="方正仿宋_GBK" w:cs="方正仿宋_GBK" w:hint="eastAsia"/>
                <w:i w:val="0"/>
                <w:iCs w:val="0"/>
                <w:color w:val="000000"/>
                <w:sz w:val="24"/>
                <w:szCs w:val="24"/>
                <w:u w:val="none"/>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1</w:t>
            </w:r>
          </w:p>
        </w:tc>
        <w:tc>
          <w:tcPr>
            <w:tcW w:w="737" w:type="dxa"/>
            <w:vMerge w:val="restart"/>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其他方式传播传染病</w:t>
            </w: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乙型肝炎核酸检测试剂盒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2</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丙型肝炎核酸检测试剂盒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3</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猴痘病毒核酸检测试剂盒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4</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kern w:val="0"/>
                <w:sz w:val="24"/>
                <w:szCs w:val="24"/>
                <w:u w:val="none"/>
                <w:lang w:val="en-US" w:eastAsia="zh-CN"/>
              </w:rPr>
            </w:pPr>
            <w:r>
              <w:rPr>
                <w:rFonts w:ascii="方正仿宋_GBK" w:eastAsia="方正仿宋_GBK" w:cs="方正仿宋_GBK" w:hint="eastAsia"/>
                <w:i w:val="0"/>
                <w:iCs w:val="0"/>
                <w:color w:val="000000"/>
                <w:kern w:val="0"/>
                <w:sz w:val="24"/>
                <w:szCs w:val="24"/>
                <w:u w:val="none"/>
                <w:lang w:val="en-US" w:eastAsia="zh-CN"/>
              </w:rPr>
              <w:t>猴痘病毒分型核酸检测试剂盒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5</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天花病毒核酸检测试剂盒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6</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炭疽芽孢杆菌核酸检测试剂盒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7</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淋球菌核酸检测试剂盒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8</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拉沙热病毒核酸检测试剂盒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9</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恙虫病东方体核酸测定试剂盒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10</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血吸虫核酸测定试剂盒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11</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布鲁氏菌核酸检测试剂盒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12</w:t>
            </w:r>
          </w:p>
        </w:tc>
        <w:tc>
          <w:tcPr>
            <w:tcW w:w="737" w:type="dxa"/>
            <w:vMerge w:val="restart"/>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呼吸道传播传染病</w:t>
            </w: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甲型流感病毒核酸检测试剂盒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13</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乙型流感病毒核酸检测试剂盒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14</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流感病毒分型核酸试剂盒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15</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传染性肺结核核酸检测试剂盒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16</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鼠疫菌核酸检测试剂盒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17</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麻疹病毒核酸检测试剂盒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18</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4874CB"/>
                <w:sz w:val="24"/>
                <w:szCs w:val="24"/>
                <w:u w:val="none"/>
              </w:rPr>
            </w:pPr>
            <w:r>
              <w:rPr>
                <w:rFonts w:ascii="方正仿宋_GBK" w:eastAsia="方正仿宋_GBK" w:cs="方正仿宋_GBK" w:hint="eastAsia"/>
                <w:i w:val="0"/>
                <w:iCs w:val="0"/>
                <w:color w:val="auto"/>
                <w:kern w:val="0"/>
                <w:sz w:val="24"/>
                <w:szCs w:val="24"/>
                <w:u w:val="none"/>
                <w:lang w:val="en-US" w:eastAsia="zh-CN"/>
              </w:rPr>
              <w:t>麻疹病毒/风疹病毒/腮腺炎病毒三重核酸检测试剂盒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19</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白喉杆菌核酸检测试剂盒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20</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百日咳杆菌核酸检测试剂盒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21</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流行性脑脊髓膜炎核酸检测试剂盒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rPr>
          <w:trHeight w:val="90"/>
        </w:trP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22</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人感染高致病性禽流感检测试剂盒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i w:val="0"/>
                <w:iCs w:val="0"/>
                <w:color w:val="000000"/>
                <w:sz w:val="24"/>
                <w:szCs w:val="24"/>
                <w:u w:val="none"/>
                <w:lang w:val="en-US" w:eastAsia="zh-CN"/>
              </w:rPr>
            </w:pPr>
            <w:r>
              <w:rPr>
                <w:rFonts w:ascii="方正仿宋_GBK" w:eastAsia="方正仿宋_GBK" w:cs="方正仿宋_GBK" w:hint="eastAsia"/>
                <w:i w:val="0"/>
                <w:iCs w:val="0"/>
                <w:color w:val="000000"/>
                <w:sz w:val="24"/>
                <w:szCs w:val="24"/>
                <w:u w:val="none"/>
                <w:lang w:val="en-US" w:eastAsia="zh-CN"/>
              </w:rPr>
              <w:t>23</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风疹病毒核酸检测试剂盒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24</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嗜肺军团菌核酸检测试剂盒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25</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新亚型流感病毒核酸检测试剂盒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26</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尼帕病毒核酸检测试剂盒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27</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鼻病毒核酸检测试剂盒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28</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偏肺病毒核酸检测试剂盒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29</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流行性腮腺炎核酸检测试剂盒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30</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博卡病毒核酸检测试剂盒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31</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水痘带状疱疹核酸检测试剂盒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32</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中东呼吸综合征冠状病毒核酸检测试剂盒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33</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副流感病毒核酸检测试剂盒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34</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肺炎衣原体核酸检测试剂盒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35</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肺炎支原体核酸检测试剂盒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36</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肺炎链球菌核酸检测试剂盒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37</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人感染H7N9禽流感病毒核酸检测试剂盒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38</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传染性非典型肺炎冠状病毒核酸检测试剂盒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39</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呼吸道腺病毒核酸检测试剂盒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40</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呼吸道合胞病毒核酸检测试剂盒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41</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A组溶血性链球菌核酸检测试剂盒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42</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EB病毒核酸检测试剂盒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43</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right="0" w:firstLine="0"/>
              <w:jc w:val="left"/>
              <w:textAlignment w:val="center"/>
              <w:rPr>
                <w:rFonts w:ascii="方正仿宋_GBK" w:eastAsia="方正仿宋_GBK" w:cs="方正仿宋_GBK" w:hint="eastAsia"/>
                <w:i w:val="0"/>
                <w:iCs w:val="0"/>
                <w:color w:val="4874CB"/>
                <w:sz w:val="24"/>
                <w:szCs w:val="24"/>
                <w:u w:val="none"/>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甲型/乙型流感病毒/2019新型冠状病毒（ORF1ab/N）核酸检测试剂盒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44</w:t>
            </w:r>
          </w:p>
        </w:tc>
        <w:tc>
          <w:tcPr>
            <w:tcW w:w="737" w:type="dxa"/>
            <w:vMerge w:val="restart"/>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消化道传播传染病</w:t>
            </w: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霍乱弧菌核酸检测试剂盒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45</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诺如病毒核酸检测试剂盒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46</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细菌性痢疾核酸检测试剂盒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47</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脊髓灰质炎病毒核酸检测试剂盒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48</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伤寒杆菌核酸检测试剂盒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49</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副伤寒杆菌核酸检测试剂盒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50</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副溶血性弧菌核酸检测试剂盒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51</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伤寒杆菌/甲型/乙型副伤寒杆菌三重核酸检测试剂盒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52</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肠出血性大肠杆菌核酸检测试剂盒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53</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肠道病毒通用型核酸检测试剂盒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i w:val="0"/>
                <w:iCs w:val="0"/>
                <w:color w:val="000000"/>
                <w:sz w:val="24"/>
                <w:szCs w:val="24"/>
                <w:u w:val="none"/>
                <w:lang w:val="en-US" w:eastAsia="zh-CN"/>
              </w:rPr>
            </w:pPr>
            <w:r>
              <w:rPr>
                <w:rFonts w:ascii="方正仿宋_GBK" w:eastAsia="方正仿宋_GBK" w:cs="方正仿宋_GBK" w:hint="eastAsia"/>
                <w:i w:val="0"/>
                <w:iCs w:val="0"/>
                <w:color w:val="000000"/>
                <w:sz w:val="24"/>
                <w:szCs w:val="24"/>
                <w:u w:val="none"/>
                <w:lang w:val="en-US" w:eastAsia="zh-CN"/>
              </w:rPr>
              <w:t>54</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EV71/CA16双通道核酸检测试剂盒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55</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EV71/CA16/EV三通道核酸检测试剂盒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56</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隐孢子虫检测试剂盒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57</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贾第鞭毛虫检测试剂盒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58</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阿米巴痢疾检测试剂盒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59</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轮状病毒核酸检测试剂盒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60</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小肠结肠耶尔森菌核酸检测试剂盒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61</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空肠弯曲菌核酸检测试剂盒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62</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致病性大肠埃希菌核酸检测试剂盒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63</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金黄色葡萄球菌核酸检测试剂盒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64</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病毒性腹泻8种病原体核酸检测试剂盒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65</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细菌性腹泻8种病原体核酸检测试剂盒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66</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消化道传染病多病原核酸检测试剂盒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67</w:t>
            </w:r>
          </w:p>
        </w:tc>
        <w:tc>
          <w:tcPr>
            <w:tcW w:w="737" w:type="dxa"/>
            <w:vMerge w:val="restart"/>
            <w:tcBorders>
              <w:top w:val="nil"/>
              <w:left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病媒生物传播传染病</w:t>
            </w: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恶性/间日/三日/卵形疟原虫四重核酸检测试剂盒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68</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黄热病毒核酸检测试剂盒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69</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登革热病毒核酸检测试剂盒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70</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基孔肯雅热病毒核酸检测试剂盒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71</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寨卡病毒核酸检测试剂盒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72</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裂谷热病毒核酸检测试剂盒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73</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美洲锥虫核酸检测试剂盒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74</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非洲锥虫核酸检测试剂盒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75</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丝虫病检测试剂盒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76</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回归热检测试剂盒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77</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西尼罗热病毒核酸检测试剂盒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78</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斑疹伤寒核酸检测试剂盒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79</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马亚罗病毒核酸检测试剂盒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80</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流行性乙型脑炎病毒核酸检测试剂盒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81</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奥罗普切病毒核酸检测试剂盒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82</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利什曼原虫检测试剂盒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83</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蜱传脑炎病毒核酸检测试剂盒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84</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钩端螺旋体核酸测定试剂盒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i w:val="0"/>
                <w:iCs w:val="0"/>
                <w:color w:val="000000"/>
                <w:sz w:val="24"/>
                <w:szCs w:val="24"/>
                <w:u w:val="none"/>
                <w:lang w:val="en-US" w:eastAsia="zh-CN"/>
              </w:rPr>
            </w:pPr>
            <w:r>
              <w:rPr>
                <w:rFonts w:ascii="方正仿宋_GBK" w:eastAsia="方正仿宋_GBK" w:cs="方正仿宋_GBK" w:hint="eastAsia"/>
                <w:i w:val="0"/>
                <w:iCs w:val="0"/>
                <w:color w:val="000000"/>
                <w:sz w:val="24"/>
                <w:szCs w:val="24"/>
                <w:u w:val="none"/>
                <w:lang w:val="en-US" w:eastAsia="zh-CN"/>
              </w:rPr>
              <w:t>85</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克里米亚-刚果出血热病毒核酸检测试剂盒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86</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登革病毒Ⅰ型/Ⅱ型/Ⅲ型/Ⅳ型四重核酸检测试剂盒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87</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黄热病毒/寨卡病毒/基孔肯雅病毒三重核酸检测试剂盒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88</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出血热10种病原体核酸检测试剂盒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89</w:t>
            </w:r>
          </w:p>
        </w:tc>
        <w:tc>
          <w:tcPr>
            <w:tcW w:w="737" w:type="dxa"/>
            <w:vMerge/>
            <w:tcBorders>
              <w:left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八种蜱传病原体核酸检测试剂盒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2"/>
                <w:sz w:val="24"/>
                <w:szCs w:val="24"/>
                <w:u w:val="none"/>
                <w:lang w:val="en-US" w:eastAsia="zh-CN" w:bidi="ar-SA"/>
              </w:rPr>
              <w:t>90</w:t>
            </w:r>
          </w:p>
        </w:tc>
        <w:tc>
          <w:tcPr>
            <w:tcW w:w="737" w:type="dxa"/>
            <w:vMerge/>
            <w:tcBorders>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tabs>
                <w:tab w:val="left" w:pos="1194"/>
              </w:tabs>
              <w:snapToGrid w:val="0"/>
              <w:ind w:left="0" w:right="0" w:firstLine="0"/>
              <w:jc w:val="left"/>
              <w:textAlignment w:val="cente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八种蚊传病原体核酸检测试剂盒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91</w:t>
            </w:r>
          </w:p>
        </w:tc>
        <w:tc>
          <w:tcPr>
            <w:tcW w:w="737" w:type="dxa"/>
            <w:tcBorders>
              <w:left w:val="nil"/>
              <w:bottom w:val="nil"/>
              <w:right w:val="nil"/>
            </w:tcBorders>
            <w:shd w:val="clear" w:color="auto" w:fill="FFFFFF"/>
            <w:noWrap/>
            <w:tcMar>
              <w:left w:w="0" w:type="dxa"/>
              <w:right w:w="0" w:type="dxa"/>
            </w:tcMar>
            <w:vAlign w:val="center"/>
          </w:tcPr>
          <w:p>
            <w:pPr>
              <w:snapToGrid w:val="0"/>
              <w:ind w:left="0" w:right="0" w:firstLine="0"/>
              <w:jc w:val="center"/>
              <w:rPr>
                <w:rFonts w:ascii="方正仿宋_GBK" w:eastAsia="方正仿宋_GBK" w:cs="方正仿宋_GBK" w:hint="eastAsia"/>
                <w:i w:val="0"/>
                <w:iCs w:val="0"/>
                <w:color w:val="000000"/>
                <w:sz w:val="24"/>
                <w:szCs w:val="24"/>
                <w:u w:val="none"/>
              </w:rPr>
            </w:p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tabs>
                <w:tab w:val="left" w:pos="1194"/>
              </w:tabs>
              <w:snapToGrid w:val="0"/>
              <w:ind w:left="0" w:right="0" w:firstLine="0"/>
              <w:jc w:val="left"/>
              <w:textAlignment w:val="cente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六种蜱传病原体核酸检测试剂盒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92</w:t>
            </w:r>
          </w:p>
        </w:tc>
        <w:tc>
          <w:tcPr>
            <w:tcW w:w="737" w:type="dxa"/>
            <w:tcBorders>
              <w:left w:val="nil"/>
              <w:bottom w:val="nil"/>
              <w:right w:val="nil"/>
            </w:tcBorders>
            <w:shd w:val="clear" w:color="auto" w:fill="FFFFFF"/>
            <w:noWrap/>
            <w:tcMar>
              <w:left w:w="0" w:type="dxa"/>
              <w:right w:w="0" w:type="dxa"/>
            </w:tcMar>
            <w:vAlign w:val="center"/>
          </w:tcPr>
          <w:p>
            <w:pPr>
              <w:snapToGrid w:val="0"/>
              <w:ind w:left="0" w:right="0" w:firstLine="0"/>
              <w:jc w:val="center"/>
              <w:rPr>
                <w:rFonts w:ascii="方正仿宋_GBK" w:eastAsia="方正仿宋_GBK" w:cs="方正仿宋_GBK" w:hint="eastAsia"/>
                <w:i w:val="0"/>
                <w:iCs w:val="0"/>
                <w:color w:val="000000"/>
                <w:sz w:val="24"/>
                <w:szCs w:val="24"/>
                <w:u w:val="none"/>
              </w:rPr>
            </w:p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tabs>
                <w:tab w:val="left" w:pos="1194"/>
              </w:tabs>
              <w:snapToGrid w:val="0"/>
              <w:ind w:left="0" w:right="0" w:firstLine="0"/>
              <w:jc w:val="left"/>
              <w:textAlignment w:val="cente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六种蚊传病原体核酸检测试剂盒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93</w:t>
            </w:r>
          </w:p>
        </w:tc>
        <w:tc>
          <w:tcPr>
            <w:tcW w:w="737" w:type="dxa"/>
            <w:vMerge w:val="restart"/>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鼠传疾病</w:t>
            </w: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大别班达病毒核酸检测试剂盒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FF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94</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肾综合症汉坦病毒Ⅰ、Ⅱ型通用核酸测定试剂盒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95</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肾综合症汉坦病毒Ⅰ、Ⅱ型分型核酸测定试剂盒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96</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Q热立克次体核酸测定试剂盒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97</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伯氏疏螺旋体核酸测定试剂盒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98</w:t>
            </w:r>
          </w:p>
        </w:tc>
        <w:tc>
          <w:tcPr>
            <w:tcW w:w="737" w:type="dxa"/>
            <w:vMerge/>
            <w:tcBorders>
              <w:top w:val="nil"/>
              <w:left w:val="nil"/>
              <w:bottom w:val="nil"/>
              <w:right w:val="nil"/>
            </w:tcBorders>
            <w:shd w:val="clear" w:color="auto" w:fill="FFFFFF"/>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巴尔通体核酸测定试剂盒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99</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right="0" w:firstLine="0"/>
              <w:jc w:val="left"/>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鼠疫杆菌（caf1 gene + chro392 gene）双荧光检测试剂盒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rPr>
            </w:pPr>
            <w:r>
              <w:rPr>
                <w:rFonts w:ascii="方正仿宋_GBK" w:eastAsia="方正仿宋_GBK" w:cs="方正仿宋_GBK" w:hint="eastAsia"/>
                <w:i w:val="0"/>
                <w:iCs w:val="0"/>
                <w:color w:val="000000"/>
                <w:kern w:val="0"/>
                <w:sz w:val="24"/>
                <w:szCs w:val="24"/>
                <w:u w:val="none"/>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right="0" w:firstLine="0"/>
              <w:jc w:val="left"/>
              <w:textAlignment w:val="center"/>
              <w:rPr>
                <w:rFonts w:ascii="方正仿宋_GBK" w:eastAsia="方正仿宋_GBK" w:cs="方正仿宋_GBK" w:hint="eastAsia"/>
                <w:i w:val="0"/>
                <w:iCs w:val="0"/>
                <w:color w:val="000000"/>
                <w:kern w:val="0"/>
                <w:sz w:val="24"/>
                <w:szCs w:val="24"/>
                <w:u w:val="none"/>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常温运输保存</w:t>
            </w: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100</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荧光PCR检测鼠疫杆菌（三重）</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101</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新布尼亚病毒核酸检测试剂盒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102</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埃立克体核酸测定试剂盒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103</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斑点热群立克体核酸测定试剂盒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kern w:val="0"/>
                <w:sz w:val="24"/>
                <w:szCs w:val="24"/>
                <w:u w:val="none"/>
                <w:lang w:val="en-US" w:eastAsia="zh-CN"/>
              </w:rPr>
              <w:t>104</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Q热/普氏/莫氏立克次体核酸联合测定试剂盒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sz w:val="24"/>
                <w:szCs w:val="24"/>
                <w:u w:val="none"/>
                <w:lang w:val="en-US" w:eastAsia="zh-CN"/>
              </w:rPr>
              <w:t>105</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恙虫病东方体核酸测定试剂盒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2"/>
                <w:sz w:val="24"/>
                <w:szCs w:val="24"/>
                <w:u w:val="none"/>
                <w:lang w:val="en-US" w:eastAsia="zh-CN" w:bidi="ar-SA"/>
              </w:rPr>
            </w:pPr>
            <w:r>
              <w:rPr>
                <w:rFonts w:ascii="方正仿宋_GBK" w:eastAsia="方正仿宋_GBK" w:cs="方正仿宋_GBK" w:hint="eastAsia"/>
                <w:i w:val="0"/>
                <w:iCs w:val="0"/>
                <w:color w:val="000000"/>
                <w:sz w:val="24"/>
                <w:szCs w:val="24"/>
                <w:u w:val="none"/>
                <w:lang w:val="en-US" w:eastAsia="zh-CN"/>
              </w:rPr>
              <w:t>106</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土拉热弗朗西氏菌核酸测定试剂盒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i w:val="0"/>
                <w:iCs w:val="0"/>
                <w:color w:val="000000"/>
                <w:kern w:val="2"/>
                <w:sz w:val="24"/>
                <w:szCs w:val="24"/>
                <w:u w:val="none"/>
                <w:lang w:val="en-US" w:eastAsia="zh-CN" w:bidi="ar-SA"/>
              </w:rPr>
            </w:pPr>
            <w:r>
              <w:rPr>
                <w:rFonts w:ascii="方正仿宋_GBK" w:eastAsia="方正仿宋_GBK" w:cs="方正仿宋_GBK" w:hint="eastAsia"/>
                <w:i w:val="0"/>
                <w:iCs w:val="0"/>
                <w:color w:val="000000"/>
                <w:sz w:val="24"/>
                <w:szCs w:val="24"/>
                <w:u w:val="none"/>
                <w:lang w:val="en-US" w:eastAsia="zh-CN"/>
              </w:rPr>
              <w:t>107</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六种鼠传病原体核酸检测试剂盒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i w:val="0"/>
                <w:iCs w:val="0"/>
                <w:color w:val="000000"/>
                <w:kern w:val="2"/>
                <w:sz w:val="24"/>
                <w:szCs w:val="24"/>
                <w:u w:val="none"/>
                <w:lang w:val="en-US" w:eastAsia="zh-CN" w:bidi="ar-SA"/>
              </w:rPr>
            </w:pPr>
            <w:r>
              <w:rPr>
                <w:rFonts w:ascii="方正仿宋_GBK" w:eastAsia="方正仿宋_GBK" w:cs="方正仿宋_GBK" w:hint="eastAsia"/>
                <w:i w:val="0"/>
                <w:iCs w:val="0"/>
                <w:color w:val="000000"/>
                <w:sz w:val="24"/>
                <w:szCs w:val="24"/>
                <w:u w:val="none"/>
                <w:lang w:val="en-US" w:eastAsia="zh-CN"/>
              </w:rPr>
              <w:t>108</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八种鼠传病原体核酸检测试剂盒</w:t>
            </w:r>
          </w:p>
        </w:tc>
        <w:tc>
          <w:tcPr>
            <w:tcW w:w="2339"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i w:val="0"/>
                <w:iCs w:val="0"/>
                <w:color w:val="000000"/>
                <w:kern w:val="2"/>
                <w:sz w:val="24"/>
                <w:szCs w:val="24"/>
                <w:u w:val="none"/>
                <w:lang w:val="en-US" w:eastAsia="zh-CN" w:bidi="ar-SA"/>
              </w:rPr>
            </w:pPr>
            <w:r>
              <w:rPr>
                <w:rFonts w:ascii="方正仿宋_GBK" w:eastAsia="方正仿宋_GBK" w:cs="方正仿宋_GBK" w:hint="eastAsia"/>
                <w:i w:val="0"/>
                <w:iCs w:val="0"/>
                <w:color w:val="000000"/>
                <w:sz w:val="24"/>
                <w:szCs w:val="24"/>
                <w:u w:val="none"/>
                <w:lang w:val="en-US" w:eastAsia="zh-CN"/>
              </w:rPr>
              <w:t>109</w:t>
            </w:r>
          </w:p>
        </w:tc>
        <w:tc>
          <w:tcPr>
            <w:tcW w:w="737" w:type="dxa"/>
            <w:vMerge/>
            <w:tcBorders>
              <w:top w:val="nil"/>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left"/>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狼牙亨尼帕病毒核酸测定试剂盒</w:t>
            </w:r>
          </w:p>
        </w:tc>
        <w:tc>
          <w:tcPr>
            <w:tcW w:w="2339" w:type="dxa"/>
            <w:tcBorders>
              <w:top w:val="nil"/>
              <w:left w:val="nil"/>
              <w:bottom w:val="nil"/>
              <w:right w:val="nil"/>
            </w:tcBorders>
            <w:shd w:val="clear" w:color="auto" w:fill="FFFFFF"/>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sz w:val="24"/>
                <w:szCs w:val="24"/>
                <w:u w:val="none"/>
                <w14:textFill>
                  <w14:solidFill>
                    <w14:srgbClr w14:val="000000"/>
                  </w14:solidFill>
                </w14:textFill>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荧光定量PCR</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i w:val="0"/>
                <w:iCs w:val="0"/>
                <w:color w:val="000000"/>
                <w:kern w:val="2"/>
                <w:sz w:val="24"/>
                <w:szCs w:val="24"/>
                <w:u w:val="none"/>
                <w:lang w:val="en-US" w:eastAsia="zh-CN" w:bidi="ar-SA"/>
              </w:rPr>
            </w:pPr>
            <w:r>
              <w:rPr>
                <w:rFonts w:ascii="方正仿宋_GBK" w:eastAsia="方正仿宋_GBK" w:cs="方正仿宋_GBK" w:hint="eastAsia"/>
                <w:i w:val="0"/>
                <w:iCs w:val="0"/>
                <w:color w:val="000000"/>
                <w:sz w:val="24"/>
                <w:szCs w:val="24"/>
                <w:u w:val="none"/>
                <w:lang w:val="en-US" w:eastAsia="zh-CN"/>
              </w:rPr>
              <w:t>110</w:t>
            </w:r>
          </w:p>
        </w:tc>
        <w:tc>
          <w:tcPr>
            <w:tcW w:w="737" w:type="dxa"/>
            <w:vMerge w:val="restart"/>
            <w:tcBorders>
              <w:top w:val="nil"/>
              <w:left w:val="nil"/>
              <w:right w:val="nil"/>
            </w:tcBorders>
            <w:shd w:val="clear" w:color="auto" w:fill="auto"/>
            <w:noWrap/>
            <w:tcMar>
              <w:left w:w="0" w:type="dxa"/>
              <w:right w:w="0" w:type="dxa"/>
            </w:tcMar>
            <w:vAlign w:val="center"/>
          </w:tcPr>
          <w:p>
            <w:pPr>
              <w:snapToGrid w:val="0"/>
              <w:ind w:left="0" w:right="0" w:firstLine="0"/>
              <w:jc w:val="center"/>
              <w:rPr>
                <w:rFonts w:ascii="方正仿宋_GBK" w:eastAsia="方正仿宋_GBK" w:cs="方正仿宋_GBK"/>
                <w:i w:val="0"/>
                <w:iCs w:val="0"/>
                <w:color w:val="000000"/>
                <w:sz w:val="24"/>
                <w:szCs w:val="24"/>
                <w:u w:val="none"/>
                <w:lang w:val="en-US" w:eastAsia="zh-CN"/>
              </w:rPr>
            </w:pPr>
            <w:r>
              <w:rPr>
                <w:rFonts w:ascii="方正仿宋_GBK" w:eastAsia="方正仿宋_GBK" w:cs="方正仿宋_GBK" w:hint="eastAsia"/>
                <w:i w:val="0"/>
                <w:iCs w:val="0"/>
                <w:color w:val="000000"/>
                <w:sz w:val="24"/>
                <w:szCs w:val="24"/>
                <w:u w:val="none"/>
                <w:lang w:val="en-US" w:eastAsia="zh-CN"/>
              </w:rPr>
              <w:t>核酸提取试剂</w:t>
            </w: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200" w:lineRule="atLeast"/>
              <w:jc w:val="left"/>
              <w:textAlignment w:val="cente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病原体DNA/RNA组织同提提取</w:t>
            </w:r>
          </w:p>
        </w:tc>
        <w:tc>
          <w:tcPr>
            <w:tcW w:w="2339"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right="0" w:firstLine="0"/>
              <w:jc w:val="center"/>
              <w:textAlignment w:val="center"/>
              <w:rPr>
                <w:rFonts w:ascii="方正仿宋_GBK" w:eastAsia="方正仿宋_GBK" w:cs="方正仿宋_GBK"/>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适配博日NPA-96核酸提取仪</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00" w:lineRule="atLeast"/>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i w:val="0"/>
                <w:iCs w:val="0"/>
                <w:color w:val="000000"/>
                <w:sz w:val="24"/>
                <w:szCs w:val="24"/>
                <w:u w:val="none"/>
                <w:lang w:val="en-US" w:eastAsia="zh-CN"/>
              </w:rPr>
            </w:pPr>
            <w:r>
              <w:rPr>
                <w:rFonts w:ascii="方正仿宋_GBK" w:eastAsia="方正仿宋_GBK" w:cs="方正仿宋_GBK" w:hint="eastAsia"/>
                <w:i w:val="0"/>
                <w:iCs w:val="0"/>
                <w:color w:val="000000"/>
                <w:sz w:val="24"/>
                <w:szCs w:val="24"/>
                <w:u w:val="none"/>
                <w:lang w:val="en-US" w:eastAsia="zh-CN"/>
              </w:rPr>
              <w:t>111</w:t>
            </w:r>
          </w:p>
        </w:tc>
        <w:tc>
          <w:tcPr>
            <w:tcW w:w="737" w:type="dxa"/>
            <w:vMerge/>
            <w:tcBorders>
              <w:left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200" w:lineRule="atLeast"/>
              <w:jc w:val="left"/>
              <w:textAlignment w:val="cente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病原体DNA/RNA组织同提提取</w:t>
            </w:r>
          </w:p>
        </w:tc>
        <w:tc>
          <w:tcPr>
            <w:tcW w:w="2339"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right="0" w:firstLine="0"/>
              <w:jc w:val="center"/>
              <w:textAlignment w:val="center"/>
              <w:rPr>
                <w:rFonts w:ascii="方正仿宋_GBK" w:eastAsia="方正仿宋_GBK" w:cs="方正仿宋_GBK"/>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适配达安基因smart32核酸提取仪</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00" w:lineRule="atLeast"/>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i w:val="0"/>
                <w:iCs w:val="0"/>
                <w:color w:val="000000"/>
                <w:kern w:val="2"/>
                <w:sz w:val="24"/>
                <w:szCs w:val="24"/>
                <w:u w:val="none"/>
                <w:lang w:val="en-US" w:eastAsia="zh-CN" w:bidi="ar-SA"/>
              </w:rPr>
            </w:pPr>
            <w:r>
              <w:rPr>
                <w:rFonts w:ascii="方正仿宋_GBK" w:eastAsia="方正仿宋_GBK" w:cs="方正仿宋_GBK" w:hint="eastAsia"/>
                <w:i w:val="0"/>
                <w:iCs w:val="0"/>
                <w:color w:val="000000"/>
                <w:sz w:val="24"/>
                <w:szCs w:val="24"/>
                <w:u w:val="none"/>
                <w:lang w:val="en-US" w:eastAsia="zh-CN"/>
              </w:rPr>
              <w:t>112</w:t>
            </w:r>
          </w:p>
        </w:tc>
        <w:tc>
          <w:tcPr>
            <w:tcW w:w="737" w:type="dxa"/>
            <w:vMerge/>
            <w:tcBorders>
              <w:left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200" w:lineRule="atLeast"/>
              <w:jc w:val="left"/>
              <w:textAlignment w:val="cente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总DNA纯化试剂盒</w:t>
            </w:r>
          </w:p>
        </w:tc>
        <w:tc>
          <w:tcPr>
            <w:tcW w:w="2339"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right="0" w:firstLine="0"/>
              <w:jc w:val="center"/>
              <w:textAlignment w:val="cente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适配博日NPA-96核酸提取仪</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00" w:lineRule="atLeast"/>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i w:val="0"/>
                <w:iCs w:val="0"/>
                <w:color w:val="000000"/>
                <w:kern w:val="2"/>
                <w:sz w:val="24"/>
                <w:szCs w:val="24"/>
                <w:u w:val="none"/>
                <w:lang w:val="en-US" w:eastAsia="zh-CN" w:bidi="ar-SA"/>
              </w:rPr>
            </w:pPr>
            <w:r>
              <w:rPr>
                <w:rFonts w:ascii="方正仿宋_GBK" w:eastAsia="方正仿宋_GBK" w:cs="方正仿宋_GBK" w:hint="eastAsia"/>
                <w:i w:val="0"/>
                <w:iCs w:val="0"/>
                <w:color w:val="000000"/>
                <w:sz w:val="24"/>
                <w:szCs w:val="24"/>
                <w:u w:val="none"/>
                <w:lang w:val="en-US" w:eastAsia="zh-CN"/>
              </w:rPr>
              <w:t>113</w:t>
            </w:r>
          </w:p>
        </w:tc>
        <w:tc>
          <w:tcPr>
            <w:tcW w:w="737" w:type="dxa"/>
            <w:vMerge/>
            <w:tcBorders>
              <w:left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200" w:lineRule="atLeast"/>
              <w:jc w:val="left"/>
              <w:textAlignment w:val="cente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总RNA纯化试剂盒</w:t>
            </w:r>
          </w:p>
        </w:tc>
        <w:tc>
          <w:tcPr>
            <w:tcW w:w="2339"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right="0" w:firstLine="0"/>
              <w:jc w:val="center"/>
              <w:textAlignment w:val="cente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适配博日NPA-96核酸提取仪</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00" w:lineRule="atLeast"/>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i w:val="0"/>
                <w:iCs w:val="0"/>
                <w:color w:val="000000"/>
                <w:kern w:val="2"/>
                <w:sz w:val="24"/>
                <w:szCs w:val="24"/>
                <w:u w:val="none"/>
                <w:lang w:val="en-US" w:eastAsia="zh-CN" w:bidi="ar-SA"/>
              </w:rPr>
            </w:pPr>
            <w:r>
              <w:rPr>
                <w:rFonts w:ascii="方正仿宋_GBK" w:eastAsia="方正仿宋_GBK" w:cs="方正仿宋_GBK" w:hint="eastAsia"/>
                <w:i w:val="0"/>
                <w:iCs w:val="0"/>
                <w:color w:val="000000"/>
                <w:sz w:val="24"/>
                <w:szCs w:val="24"/>
                <w:u w:val="none"/>
                <w:lang w:val="en-US" w:eastAsia="zh-CN"/>
              </w:rPr>
              <w:t>114</w:t>
            </w:r>
          </w:p>
        </w:tc>
        <w:tc>
          <w:tcPr>
            <w:tcW w:w="737" w:type="dxa"/>
            <w:vMerge/>
            <w:tcBorders>
              <w:left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血液/细胞/组织基因组DNA提取试剂盒(离心柱型）</w:t>
            </w:r>
          </w:p>
        </w:tc>
        <w:tc>
          <w:tcPr>
            <w:tcW w:w="2339"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00" w:lineRule="atLeast"/>
              <w:ind w:left="0" w:right="0" w:firstLine="0"/>
              <w:jc w:val="center"/>
              <w:textAlignment w:val="center"/>
              <w:rPr>
                <w:rFonts w:ascii="方正仿宋_GBK" w:eastAsia="方正仿宋_GBK" w:cs="方正仿宋_GBK"/>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手工提取试剂</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right="0" w:firstLine="0"/>
              <w:jc w:val="center"/>
              <w:textAlignment w:val="center"/>
              <w:rPr>
                <w:rFonts w:ascii="方正仿宋_GBK" w:eastAsia="方正仿宋_GBK" w:cs="方正仿宋_GBK"/>
                <w:i w:val="0"/>
                <w:iCs w:val="0"/>
                <w:color w:val="000000"/>
                <w:kern w:val="0"/>
                <w:sz w:val="24"/>
                <w:szCs w:val="24"/>
                <w:u w:val="none"/>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报价两个品牌</w:t>
            </w:r>
          </w:p>
        </w:tc>
      </w:tr>
      <w:tr>
        <w:tc>
          <w:tcPr>
            <w:tcW w:w="762" w:type="dxa"/>
            <w:tcBorders>
              <w:top w:val="nil"/>
              <w:left w:val="nil"/>
              <w:bottom w:val="nil"/>
              <w:right w:val="nil"/>
            </w:tcBorders>
            <w:shd w:val="clear" w:color="auto" w:fill="auto"/>
            <w:noWrap/>
            <w:tcMar>
              <w:left w:w="0" w:type="dxa"/>
              <w:right w:w="0" w:type="dxa"/>
            </w:tcMar>
            <w:vAlign w:val="center"/>
          </w:tcPr>
          <w:p>
            <w:pPr>
              <w:keepNext w:val="0"/>
              <w:keepLines w:val="0"/>
              <w:widowControl/>
              <w:suppressLineNumbers w:val="0"/>
              <w:snapToGrid w:val="0"/>
              <w:ind w:left="0" w:right="0" w:firstLine="0"/>
              <w:jc w:val="center"/>
              <w:textAlignment w:val="center"/>
              <w:rPr>
                <w:rFonts w:ascii="方正仿宋_GBK" w:eastAsia="方正仿宋_GBK" w:cs="方正仿宋_GBK"/>
                <w:i w:val="0"/>
                <w:iCs w:val="0"/>
                <w:color w:val="000000"/>
                <w:sz w:val="24"/>
                <w:szCs w:val="24"/>
                <w:u w:val="none"/>
                <w:lang w:val="en-US" w:eastAsia="zh-CN"/>
              </w:rPr>
            </w:pPr>
            <w:r>
              <w:rPr>
                <w:rFonts w:ascii="方正仿宋_GBK" w:eastAsia="方正仿宋_GBK" w:cs="方正仿宋_GBK" w:hint="eastAsia"/>
                <w:i w:val="0"/>
                <w:iCs w:val="0"/>
                <w:color w:val="000000"/>
                <w:sz w:val="24"/>
                <w:szCs w:val="24"/>
                <w:u w:val="none"/>
                <w:lang w:val="en-US" w:eastAsia="zh-CN"/>
              </w:rPr>
              <w:t>115</w:t>
            </w:r>
          </w:p>
        </w:tc>
        <w:tc>
          <w:tcPr>
            <w:tcW w:w="737" w:type="dxa"/>
            <w:vMerge/>
            <w:tcBorders>
              <w:left w:val="nil"/>
              <w:bottom w:val="nil"/>
              <w:right w:val="nil"/>
            </w:tcBorders>
            <w:shd w:val="clear" w:color="auto" w:fill="auto"/>
            <w:noWrap/>
            <w:tcMar>
              <w:left w:w="0" w:type="dxa"/>
              <w:right w:w="0" w:type="dxa"/>
            </w:tcMar>
            <w:vAlign w:val="center"/>
          </w:tcPr>
          <w:p/>
        </w:tc>
        <w:tc>
          <w:tcPr>
            <w:tcW w:w="5685"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动物组织/细胞总RNA提取试剂盒(离心柱型）</w:t>
            </w:r>
          </w:p>
        </w:tc>
        <w:tc>
          <w:tcPr>
            <w:tcW w:w="2339" w:type="dxa"/>
            <w:tcBorders>
              <w:top w:val="nil"/>
              <w:left w:val="nil"/>
              <w:bottom w:val="nil"/>
              <w:right w:val="nil"/>
            </w:tcBorders>
            <w:shd w:val="clear" w:color="auto" w:fill="FFFFFF"/>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00" w:lineRule="atLeast"/>
              <w:ind w:left="0" w:right="0" w:firstLine="0"/>
              <w:jc w:val="center"/>
              <w:textAlignment w:val="center"/>
              <w:rPr>
                <w:rFonts w:ascii="方正仿宋_GBK" w:eastAsia="方正仿宋_GBK" w:cs="方正仿宋_GBK"/>
                <w:i w:val="0"/>
                <w:iCs w:val="0"/>
                <w:color w:val="000000"/>
                <w:kern w:val="0"/>
                <w:sz w:val="24"/>
                <w:szCs w:val="24"/>
                <w:u w:val="none"/>
                <w14:textFill>
                  <w14:solidFill>
                    <w14:srgbClr w14:val="000000"/>
                  </w14:solidFill>
                </w14:textFill>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手工提取试剂</w:t>
            </w:r>
          </w:p>
        </w:tc>
        <w:tc>
          <w:tcPr>
            <w:tcW w:w="997" w:type="dxa"/>
            <w:tcBorders>
              <w:top w:val="nil"/>
              <w:left w:val="nil"/>
              <w:bottom w:val="nil"/>
              <w:right w:val="nil"/>
            </w:tcBorders>
            <w:shd w:val="clear" w:color="auto" w:fill="auto"/>
            <w:noWrap/>
            <w:tcMar>
              <w:left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right="0" w:firstLine="0"/>
              <w:jc w:val="center"/>
              <w:textAlignment w:val="center"/>
              <w:rPr>
                <w:rFonts w:ascii="方正仿宋_GBK" w:eastAsia="方正仿宋_GBK" w:cs="方正仿宋_GBK" w:hint="eastAsia"/>
                <w:i w:val="0"/>
                <w:iCs w:val="0"/>
                <w:color w:val="000000"/>
                <w:kern w:val="0"/>
                <w:sz w:val="24"/>
                <w:szCs w:val="24"/>
                <w:u w:val="none"/>
                <w:lang w:val="en-US" w:eastAsia="zh-CN"/>
              </w:rPr>
            </w:pPr>
            <w:r>
              <w:rPr>
                <w:rFonts w:ascii="方正仿宋_GBK" w:eastAsia="方正仿宋_GBK" w:cs="方正仿宋_GBK" w:hint="eastAsia"/>
                <w:i w:val="0"/>
                <w:iCs w:val="0"/>
                <w:color w:val="000000"/>
                <w:kern w:val="0"/>
                <w:sz w:val="24"/>
                <w:szCs w:val="24"/>
                <w:u w:val="none"/>
                <w14:textFill>
                  <w14:solidFill>
                    <w14:srgbClr w14:val="000000"/>
                  </w14:solidFill>
                </w14:textFill>
                <w:lang w:val="en-US" w:eastAsia="zh-CN"/>
              </w:rPr>
              <w:t>报价两个品牌</w:t>
            </w:r>
          </w:p>
        </w:tc>
      </w:tr>
    </w:tbl>
    <w:p>
      <w:pPr>
        <w:jc w:val="left"/>
        <w:rPr>
          <w:lang w:val="en-US" w:eastAsia="zh-CN"/>
        </w:rPr>
      </w:pPr>
    </w:p>
    <w:p>
      <w:pPr>
        <w:jc w:val="left"/>
      </w:pPr>
    </w:p>
    <w:sectPr>
      <w:footerReference w:type="default" r:id="rId2"/>
      <w:pgSz w:w="11907" w:h="16840"/>
      <w:pgMar w:top="2098" w:right="1474" w:bottom="1985" w:left="1588" w:header="1814" w:footer="1474" w:gutter="0"/>
      <w:pgNumType w:start="0"/>
      <w:titlePg/>
      <w:docGrid w:type="linesAndChars" w:linePitch="580" w:charSpace="21685"/>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script"/>
    <w:pitch w:val="variable"/>
    <w:sig w:usb0="A00002BF" w:usb1="38CF7CFA" w:usb2="00082016" w:usb3="00000000" w:csb0="00040001" w:csb1="00000000"/>
  </w:font>
  <w:font w:name="方正楷体_GBK">
    <w:panose1 w:val="02000000000000000000"/>
    <w:charset w:val="86"/>
    <w:family w:val="script"/>
    <w:pitch w:val="variable"/>
    <w:sig w:usb0="800002BF" w:usb1="38CF7CFA" w:usb2="00000016" w:usb3="00000000" w:csb0="00040000" w:csb1="00000000"/>
  </w:font>
  <w:font w:name="方正仿宋_GBK">
    <w:panose1 w:val="02000000000000000000"/>
    <w:charset w:val="86"/>
    <w:family w:val="script"/>
    <w:pitch w:val="variable"/>
    <w:sig w:usb0="A00002BF" w:usb1="38CF7CFA" w:usb2="00082016" w:usb3="00000000" w:csb0="00040001" w:csb1="00000000"/>
  </w:font>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288F0000" w:usb2="00000006" w:usb3="00000000" w:csb0="00040001" w:csb1="00000000"/>
  </w:font>
  <w:font w:name="Calibri">
    <w:panose1 w:val="020F0502020204030204"/>
    <w:charset w:val="00"/>
    <w:family w:val="swiss"/>
    <w:pitch w:val="variable"/>
    <w:sig w:usb0="E4002EFF" w:usb1="C000247B" w:usb2="00000009" w:usb3="00000000" w:csb0="200001FF"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4</w:t>
    </w:r>
    <w:r>
      <w:rPr>
        <w:sz w:val="32"/>
        <w:szCs w:val="32"/>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A5CBAB3"/>
    <w:multiLevelType w:val="singleLevel"/>
    <w:tmpl w:val="0A5CBAB3"/>
    <w:lvl w:ilvl="0">
      <w:start w:val="1"/>
      <w:numFmt w:val="chineseCounting"/>
      <w:lvlRestart w:val="0"/>
      <w:suff w:val="nothing"/>
      <w:lvlText w:val="%1、"/>
      <w:lvlJc w:val="left"/>
      <w:pPr>
        <w:ind w:left="0" w:hanging="0"/>
      </w:pPr>
      <w:rPr>
        <w:rFonts w:hint="eastAsia"/>
      </w:rPr>
    </w:lvl>
  </w:abstractNum>
  <w:abstractNum w:abstractNumId="1">
    <w:nsid w:val="2372C850"/>
    <w:multiLevelType w:val="singleLevel"/>
    <w:tmpl w:val="2372C850"/>
    <w:lvl w:ilvl="0">
      <w:start w:val="1"/>
      <w:numFmt w:val="decimal"/>
      <w:lvlRestart w:val="0"/>
      <w:pStyle w:val="16"/>
      <w:lvlText w:val="%1."/>
      <w:lvlJc w:val="left"/>
      <w:pPr>
        <w:ind w:left="360" w:hanging="36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displayBackgroundShape/>
  <w:bordersDoNotSurroundHeader w:val="0"/>
  <w:bordersDoNotSurroundFooter w:val="0"/>
  <w:trackRevisions/>
  <w:defaultTabStop w:val="420"/>
  <w:drawingGridHorizontalSpacing w:val="157"/>
  <w:drawingGridVerticalSpacing w:val="289"/>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line="560" w:lineRule="exact"/>
      <w:jc w:val="center"/>
      <w:outlineLvl w:val="0"/>
    </w:pPr>
    <w:rPr>
      <w:rFonts w:eastAsia="方正小标宋_GBK"/>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rFonts w:eastAsia="方正楷体_GBK"/>
      <w:b/>
      <w:sz w:val="32"/>
    </w:rPr>
  </w:style>
  <w:style w:type="character" w:default="1" w:styleId="10">
    <w:name w:val="Default Paragraph Font"/>
  </w:style>
  <w:style w:type="paragraph" w:styleId="15">
    <w:name w:val="table of authorities"/>
    <w:basedOn w:val="0"/>
    <w:next w:val="0"/>
    <w:pPr>
      <w:ind w:left="420"/>
    </w:pPr>
  </w:style>
  <w:style w:type="paragraph" w:styleId="16">
    <w:name w:val="List Number"/>
    <w:basedOn w:val="0"/>
    <w:pPr>
      <w:numPr>
        <w:ilvl w:val="0"/>
        <w:numId w:val="2"/>
      </w:numPr>
    </w:pPr>
  </w:style>
  <w:style w:type="paragraph" w:styleId="17">
    <w:name w:val="caption"/>
    <w:next w:val="0"/>
    <w:pPr>
      <w:widowControl w:val="0"/>
      <w:jc w:val="both"/>
    </w:pPr>
    <w:rPr>
      <w:rFonts w:ascii="Arial" w:eastAsia="黑体" w:cs="Arial" w:hAnsi="Arial"/>
      <w:b/>
      <w:bCs/>
      <w:kern w:val="2"/>
      <w:lang w:val="en-US" w:eastAsia="zh-CN" w:bidi="ar-SA"/>
    </w:rPr>
  </w:style>
  <w:style w:type="paragraph" w:styleId="18">
    <w:name w:val="annotation text"/>
    <w:basedOn w:val="0"/>
    <w:pPr>
      <w:jc w:val="left"/>
    </w:pPr>
  </w:style>
  <w:style w:type="paragraph" w:styleId="19">
    <w:name w:val="toc 5"/>
    <w:basedOn w:val="0"/>
    <w:autoRedefine/>
    <w:next w:val="0"/>
    <w:pPr>
      <w:ind w:left="1680"/>
    </w:pPr>
  </w:style>
  <w:style w:type="paragraph" w:styleId="20">
    <w:name w:val="Balloon Text"/>
    <w:basedOn w:val="0"/>
    <w:rPr>
      <w:sz w:val="18"/>
      <w:szCs w:val="18"/>
    </w:rPr>
  </w:style>
  <w:style w:type="paragraph" w:styleId="21">
    <w:name w:val="footer"/>
    <w:basedOn w:val="0"/>
    <w:pPr>
      <w:tabs>
        <w:tab w:val="center" w:pos="4153"/>
        <w:tab w:val="right" w:pos="8307"/>
      </w:tabs>
      <w:snapToGrid w:val="0"/>
      <w:jc w:val="left"/>
    </w:pPr>
    <w:rPr>
      <w:sz w:val="18"/>
    </w:rPr>
  </w:style>
  <w:style w:type="paragraph" w:styleId="22">
    <w:name w:val="header"/>
    <w:basedOn w:val="0"/>
    <w:pPr>
      <w:pBdr>
        <w:bottom w:val="single" w:sz="6" w:space="1" w:color="auto"/>
      </w:pBdr>
      <w:tabs>
        <w:tab w:val="center" w:pos="4153"/>
        <w:tab w:val="right" w:pos="8307"/>
      </w:tabs>
      <w:snapToGrid w:val="0"/>
      <w:jc w:val="center"/>
    </w:pPr>
    <w:rPr>
      <w:sz w:val="18"/>
    </w:rPr>
  </w:style>
  <w:style w:type="character" w:styleId="23">
    <w:name w:val="page number"/>
    <w:basedOn w:val="10"/>
  </w:style>
  <w:style w:type="character" w:styleId="24">
    <w:name w:val="annotation reference"/>
    <w:basedOn w:val="10"/>
    <w:rPr>
      <w:sz w:val="21"/>
      <w:szCs w:val="21"/>
    </w:rPr>
  </w:style>
  <w:style w:type="paragraph" w:customStyle="1" w:styleId="25">
    <w:name w:val="样式 10 磅"/>
    <w:pPr>
      <w:widowControl w:val="0"/>
      <w:jc w:val="both"/>
    </w:pPr>
    <w:rPr>
      <w:rFonts w:ascii="Calibri" w:eastAsia="宋体" w:cs="Arial" w:hAnsi="Calibri"/>
      <w:kern w:val="2"/>
      <w:sz w:val="21"/>
      <w:szCs w:val="24"/>
      <w:lang w:val="en-US" w:eastAsia="zh-CN" w:bidi="ar-SA"/>
    </w:rPr>
  </w:style>
  <w:style w:type="paragraph" w:customStyle="1" w:styleId="26">
    <w:name w:val="样式 1 10 磅"/>
    <w:pPr>
      <w:widowControl w:val="0"/>
      <w:jc w:val="both"/>
    </w:pPr>
    <w:rPr>
      <w:rFonts w:ascii="Calibri" w:eastAsia="宋体" w:cs="Arial" w:hAnsi="Calibri"/>
      <w:kern w:val="2"/>
      <w:sz w:val="21"/>
      <w:szCs w:val="24"/>
      <w:lang w:val="en-US" w:eastAsia="zh-CN" w:bidi="ar-SA"/>
    </w:rPr>
  </w:style>
  <w:style w:type="paragraph" w:customStyle="1" w:styleId="27">
    <w:name w:val="样式 2 10 磅"/>
    <w:pPr>
      <w:widowControl w:val="0"/>
      <w:jc w:val="both"/>
    </w:pPr>
    <w:rPr>
      <w:rFonts w:ascii="Calibri" w:eastAsia="宋体" w:cs="Arial" w:hAnsi="Calibri"/>
      <w:kern w:val="2"/>
      <w:sz w:val="21"/>
      <w:szCs w:val="24"/>
      <w:lang w:val="en-US" w:eastAsia="zh-CN" w:bidi="ar-SA"/>
    </w:rPr>
  </w:style>
  <w:style w:type="paragraph" w:customStyle="1" w:styleId="28">
    <w:name w:val="样式 3 10 磅"/>
    <w:pPr>
      <w:widowControl w:val="0"/>
      <w:jc w:val="both"/>
    </w:pPr>
    <w:rPr>
      <w:rFonts w:ascii="Calibri" w:eastAsia="宋体" w:cs="Arial" w:hAnsi="Calibri"/>
      <w:kern w:val="2"/>
      <w:sz w:val="21"/>
      <w:szCs w:val="24"/>
      <w:lang w:val="en-US" w:eastAsia="zh-CN" w:bidi="ar-SA"/>
    </w:rPr>
  </w:style>
  <w:style w:type="paragraph" w:customStyle="1" w:styleId="29">
    <w:name w:val="样式 4 10 磅"/>
    <w:pPr>
      <w:widowControl w:val="0"/>
      <w:jc w:val="both"/>
    </w:pPr>
    <w:rPr>
      <w:rFonts w:ascii="Calibri" w:eastAsia="宋体" w:cs="Arial" w:hAnsi="Calibri"/>
      <w:kern w:val="2"/>
      <w:sz w:val="21"/>
      <w:szCs w:val="24"/>
      <w:lang w:val="en-US" w:eastAsia="zh-CN" w:bidi="ar-SA"/>
    </w:rPr>
  </w:style>
  <w:style w:type="paragraph" w:customStyle="1" w:styleId="30">
    <w:name w:val="样式 8 10 磅"/>
    <w:next w:val="19"/>
    <w:pPr>
      <w:widowControl w:val="0"/>
      <w:ind w:firstLineChars="200" w:firstLine="200"/>
      <w:jc w:val="both"/>
    </w:pPr>
    <w:rPr>
      <w:rFonts w:ascii="Calibri" w:eastAsia="宋体" w:cs="Times New Roman" w:hAnsi="Calibri"/>
      <w:kern w:val="2"/>
      <w:sz w:val="21"/>
      <w:szCs w:val="22"/>
      <w:lang w:val="en-US" w:eastAsia="zh-CN" w:bidi="ar-SA"/>
    </w:rPr>
  </w:style>
  <w:style w:type="paragraph" w:customStyle="1" w:styleId="31">
    <w:name w:val="样式 5 10 磅"/>
    <w:pPr>
      <w:widowControl w:val="0"/>
      <w:jc w:val="both"/>
    </w:pPr>
    <w:rPr>
      <w:rFonts w:ascii="Calibri" w:eastAsia="宋体" w:cs="Arial" w:hAnsi="Calibri"/>
      <w:kern w:val="2"/>
      <w:sz w:val="21"/>
      <w:szCs w:val="24"/>
      <w:lang w:val="en-US" w:eastAsia="zh-CN" w:bidi="ar-SA"/>
    </w:rPr>
  </w:style>
  <w:style w:type="paragraph" w:customStyle="1" w:styleId="32">
    <w:name w:val="样式 6 10 磅"/>
    <w:pPr>
      <w:widowControl w:val="0"/>
      <w:jc w:val="both"/>
    </w:pPr>
    <w:rPr>
      <w:rFonts w:ascii="Calibri" w:eastAsia="宋体" w:cs="Arial" w:hAnsi="Calibri"/>
      <w:kern w:val="2"/>
      <w:sz w:val="21"/>
      <w:szCs w:val="24"/>
      <w:lang w:val="en-US" w:eastAsia="zh-CN" w:bidi="ar-SA"/>
    </w:rPr>
  </w:style>
  <w:style w:type="paragraph" w:customStyle="1" w:styleId="33">
    <w:name w:val="样式 23 10 磅"/>
    <w:pPr>
      <w:widowControl w:val="0"/>
      <w:jc w:val="both"/>
    </w:pPr>
    <w:rPr>
      <w:rFonts w:ascii="Calibri" w:eastAsia="宋体" w:cs="Arial" w:hAnsi="Calibri"/>
      <w:kern w:val="2"/>
      <w:sz w:val="21"/>
      <w:szCs w:val="24"/>
      <w:lang w:val="en-US" w:eastAsia="zh-CN" w:bidi="ar-SA"/>
    </w:rPr>
  </w:style>
  <w:style w:type="paragraph" w:customStyle="1" w:styleId="34">
    <w:name w:val="样式 7 10 磅"/>
    <w:pPr>
      <w:widowControl w:val="0"/>
      <w:jc w:val="both"/>
    </w:pPr>
    <w:rPr>
      <w:rFonts w:ascii="Arial" w:eastAsia="黑体" w:cs="Arial" w:hAnsi="Arial"/>
      <w:b/>
      <w:bCs/>
      <w:kern w:val="2"/>
      <w:lang w:val="en-US" w:eastAsia="zh-CN" w:bidi="ar-SA"/>
    </w:rPr>
  </w:style>
  <w:style w:type="paragraph" w:customStyle="1" w:styleId="35">
    <w:name w:val="样式 25 10 磅"/>
    <w:pPr>
      <w:widowControl w:val="0"/>
      <w:jc w:val="both"/>
    </w:pPr>
    <w:rPr>
      <w:rFonts w:ascii="Calibri" w:eastAsia="宋体" w:cs="Arial" w:hAnsi="Calibri"/>
      <w:kern w:val="2"/>
      <w:sz w:val="21"/>
      <w:szCs w:val="24"/>
      <w:lang w:val="en-US" w:eastAsia="zh-CN" w:bidi="ar-SA"/>
    </w:rPr>
  </w:style>
  <w:style w:type="paragraph" w:customStyle="1" w:styleId="36">
    <w:name w:val="样式 28 10 磅"/>
    <w:next w:val="15"/>
    <w:pPr>
      <w:widowControl w:val="0"/>
      <w:ind w:firstLineChars="200" w:firstLine="200"/>
      <w:jc w:val="both"/>
    </w:pPr>
    <w:rPr>
      <w:rFonts w:ascii="Calibri" w:eastAsia="宋体" w:cs="Times New Roman" w:hAnsi="Calibri"/>
      <w:kern w:val="2"/>
      <w:sz w:val="21"/>
      <w:szCs w:val="22"/>
      <w:lang w:val="en-US" w:eastAsia="zh-CN" w:bidi="ar-SA"/>
    </w:rPr>
  </w:style>
  <w:style w:type="paragraph" w:customStyle="1" w:styleId="37">
    <w:name w:val="样式 9 10 磅"/>
    <w:pPr>
      <w:widowControl w:val="0"/>
      <w:jc w:val="both"/>
    </w:pPr>
    <w:rPr>
      <w:rFonts w:ascii="Calibri" w:eastAsia="宋体" w:cs="Arial" w:hAnsi="Calibri"/>
      <w:kern w:val="2"/>
      <w:sz w:val="21"/>
      <w:szCs w:val="24"/>
      <w:lang w:val="en-US" w:eastAsia="zh-CN" w:bidi="ar-SA"/>
    </w:rPr>
  </w:style>
  <w:style w:type="paragraph" w:customStyle="1" w:styleId="38">
    <w:name w:val="样式 10 10 磅"/>
    <w:next w:val="32"/>
    <w:pPr>
      <w:widowControl w:val="0"/>
      <w:jc w:val="both"/>
    </w:pPr>
    <w:rPr>
      <w:rFonts w:ascii="Calibri" w:eastAsia="宋体" w:cs="Arial" w:hAnsi="Calibri"/>
      <w:kern w:val="2"/>
      <w:sz w:val="21"/>
      <w:szCs w:val="24"/>
      <w:lang w:val="en-US" w:eastAsia="zh-CN" w:bidi="ar-SA"/>
    </w:rPr>
  </w:style>
  <w:style w:type="paragraph" w:customStyle="1" w:styleId="39">
    <w:name w:val="样式 11 10 磅"/>
    <w:pPr>
      <w:widowControl w:val="0"/>
      <w:jc w:val="both"/>
    </w:pPr>
    <w:rPr>
      <w:rFonts w:ascii="Calibri" w:eastAsia="宋体" w:cs="Arial" w:hAnsi="Calibri"/>
      <w:kern w:val="2"/>
      <w:sz w:val="21"/>
      <w:szCs w:val="24"/>
      <w:lang w:val="en-US" w:eastAsia="zh-CN" w:bidi="ar-SA"/>
    </w:rPr>
  </w:style>
  <w:style w:type="paragraph" w:customStyle="1" w:styleId="40">
    <w:name w:val="样式 12 10 磅"/>
    <w:link w:val="40Char"/>
    <w:pPr>
      <w:widowControl w:val="0"/>
      <w:jc w:val="both"/>
    </w:pPr>
    <w:rPr>
      <w:rFonts w:ascii="Calibri" w:eastAsia="宋体" w:cs="Arial" w:hAnsi="Calibri"/>
      <w:kern w:val="2"/>
      <w:sz w:val="21"/>
      <w:szCs w:val="24"/>
      <w:lang w:val="en-US" w:eastAsia="zh-CN" w:bidi="ar-SA"/>
    </w:rPr>
  </w:style>
  <w:style w:type="character" w:customStyle="1" w:styleId="40Char">
    <w:name w:val="样式 12 10 磅 Char"/>
    <w:basedOn w:val="10"/>
    <w:link w:val="40"/>
    <w:rPr>
      <w:rFonts w:ascii="Calibri" w:eastAsia="宋体" w:cs="Arial" w:hAnsi="Calibri"/>
      <w:kern w:val="2"/>
      <w:sz w:val="21"/>
      <w:szCs w:val="24"/>
      <w:lang w:val="en-US" w:eastAsia="zh-CN" w:bidi="ar-SA"/>
    </w:rPr>
  </w:style>
  <w:style w:type="paragraph" w:customStyle="1" w:styleId="41">
    <w:name w:val="样式 33 10 磅"/>
    <w:next w:val="16"/>
    <w:pPr>
      <w:widowControl w:val="0"/>
      <w:ind w:firstLineChars="200" w:firstLine="200"/>
      <w:jc w:val="both"/>
    </w:pPr>
    <w:rPr>
      <w:rFonts w:ascii="Calibri" w:eastAsia="宋体" w:cs="Times New Roman" w:hAnsi="Calibri"/>
      <w:kern w:val="2"/>
      <w:sz w:val="21"/>
      <w:szCs w:val="22"/>
      <w:lang w:val="en-US" w:eastAsia="zh-CN" w:bidi="ar-SA"/>
    </w:rPr>
  </w:style>
  <w:style w:type="paragraph" w:customStyle="1" w:styleId="42">
    <w:name w:val="样式 13 10 磅"/>
    <w:pPr>
      <w:widowControl w:val="0"/>
      <w:jc w:val="both"/>
    </w:pPr>
    <w:rPr>
      <w:rFonts w:ascii="Calibri" w:eastAsia="宋体" w:cs="Arial" w:hAnsi="Calibri"/>
      <w:kern w:val="2"/>
      <w:sz w:val="21"/>
      <w:szCs w:val="24"/>
      <w:lang w:val="en-US" w:eastAsia="zh-CN" w:bidi="ar-SA"/>
    </w:rPr>
  </w:style>
  <w:style w:type="paragraph" w:customStyle="1" w:styleId="43">
    <w:name w:val="样式 14 10 磅"/>
    <w:pPr>
      <w:widowControl w:val="0"/>
      <w:jc w:val="both"/>
    </w:pPr>
    <w:rPr>
      <w:rFonts w:ascii="Calibri" w:eastAsia="宋体" w:cs="Arial" w:hAnsi="Calibri"/>
      <w:kern w:val="2"/>
      <w:sz w:val="21"/>
      <w:szCs w:val="24"/>
      <w:lang w:val="en-US" w:eastAsia="zh-CN" w:bidi="ar-SA"/>
    </w:rPr>
  </w:style>
  <w:style w:type="paragraph" w:customStyle="1" w:styleId="44">
    <w:name w:val="样式 15 10 磅"/>
    <w:pPr>
      <w:widowControl w:val="0"/>
      <w:jc w:val="both"/>
    </w:pPr>
    <w:rPr>
      <w:rFonts w:ascii="Calibri" w:eastAsia="宋体" w:cs="Arial" w:hAnsi="Calibri"/>
      <w:kern w:val="2"/>
      <w:sz w:val="21"/>
      <w:szCs w:val="24"/>
      <w:lang w:val="en-US" w:eastAsia="zh-CN" w:bidi="ar-SA"/>
    </w:rPr>
  </w:style>
  <w:style w:type="paragraph" w:customStyle="1" w:styleId="45">
    <w:name w:val="样式 16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131</TotalTime>
  <Application>Yozo_Office</Application>
  <Pages>4</Pages>
  <Words>3130</Words>
  <Characters>3587</Characters>
  <Lines>634</Lines>
  <Paragraphs>412</Paragraphs>
  <CharactersWithSpaces>3606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杨璐</dc:creator>
  <cp:lastModifiedBy>付玮</cp:lastModifiedBy>
  <cp:revision>5</cp:revision>
  <cp:lastPrinted>2025-08-11T09:46:00Z</cp:lastPrinted>
  <dcterms:created xsi:type="dcterms:W3CDTF">2025-08-08T09:37:00Z</dcterms:created>
  <dcterms:modified xsi:type="dcterms:W3CDTF">2026-06-22T10:32:36Z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eyJoZGlkIjoiYWU5OGI4MmI0NzAwMTkzNjYzYTBhYzYyNWYzZTc0ZTkiLCJ1c2VySWQiOiI3NjY4NTA5MDcifQ==</vt:lpwstr>
  </property>
  <property fmtid="{D5CDD505-2E9C-101B-9397-08002B2CF9AE}" pid="3" name="KSOProductBuildVer">
    <vt:lpwstr>2052-12.1.0.26895</vt:lpwstr>
  </property>
  <property fmtid="{D5CDD505-2E9C-101B-9397-08002B2CF9AE}" pid="4" name="ICV">
    <vt:lpwstr>136F5E7C35F24150983C07B6E483D0F5_13</vt:lpwstr>
  </property>
</Properties>
</file>