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  <w:r>
        <w:rPr>
          <w:rFonts w:ascii="方正小标宋_GBK" w:eastAsia="方正小标宋_GBK" w:cs="方正小标宋_GBK"/>
          <w:sz w:val="44"/>
          <w:szCs w:val="44"/>
        </w:rPr>
        <w:t>表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二连海关缉私分局办案区视频监控改造采购项目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19000.00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具有良好商业信誉和健全的财务会计制度。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3.具有履行合同所必需的设备和专业技术能力。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4.有依法缴纳税收和社会保障资金的良好记录。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6.未被列入失信被执行人、税收违法黑名单、政府采购严重违法失信行为记录名单和法律、行政法规规定的其他条件。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1.工期：3天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2.其他要求：详见采购公告。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272</TotalTime>
  <Application>Yozo_Office</Application>
  <Pages>2</Pages>
  <Words>355</Words>
  <Characters>372</Characters>
  <Lines>33</Lines>
  <Paragraphs>29</Paragraphs>
  <CharactersWithSpaces>372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2026-07-06T08:23:13Z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