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赛罕海关更换维修楼门</w:t>
            </w:r>
            <w:r>
              <w:rPr>
                <w:rFonts w:ascii="仿宋_GB2312" w:eastAsia="仿宋_GB2312" w:cs="方正仿宋_GBK"/>
                <w:sz w:val="32"/>
                <w:szCs w:val="32"/>
                <w:lang w:val="en-US" w:eastAsia="zh-CN"/>
              </w:rPr>
              <w:t>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赛罕海关办公室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251408.34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中共赛罕海关委员会会议纪要(2026年第7期)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经费来源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行政运行经费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综合评分法（权重：价格</w:t>
            </w: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30</w:t>
            </w:r>
            <w:r>
              <w:rPr>
                <w:rFonts w:ascii="仿宋_GB2312" w:eastAsia="仿宋_GB2312" w:cs="方正仿宋_GBK" w:hint="eastAsia"/>
                <w:sz w:val="32"/>
                <w:szCs w:val="32"/>
              </w:rPr>
              <w:t>%、</w:t>
            </w: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商务18</w:t>
            </w:r>
            <w:r>
              <w:rPr>
                <w:rFonts w:ascii="仿宋_GB2312" w:eastAsia="仿宋_GB2312" w:cs="方正仿宋_GBK" w:hint="eastAsia"/>
                <w:sz w:val="32"/>
                <w:szCs w:val="32"/>
              </w:rPr>
              <w:t>%</w:t>
            </w:r>
            <w:r>
              <w:rPr>
                <w:rFonts w:ascii="仿宋_GB2312" w:eastAsia="仿宋_GB2312" w:cs="方正仿宋_GBK" w:hint="eastAsia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技术52%</w:t>
            </w:r>
            <w:r>
              <w:rPr>
                <w:rFonts w:ascii="仿宋_GB2312" w:eastAsia="仿宋_GB2312" w:cs="方正仿宋_GBK" w:hint="eastAsia"/>
                <w:sz w:val="32"/>
                <w:szCs w:val="32"/>
              </w:rPr>
              <w:t>）</w:t>
            </w:r>
          </w:p>
        </w:tc>
      </w:tr>
      <w:tr>
        <w:trPr>
          <w:trHeight w:val="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编制人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卢  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复核人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（科室负责人）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范雨佳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审核人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（部门负责人）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张  勃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cs="方正仿宋_GBK" w:hint="eastAsia"/>
                <w:sz w:val="32"/>
                <w:szCs w:val="32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具有独立承担民事责任的能力。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单位负责人为同一人或者存在直接控股、管理关系的不同服务商，不得参加同一合同项下的采购活动。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3.对在“信用中国”网站(www.creditchina.gov.cn)、中国政府采购网(www.ccgp.gov.cn)等渠道列入失信被执行人、重大税收违法失信主体、政府采购严重违法失信行为记录名单及其他不符合《中华人民共和国政府采购法》第二十二条规定条件的服务商，不得参与采购活动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4.本次采购不接受联合体参与比选。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5.具备楼门制作、安装、维修等相应资质。</w:t>
            </w:r>
          </w:p>
          <w:p>
            <w:pPr>
              <w:spacing w:line="400" w:lineRule="exact"/>
              <w:rPr>
                <w:rFonts w:ascii="仿宋_GB2312" w:eastAsia="仿宋_GB2312" w:cs="方正仿宋_GBK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不满足资格条件的响应文件将按无效响应文件处理</w:t>
            </w:r>
            <w:r>
              <w:rPr>
                <w:rFonts w:ascii="仿宋_GB2312" w:eastAsia="仿宋_GB2312" w:cs="Times New Roman" w:hint="eastAsia"/>
                <w:sz w:val="32"/>
                <w:szCs w:val="32"/>
                <w:lang w:eastAsia="zh-CN"/>
              </w:rPr>
              <w:t>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实质性需求</w:t>
            </w:r>
          </w:p>
        </w:tc>
        <w:tc>
          <w:tcPr>
            <w:tcW w:w="6862" w:type="dxa"/>
          </w:tcPr>
          <w:p>
            <w:pPr>
              <w:numPr>
                <w:ilvl w:val="0"/>
                <w:numId w:val="2"/>
              </w:numPr>
              <w:spacing w:line="400" w:lineRule="exact"/>
              <w:ind w:left="0" w:firstLine="0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具体详见施工图纸、工程量清单。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0" w:firstLine="0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选用的建筑材料包括主材、辅材必须为国标产品、符合国家验收标准。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0" w:firstLine="0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预算控制价及报价说明。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3.1本项目预算控制价为:</w:t>
            </w: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贰拾伍万壹仟肆佰零捌元叁角肆分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(小写:</w:t>
            </w: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251408.34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元)，此控制价含税、暂列金(20,000.00元)。超出控制价视为无效。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.2已标价的工程量清单作为报价的一部分需装订入响应文件，如果响应文件中没有已标价工程量清单视为</w:t>
            </w: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无效响应文件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3.3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供应商报价中的暂列金、暂估价必须按给定的此内容填写。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4.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商务要求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4.1工期:接到甲方开工通知后30天内完工;施工地点:呼和浩特市赛罕区鄂尔多斯大街12</w:t>
            </w: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号。</w:t>
            </w:r>
          </w:p>
          <w:p>
            <w:pPr>
              <w:spacing w:line="400" w:lineRule="exact"/>
              <w:ind w:firstLine="0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4.2支付方式:签订合同后，支付合同总额的30%款项;工程竣工验收合格，经甲方委托的审计单位审定工程结算价，</w:t>
            </w:r>
            <w:r>
              <w:rPr>
                <w:rFonts w:ascii="仿宋_GB2312" w:eastAsia="仿宋_GB2312" w:cs="Times New Roman"/>
                <w:sz w:val="32"/>
                <w:szCs w:val="32"/>
              </w:rPr>
              <w:t>甲方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支付</w:t>
            </w:r>
            <w:r>
              <w:rPr>
                <w:rFonts w:ascii="仿宋_GB2312" w:eastAsia="仿宋_GB2312" w:cs="Times New Roman"/>
                <w:sz w:val="32"/>
                <w:szCs w:val="32"/>
              </w:rPr>
              <w:t>至结算价的97%，剩余3%作为质量保证金</w:t>
            </w:r>
            <w:r>
              <w:rPr>
                <w:rFonts w:ascii="仿宋_GB2312" w:eastAsia="仿宋_GB2312" w:cs="Times New Roman" w:hint="eastAsia"/>
                <w:sz w:val="32"/>
                <w:szCs w:val="32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4.3质量保证金:工程结算价款总额的3%作为质量保证金，质量保修期满后30日内无息退还。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.4质量要求:符合国家及行业相关规范和标准，满足设计要求。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4.5安全要求:确保安全文明施工，执行国家现行相关规定。</w:t>
            </w:r>
          </w:p>
          <w:p>
            <w:pPr>
              <w:spacing w:line="40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lang w:val="en-US" w:eastAsia="zh-CN"/>
              </w:rPr>
              <w:t>4.6质量保修期:按照《建设工程质量管理条例》要求执行，自竣工验收合格之日起计算1年。</w:t>
            </w:r>
          </w:p>
        </w:tc>
      </w:tr>
      <w:tr>
        <w:trPr>
          <w:trHeight w:val="1650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评审因素</w:t>
            </w:r>
          </w:p>
        </w:tc>
        <w:tc>
          <w:tcPr>
            <w:tcW w:w="6862" w:type="dxa"/>
          </w:tcPr>
          <w:tbl>
            <w:tblPr>
              <w:jc w:val="left"/>
              <w:tblInd w:w="-14" w:type="dxa"/>
              <w:tblW w:w="66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8"/>
              <w:gridCol w:w="1388"/>
              <w:gridCol w:w="4124"/>
            </w:tblGrid>
            <w:tr>
              <w:trPr>
                <w:trHeight w:val="460"/>
              </w:trPr>
              <w:tc>
                <w:tcPr>
                  <w:tcW w:w="1108" w:type="dxa"/>
                  <w:tcBorders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评审因素</w:t>
                  </w:r>
                </w:p>
              </w:tc>
              <w:tc>
                <w:tcPr>
                  <w:tcW w:w="5512" w:type="dxa"/>
                  <w:gridSpan w:val="2"/>
                  <w:tcBorders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评审标准</w:t>
                  </w:r>
                </w:p>
              </w:tc>
            </w:tr>
            <w:tr>
              <w:trPr>
                <w:trHeight w:val="967"/>
              </w:trPr>
              <w:tc>
                <w:tcPr>
                  <w:tcW w:w="1108" w:type="dxa"/>
                  <w:tcBorders>
                    <w:tl2br w:val="nil"/>
                    <w:tr2bl w:val="nil"/>
                  </w:tcBorders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分值构成</w:t>
                  </w:r>
                </w:p>
              </w:tc>
              <w:tc>
                <w:tcPr>
                  <w:tcW w:w="5512" w:type="dxa"/>
                  <w:gridSpan w:val="2"/>
                  <w:tcBorders>
                    <w:tl2br w:val="nil"/>
                    <w:tr2bl w:val="nil"/>
                  </w:tcBorders>
                </w:tcPr>
                <w:p>
                  <w:pPr>
                    <w:pStyle w:val="20"/>
                    <w:spacing w:before="11"/>
                    <w:ind w:left="64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pacing w:val="-3"/>
                      <w:w w:val="104"/>
                      <w:sz w:val="32"/>
                      <w:szCs w:val="32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w w:val="104"/>
                      <w:sz w:val="32"/>
                      <w:szCs w:val="32"/>
                    </w:rPr>
                    <w:t>、技术部分</w:t>
                  </w:r>
                  <w:r>
                    <w:rPr>
                      <w:rFonts w:ascii="仿宋_GB2312" w:eastAsia="仿宋_GB2312" w:cs="仿宋" w:hint="eastAsia"/>
                      <w:spacing w:val="-3"/>
                      <w:w w:val="104"/>
                      <w:sz w:val="32"/>
                      <w:szCs w:val="32"/>
                      <w:lang w:val="en-US" w:eastAsia="zh-CN"/>
                    </w:rPr>
                    <w:t>52</w:t>
                  </w:r>
                  <w:r>
                    <w:rPr>
                      <w:rFonts w:ascii="仿宋_GB2312" w:eastAsia="仿宋_GB2312" w:cs="仿宋" w:hint="eastAsia"/>
                      <w:w w:val="104"/>
                      <w:sz w:val="32"/>
                      <w:szCs w:val="32"/>
                    </w:rPr>
                    <w:t>分</w:t>
                  </w:r>
                </w:p>
                <w:p>
                  <w:pPr>
                    <w:pStyle w:val="20"/>
                    <w:ind w:left="64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pacing w:val="-3"/>
                      <w:w w:val="104"/>
                      <w:sz w:val="32"/>
                      <w:szCs w:val="32"/>
                    </w:rPr>
                    <w:t>2</w:t>
                  </w:r>
                  <w:r>
                    <w:rPr>
                      <w:rFonts w:ascii="仿宋_GB2312" w:eastAsia="仿宋_GB2312" w:cs="仿宋" w:hint="eastAsia"/>
                      <w:w w:val="104"/>
                      <w:sz w:val="32"/>
                      <w:szCs w:val="32"/>
                    </w:rPr>
                    <w:t>、商务部分18分</w:t>
                  </w:r>
                </w:p>
                <w:p>
                  <w:pPr>
                    <w:pStyle w:val="20"/>
                    <w:spacing w:line="326" w:lineRule="exact"/>
                    <w:ind w:left="64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pacing w:val="-3"/>
                      <w:w w:val="104"/>
                      <w:sz w:val="32"/>
                      <w:szCs w:val="32"/>
                    </w:rPr>
                    <w:t>3</w:t>
                  </w:r>
                  <w:r>
                    <w:rPr>
                      <w:rFonts w:ascii="仿宋_GB2312" w:eastAsia="仿宋_GB2312" w:cs="仿宋" w:hint="eastAsia"/>
                      <w:w w:val="104"/>
                      <w:sz w:val="32"/>
                      <w:szCs w:val="32"/>
                    </w:rPr>
                    <w:t>、报价得分</w:t>
                  </w:r>
                  <w:r>
                    <w:rPr>
                      <w:rFonts w:ascii="仿宋_GB2312" w:eastAsia="仿宋_GB2312" w:cs="仿宋" w:hint="eastAsia"/>
                      <w:spacing w:val="-3"/>
                      <w:w w:val="104"/>
                      <w:sz w:val="32"/>
                      <w:szCs w:val="32"/>
                    </w:rPr>
                    <w:t>30</w:t>
                  </w:r>
                  <w:r>
                    <w:rPr>
                      <w:rFonts w:ascii="仿宋_GB2312" w:eastAsia="仿宋_GB2312" w:cs="仿宋" w:hint="eastAsia"/>
                      <w:w w:val="104"/>
                      <w:sz w:val="32"/>
                      <w:szCs w:val="32"/>
                    </w:rPr>
                    <w:t>分</w:t>
                  </w:r>
                </w:p>
              </w:tc>
            </w:tr>
            <w:tr>
              <w:trPr>
                <w:trHeight w:val="458"/>
              </w:trPr>
              <w:tc>
                <w:tcPr>
                  <w:tcW w:w="1108" w:type="dxa"/>
                  <w:vMerge w:val="restart"/>
                  <w:tcBorders>
                    <w:tl2br w:val="nil"/>
                    <w:tr2bl w:val="nil"/>
                  </w:tcBorders>
                </w:tcPr>
                <w:p>
                  <w:pPr>
                    <w:pStyle w:val="2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pStyle w:val="2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pStyle w:val="2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pStyle w:val="2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pStyle w:val="2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pStyle w:val="2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  <w:p>
                  <w:pPr>
                    <w:pStyle w:val="20"/>
                    <w:spacing w:before="145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技术部分</w:t>
                  </w:r>
                </w:p>
                <w:p>
                  <w:pPr>
                    <w:pStyle w:val="20"/>
                    <w:spacing w:before="145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52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分）</w:t>
                  </w:r>
                </w:p>
                <w:p>
                  <w:pPr>
                    <w:pStyle w:val="20"/>
                    <w:spacing w:before="145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总体施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案与技术</w:t>
                  </w:r>
                </w:p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措施</w:t>
                  </w:r>
                </w:p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(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15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.0分)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根据供应商针对本项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提供的总体施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工方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案与技术措施，综合评定。内容包括： 1.施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工方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范围制定分区、分时段施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规划，明确施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区域隔离防护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案；2.技术措施：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内容编制完整施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艺、标准化作业流程；3.技术标准：列明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适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的国家、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业现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及验收规范清单；4.恶劣天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气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保障：结合项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况制定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季、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高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温、低温等不利条件施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保障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案；5.现场人员管理制度：持证上岗、现场通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、作业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为管控相关制度；</w:t>
                  </w:r>
                </w:p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针对以上5项内容进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评审，每项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分，最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高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得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15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分。每缺少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项内容扣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分，每项中每存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</w:rPr>
                    <w:t>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处缺陷扣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每项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最多扣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分。（注：“缺陷”指以下任意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</w:rPr>
                    <w:t>一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种情形：内容不切合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业实际、不符合国家法规政策；或内容凭空编造，与实际情况不符，存在偏差；或内容过于简略；或存在与项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目无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关的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文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字内容；或内容不适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实际情况；或内容逻辑漏洞或原理错误；或地点区域错误；或套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其他项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案；或前后内容互相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盾；或专业领域知识阐述有误。）</w:t>
                  </w:r>
                </w:p>
              </w:tc>
            </w:tr>
            <w:tr>
              <w:trPr>
                <w:trHeight w:val="611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  <w:t>质量管理体系与措施(10.0分)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  <w:t>根据供应商针对本项目提供的质量管理体系与措施，综合评定。内容包括：1.质量管理体系规范性：设置完整质量管理组织架构、岗位职责、全流程管控制度；2.质量控制计划：匹配本项目施工工序制定关键节点检测、验收管控计划； 3.材料质量保障：材料抽检管理、进场材料合格证管理；4.过程质量把控：明确隐蔽工程验收节点、现场管控要求，留存</w:t>
                  </w:r>
                  <w:r>
                    <w:rPr>
                      <w:rFonts w:ascii="仿宋_GB2312" w:eastAsia="仿宋_GB2312" w:cs="仿宋"/>
                      <w:kern w:val="2"/>
                      <w:sz w:val="32"/>
                      <w:szCs w:val="32"/>
                      <w:lang w:val="en-US" w:eastAsia="zh-CN" w:bidi="ar-SA"/>
                    </w:rPr>
                    <w:t>隐蔽工程</w:t>
                  </w:r>
                  <w: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  <w:t>影像资料；5.质量通病防治：针对本项目施</w:t>
                  </w:r>
                  <w:r>
                    <w:rPr>
                      <w:rFonts w:ascii="仿宋_GB2312" w:eastAsia="仿宋_GB2312" w:cs="仿宋"/>
                      <w:kern w:val="2"/>
                      <w:sz w:val="32"/>
                      <w:szCs w:val="32"/>
                      <w:lang w:val="en-US" w:eastAsia="zh-CN" w:bidi="ar-SA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  <w:t>常见质量问题制定专项防治措施。</w:t>
                  </w:r>
                </w:p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  <w:t>针对以上5项内容进行评审，每项2分，最高得10分。每缺少1项内容扣2分，每项中每存在1处缺陷扣</w:t>
                  </w:r>
                  <w:r>
                    <w:rPr>
                      <w:rFonts w:ascii="仿宋_GB2312" w:eastAsia="仿宋_GB2312" w:cs="仿宋"/>
                      <w:kern w:val="2"/>
                      <w:sz w:val="32"/>
                      <w:szCs w:val="32"/>
                      <w:lang w:val="en-US" w:eastAsia="zh-CN" w:bidi="ar-SA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  <w:t>分，每项最多扣2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1441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安全管理体系与措施(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5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.0分)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根据供应商针对本项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提供的安全管理体系与措施，综合评定。内容包括：1.安全管理体系：明确项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安全责任，安全生产责任划分清晰；2.分项专项安全防护制度：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内容制定对应临电、有限空间等专项安全管理要求；3.安全培训与教育：现场安全教育、分部分项安全技术交底计划；4.现场安全防护：围挡、防护设施、消防器材、警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示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标识、夜间施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照明等硬件保障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案；5.施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区域隔离管控：制定施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区与办公区域安全隔离、通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引导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案。</w:t>
                  </w:r>
                </w:p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针对以上5项内容进行评审，每项1分，最高得5分。每缺少1项内容扣1分，每项中每存在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处缺陷扣0.5分，每项最多扣1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594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环境管理体系与措施(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.0分)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16"/>
                    <w:ind w:left="0" w:firstLineChars="0" w:firstLine="0"/>
                    <w:rPr>
                      <w:rFonts w:ascii="仿宋_GB2312" w:eastAsia="仿宋_GB2312" w:cs="仿宋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根据供应商针对本项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提供的环境管理体系与措施，综合评定。内容包括：1.扬尘控制：针对本项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拆除、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打磨、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切割等作业配套降尘施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措施；2.噪声控制：分时段管控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高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噪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音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作业，配备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需求的低噪设备；3.建筑垃圾管理：施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废料密封存放、及时清运，配套合规运输及消纳处置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案；4.有害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气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体管控：本项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涉及涂装、防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水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等挥发性材料的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配套环保材料检测、通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</w:rPr>
                    <w:t>风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管控措施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</w:rPr>
                    <w:t>。</w:t>
                  </w:r>
                </w:p>
                <w:p>
                  <w:pPr>
                    <w:pStyle w:val="16"/>
                    <w:ind w:left="0"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针对以上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项内容进行评审，每项1分，最高得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分。每缺少1项内容扣1分，每项中每存在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处缺陷扣0.5分，每项最多扣1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1430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程进度计划与措施 (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.0分)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根据供应商针对本项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提供的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程进度计划与措施，综合评定。内容包括：1.施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进度计划：提供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程量的总进度、分项节点横道图，明确关键施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节点；2.进度保障措施：配套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需求的保障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 3.分阶段施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安排：结合现场运营需求制定分区分段施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组织计划；4.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期滞后纠偏预案：针对各类停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影响因素制定适配本项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的赶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期调整措施。</w:t>
                  </w:r>
                </w:p>
                <w:p>
                  <w:pPr>
                    <w:pStyle w:val="16"/>
                    <w:ind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针对以上4项内容进行评审，每项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分，最高得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分。每缺少1项内容扣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分，每项中每存在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处缺陷扣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0.5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分，每项最多扣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1430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应急管理措施(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.0分)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根据供应商针对本项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提供的应急管理措施，综合评定。内容包括：1.施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现场通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停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水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、停电情应急响应处置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案；2.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内容制定渗漏、触电、坠物等专项险情处置及损失赔付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案；3.现场人员通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行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突发险情处置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案；4.各类施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安全事故标准化应急处置流程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；</w:t>
                  </w:r>
                </w:p>
                <w:p>
                  <w:pP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针对以上4项内容进行评审，每项1分，最高得4分。每缺少1项内容扣1分，每项中每存在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处缺陷扣0.5分，每项最多扣1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530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资源</w:t>
                  </w:r>
                </w:p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配备计划（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.0分）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根据供应商针对本项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提供的资源配备计划，综合评定。内容包括：1.资源需求测算：结合本项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程量测算劳动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、机械设备、主材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量；2.劳动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配置：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序配置各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种人员按需要额配备；3.机械设备配置：提供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匹配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本项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目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内容的专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用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施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eastAsia="zh-CN"/>
                    </w:rPr>
                    <w:t>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、检测设备清单；4.进场统筹计划：制定分批次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</w:rPr>
                    <w:t>人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员、材料、机械设备进场时序安排。</w:t>
                  </w:r>
                </w:p>
                <w:p>
                  <w:pPr>
                    <w:pStyle w:val="16"/>
                    <w:ind w:left="0"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针对以上4项内容进行评审，每项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分，最高得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分。每缺少1项内容扣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分，每项中每存在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处缺陷扣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0.5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分，每项最多扣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530"/>
              </w:trPr>
              <w:tc>
                <w:tcPr>
                  <w:tcW w:w="1108" w:type="dxa"/>
                  <w:vMerge/>
                  <w:tcBorders>
                    <w:tl2br w:val="nil"/>
                    <w:tr2bl w:val="nil"/>
                  </w:tcBorders>
                </w:tcPr>
                <w:p/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成品保护及现场管理（6.0分）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16"/>
                    <w:ind w:left="0"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根据供应商针对本项目提供的成品保护及现场管理，综合评定。内容包括：1.成品保护方案：针对本项目施工范围内原有建构筑物、设备、管线等制定防护措施；2.现场保洁及恢复：每日施工收尾清洁、工程完工后场地复原标准；3.施工现场标准化标识：规范设置施工警示、通行指引、材料分区堆放标识。</w:t>
                  </w:r>
                </w:p>
                <w:p>
                  <w:pPr>
                    <w:pStyle w:val="16"/>
                    <w:ind w:left="0" w:firstLineChars="0" w:firstLine="0"/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针对以上3项内容进行评审，每项2分，最高得6分。每缺少1项内容扣2分，每项中每存在</w:t>
                  </w:r>
                  <w:r>
                    <w:rPr>
                      <w:rFonts w:ascii="仿宋_GB2312" w:eastAsia="仿宋" w:cs="仿宋" w:hAnsi="仿宋_GB2312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处缺陷扣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分，每项最多扣2分。（注：“缺陷”指以下任意一种情形：内容不切合行业实际、不符合国家法规政策；或内容凭空编造，与实际情况不符，存在偏差；或内容过于简略；或存在与项目无关的文字内容；或内容不适用项目实际情况；或内容逻辑漏洞或原理错误；或地点区域错误；或套用其他项目方案；或前后内容互相矛盾；或专业领域知识阐述有误。）</w:t>
                  </w:r>
                </w:p>
              </w:tc>
            </w:tr>
            <w:tr>
              <w:trPr>
                <w:trHeight w:val="546"/>
              </w:trPr>
              <w:tc>
                <w:tcPr>
                  <w:tcW w:w="11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20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商务部分</w:t>
                  </w:r>
                </w:p>
                <w:p>
                  <w:pPr>
                    <w:pStyle w:val="20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18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分)</w:t>
                  </w:r>
                </w:p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 w:cs="仿宋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业绩</w:t>
                  </w:r>
                </w:p>
                <w:p>
                  <w:pPr>
                    <w:jc w:val="center"/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  <w:lang w:val="en-US" w:eastAsia="zh-CN"/>
                    </w:rPr>
                    <w:t>18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分）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供应商近三年（202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年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en-US" w:eastAsia="zh-CN"/>
                    </w:rPr>
                    <w:t>7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月1日至今）</w:t>
                  </w:r>
                  <w:r>
                    <w:rPr>
                      <w:rFonts w:ascii="仿宋_GB2312" w:eastAsia="仿宋_GB2312" w:cs="仿宋" w:hint="eastAsia"/>
                      <w:color w:val="auto"/>
                      <w:sz w:val="32"/>
                      <w:szCs w:val="32"/>
                    </w:rPr>
                    <w:t>类似项目业绩，每有一份得</w:t>
                  </w:r>
                  <w:r>
                    <w:rPr>
                      <w:rFonts w:ascii="仿宋_GB2312" w:eastAsia="仿宋_GB2312" w:cs="仿宋" w:hint="eastAsia"/>
                      <w:color w:val="auto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ascii="仿宋_GB2312" w:eastAsia="仿宋_GB2312" w:cs="仿宋" w:hint="eastAsia"/>
                      <w:color w:val="auto"/>
                      <w:sz w:val="32"/>
                      <w:szCs w:val="32"/>
                    </w:rPr>
                    <w:t>分，最多得</w:t>
                  </w:r>
                  <w:r>
                    <w:rPr>
                      <w:rFonts w:ascii="仿宋_GB2312" w:eastAsia="仿宋_GB2312" w:cs="仿宋" w:hint="eastAsia"/>
                      <w:color w:val="auto"/>
                      <w:sz w:val="32"/>
                      <w:szCs w:val="32"/>
                      <w:lang w:val="en-US" w:eastAsia="zh-CN"/>
                    </w:rPr>
                    <w:t>18</w:t>
                  </w:r>
                  <w:r>
                    <w:rPr>
                      <w:rFonts w:ascii="仿宋_GB2312" w:eastAsia="仿宋_GB2312" w:cs="仿宋" w:hint="eastAsia"/>
                      <w:color w:val="auto"/>
                      <w:sz w:val="32"/>
                      <w:szCs w:val="32"/>
                    </w:rPr>
                    <w:t>分，提供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合同，日期以合同签订日期为准，不提供不得分。</w:t>
                  </w:r>
                </w:p>
                <w:p>
                  <w:pPr>
                    <w:rPr>
                      <w:rFonts w:ascii="仿宋_GB2312" w:eastAsia="仿宋_GB2312" w:cs="仿宋" w:hint="eastAsia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（注：须提供业绩合同复印件并加盖公章，否则不得分</w:t>
                  </w:r>
                  <w:r>
                    <w:rPr>
                      <w:rFonts w:ascii="仿宋_GB2312" w:eastAsia="仿宋_GB2312" w:cs="仿宋"/>
                      <w:sz w:val="32"/>
                      <w:szCs w:val="32"/>
                    </w:rPr>
                    <w:t>，开标现场提供合同原件备查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）</w:t>
                  </w:r>
                </w:p>
              </w:tc>
            </w:tr>
            <w:tr>
              <w:trPr>
                <w:trHeight w:val="1153"/>
              </w:trPr>
              <w:tc>
                <w:tcPr>
                  <w:tcW w:w="110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20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报价</w:t>
                  </w:r>
                </w:p>
                <w:p>
                  <w:pPr>
                    <w:pStyle w:val="20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（30分)</w:t>
                  </w:r>
                </w:p>
              </w:tc>
              <w:tc>
                <w:tcPr>
                  <w:tcW w:w="138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20"/>
                    <w:ind w:left="64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 xml:space="preserve">报价得分 </w:t>
                  </w:r>
                </w:p>
                <w:p>
                  <w:pPr>
                    <w:pStyle w:val="20"/>
                    <w:ind w:left="64"/>
                    <w:jc w:val="center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</w:rPr>
                    <w:t>(30分)</w:t>
                  </w:r>
                </w:p>
              </w:tc>
              <w:tc>
                <w:tcPr>
                  <w:tcW w:w="412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pStyle w:val="20"/>
                    <w:spacing w:before="11" w:line="288" w:lineRule="auto"/>
                    <w:ind w:left="63" w:right="135"/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  <w:t>报价得分=（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bidi="zh-CN"/>
                    </w:rPr>
                    <w:t>评审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  <w:t>基准价/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bidi="zh-CN"/>
                    </w:rPr>
                    <w:t>投标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  <w:t>报价）×价格权值×100</w:t>
                  </w:r>
                </w:p>
                <w:p>
                  <w:pPr>
                    <w:pStyle w:val="20"/>
                    <w:spacing w:before="11" w:line="288" w:lineRule="auto"/>
                    <w:ind w:left="63" w:right="135"/>
                    <w:rPr>
                      <w:rFonts w:ascii="仿宋_GB2312" w:eastAsia="仿宋_GB2312" w:cs="仿宋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  <w:t>（注：满足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bidi="zh-CN"/>
                    </w:rPr>
                    <w:t>比选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  <w:t>文件要求且报价最低的供应商的价格为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bidi="zh-CN"/>
                    </w:rPr>
                    <w:t>评审</w:t>
                  </w:r>
                  <w:r>
                    <w:rPr>
                      <w:rFonts w:ascii="仿宋_GB2312" w:eastAsia="仿宋_GB2312" w:cs="仿宋" w:hint="eastAsia"/>
                      <w:sz w:val="32"/>
                      <w:szCs w:val="32"/>
                      <w:lang w:val="zh-CN" w:bidi="zh-CN"/>
                    </w:rPr>
                    <w:t>基准价，其价格分为满分。）最低报价不是成交的唯一依据。</w:t>
                  </w:r>
                </w:p>
              </w:tc>
            </w:tr>
          </w:tbl>
          <w:p>
            <w:pPr>
              <w:pStyle w:val="16"/>
              <w:ind w:left="0" w:firstLineChars="0" w:firstLine="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>
        <w:trPr>
          <w:trHeight w:val="141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仿宋_GB2312" w:eastAsia="仿宋_GB2312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1、公告期限3个工作日。</w:t>
            </w:r>
          </w:p>
          <w:p>
            <w:pPr>
              <w:spacing w:line="400" w:lineRule="exact"/>
              <w:jc w:val="left"/>
              <w:rPr>
                <w:rFonts w:ascii="仿宋_GB2312" w:eastAsia="仿宋_GB2312" w:cs="方正仿宋_GBK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2、响应文件份数：响应文件正本1份、副本</w:t>
            </w:r>
            <w:r>
              <w:rPr>
                <w:rFonts w:ascii="仿宋_GB2312" w:eastAsia="仿宋_GB2312" w:cs="方正仿宋_GBK"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 w:cs="方正仿宋_GBK" w:hint="eastAsia"/>
                <w:sz w:val="32"/>
                <w:szCs w:val="32"/>
              </w:rPr>
              <w:t>份，胶装装订成册，密封提交。</w:t>
            </w:r>
          </w:p>
          <w:p>
            <w:pPr>
              <w:pStyle w:val="15"/>
              <w:ind w:left="0" w:firstLine="0"/>
              <w:rPr>
                <w:rFonts w:ascii="仿宋_GB2312" w:eastAsia="仿宋_GB2312" w:cs="方正仿宋_GBK"/>
                <w:sz w:val="32"/>
                <w:szCs w:val="32"/>
              </w:rPr>
            </w:pPr>
            <w:r>
              <w:rPr>
                <w:rFonts w:ascii="仿宋_GB2312" w:eastAsia="仿宋_GB2312" w:cs="方正仿宋_GBK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cs="方正仿宋_GBK"/>
                <w:sz w:val="32"/>
                <w:szCs w:val="32"/>
              </w:rPr>
              <w:t>本项目视情况二次报价。</w:t>
            </w:r>
          </w:p>
          <w:p>
            <w:r>
              <w:rPr>
                <w:rFonts w:ascii="仿宋_GB2312" w:eastAsia="仿宋_GB2312" w:cs="方正仿宋_GBK"/>
                <w:sz w:val="32"/>
                <w:szCs w:val="32"/>
              </w:rPr>
              <w:t>4.投标人应当对提供的材料的真实性负责，如有虚假甲方有权解除合同，并追究其法律责任。</w:t>
            </w:r>
          </w:p>
        </w:tc>
      </w:tr>
    </w:tbl>
    <w:p>
      <w:pPr>
        <w:spacing w:line="240" w:lineRule="auto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p>
      <w:pPr>
        <w:jc w:val="left"/>
      </w:pP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12251B7"/>
    <w:multiLevelType w:val="singleLevel"/>
    <w:tmpl w:val="212251B7"/>
    <w:lvl w:ilvl="0">
      <w:start w:val="1"/>
      <w:numFmt w:val="decimal"/>
      <w:lvlRestart w:val="0"/>
      <w:lvlText w:val="%1."/>
      <w:lvlJc w:val="left"/>
      <w:pPr>
        <w:ind w:left="0" w:hanging="0"/>
      </w:pPr>
    </w:lvl>
  </w:abstractNum>
  <w:abstractNum w:abstractNumId="1">
    <w:nsid w:val="25DC62BB"/>
    <w:multiLevelType w:val="singleLevel"/>
    <w:tmpl w:val="25DC62BB"/>
    <w:lvl w:ilvl="0">
      <w:start w:val="1"/>
      <w:numFmt w:val="decimal"/>
      <w:lvlRestart w:val="0"/>
      <w:lvlText w:val="%1."/>
      <w:lvlJc w:val="left"/>
      <w:pPr>
        <w:ind w:left="0" w:hanging="0"/>
      </w:pPr>
    </w:lvl>
  </w:abstractNum>
  <w:abstractNum w:abstractNumId="2">
    <w:nsid w:val="311F68F6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1200"/>
        </w:tabs>
        <w:ind w:left="12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Normal Indent"/>
    <w:next w:val="15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8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9">
    <w:name w:val="List Number 3"/>
    <w:basedOn w:val="0"/>
    <w:pPr>
      <w:numPr>
        <w:ilvl w:val="0"/>
        <w:numId w:val="3"/>
      </w:numPr>
    </w:pPr>
  </w:style>
  <w:style w:type="paragraph" w:customStyle="1" w:styleId="20">
    <w:name w:val="Table Paragraph"/>
    <w:next w:val="19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91</TotalTime>
  <Application>Yozo_Office</Application>
  <Pages>20</Pages>
  <Words>4337</Words>
  <Characters>4538</Characters>
  <Lines>110</Lines>
  <Paragraphs>102</Paragraphs>
  <CharactersWithSpaces>4552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卢亮</dc:creator>
  <cp:lastModifiedBy>韩宇</cp:lastModifiedBy>
  <cp:revision>1</cp:revision>
  <dcterms:created xsi:type="dcterms:W3CDTF">2026-07-14T05:02:43Z</dcterms:created>
  <dcterms:modified xsi:type="dcterms:W3CDTF">2026-07-15T03:01:28Z</dcterms:modified>
</cp:coreProperties>
</file>