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373412">
      <w:pPr>
        <w:spacing w:line="360" w:lineRule="auto"/>
        <w:jc w:val="center"/>
        <w:rPr>
          <w:rFonts w:ascii="宋体" w:hAnsi="宋体"/>
          <w:b/>
          <w:sz w:val="44"/>
          <w:szCs w:val="44"/>
          <w:highlight w:val="none"/>
        </w:rPr>
      </w:pPr>
    </w:p>
    <w:p w14:paraId="02AE50BA">
      <w:pPr>
        <w:spacing w:line="360" w:lineRule="auto"/>
        <w:rPr>
          <w:rFonts w:ascii="宋体" w:hAnsi="宋体"/>
          <w:b/>
          <w:sz w:val="44"/>
          <w:szCs w:val="44"/>
          <w:highlight w:val="none"/>
        </w:rPr>
      </w:pPr>
    </w:p>
    <w:p w14:paraId="57737EDB">
      <w:pPr>
        <w:spacing w:line="20" w:lineRule="atLeast"/>
        <w:jc w:val="center"/>
        <w:rPr>
          <w:rFonts w:hint="eastAsia"/>
          <w:b/>
          <w:sz w:val="52"/>
          <w:highlight w:val="none"/>
        </w:rPr>
      </w:pPr>
      <w:r>
        <w:rPr>
          <w:rFonts w:hint="eastAsia"/>
          <w:b/>
          <w:sz w:val="52"/>
          <w:highlight w:val="none"/>
          <w:lang w:val="en-US" w:eastAsia="zh-CN"/>
        </w:rPr>
        <w:t>呼和浩特海关业务分析研判室—弱电设备改造工程</w:t>
      </w:r>
    </w:p>
    <w:p w14:paraId="755FE7B0">
      <w:pPr>
        <w:pStyle w:val="6"/>
        <w:rPr>
          <w:highlight w:val="none"/>
        </w:rPr>
      </w:pPr>
    </w:p>
    <w:p w14:paraId="001D8515">
      <w:pPr>
        <w:pStyle w:val="6"/>
        <w:rPr>
          <w:highlight w:val="none"/>
        </w:rPr>
      </w:pPr>
    </w:p>
    <w:p w14:paraId="3ADFDE9C">
      <w:pPr>
        <w:spacing w:line="360" w:lineRule="auto"/>
        <w:jc w:val="center"/>
        <w:rPr>
          <w:rFonts w:asciiTheme="majorEastAsia" w:hAnsiTheme="majorEastAsia" w:eastAsiaTheme="majorEastAsia"/>
          <w:b/>
          <w:sz w:val="72"/>
          <w:szCs w:val="72"/>
          <w:highlight w:val="none"/>
        </w:rPr>
      </w:pPr>
      <w:r>
        <w:rPr>
          <w:rFonts w:hint="eastAsia" w:asciiTheme="majorEastAsia" w:hAnsiTheme="majorEastAsia" w:eastAsiaTheme="majorEastAsia"/>
          <w:b/>
          <w:sz w:val="72"/>
          <w:szCs w:val="72"/>
          <w:highlight w:val="none"/>
        </w:rPr>
        <w:t>招标文件</w:t>
      </w:r>
    </w:p>
    <w:p w14:paraId="239644F1">
      <w:pPr>
        <w:spacing w:line="360" w:lineRule="auto"/>
        <w:rPr>
          <w:rFonts w:eastAsia="黑体"/>
          <w:sz w:val="28"/>
          <w:highlight w:val="none"/>
        </w:rPr>
      </w:pPr>
      <w:r>
        <w:rPr>
          <w:rFonts w:eastAsia="黑体"/>
          <w:sz w:val="28"/>
          <w:highlight w:val="none"/>
        </w:rPr>
        <w:t xml:space="preserve"> </w:t>
      </w:r>
    </w:p>
    <w:p w14:paraId="78407BC6">
      <w:pPr>
        <w:spacing w:line="360" w:lineRule="auto"/>
        <w:rPr>
          <w:rFonts w:ascii="宋体" w:hAnsi="宋体"/>
          <w:sz w:val="32"/>
          <w:szCs w:val="32"/>
          <w:highlight w:val="none"/>
        </w:rPr>
      </w:pPr>
    </w:p>
    <w:p w14:paraId="6C48EC45">
      <w:pPr>
        <w:spacing w:line="360" w:lineRule="auto"/>
        <w:rPr>
          <w:rFonts w:ascii="宋体" w:hAnsi="宋体"/>
          <w:sz w:val="32"/>
          <w:szCs w:val="32"/>
          <w:highlight w:val="none"/>
        </w:rPr>
      </w:pPr>
    </w:p>
    <w:p w14:paraId="0539EFA5">
      <w:pPr>
        <w:spacing w:line="360" w:lineRule="auto"/>
        <w:jc w:val="center"/>
        <w:rPr>
          <w:rFonts w:hint="default" w:ascii="宋体" w:hAnsi="宋体" w:eastAsia="宋体"/>
          <w:sz w:val="32"/>
          <w:szCs w:val="32"/>
          <w:highlight w:val="none"/>
          <w:u w:val="single"/>
          <w:lang w:val="en-US" w:eastAsia="zh-CN"/>
        </w:rPr>
      </w:pPr>
      <w:r>
        <w:rPr>
          <w:rFonts w:ascii="宋体" w:hAnsi="宋体"/>
          <w:sz w:val="32"/>
          <w:szCs w:val="32"/>
          <w:highlight w:val="none"/>
        </w:rPr>
        <w:t>招标编号：NMGLZ-202</w:t>
      </w:r>
      <w:r>
        <w:rPr>
          <w:rFonts w:hint="eastAsia" w:ascii="宋体" w:hAnsi="宋体"/>
          <w:sz w:val="32"/>
          <w:szCs w:val="32"/>
          <w:highlight w:val="none"/>
          <w:lang w:val="en-US" w:eastAsia="zh-CN"/>
        </w:rPr>
        <w:t>60720</w:t>
      </w:r>
    </w:p>
    <w:p w14:paraId="67ACD31C">
      <w:pPr>
        <w:spacing w:line="360" w:lineRule="auto"/>
        <w:rPr>
          <w:rFonts w:ascii="宋体" w:hAnsi="宋体"/>
          <w:sz w:val="28"/>
          <w:highlight w:val="none"/>
        </w:rPr>
      </w:pPr>
    </w:p>
    <w:p w14:paraId="5AEE8FAA">
      <w:pPr>
        <w:spacing w:line="360" w:lineRule="auto"/>
        <w:rPr>
          <w:rFonts w:ascii="宋体" w:hAnsi="宋体"/>
          <w:sz w:val="28"/>
          <w:highlight w:val="none"/>
        </w:rPr>
      </w:pPr>
    </w:p>
    <w:p w14:paraId="2BD92E6D">
      <w:pPr>
        <w:spacing w:line="360" w:lineRule="auto"/>
        <w:rPr>
          <w:rFonts w:ascii="宋体" w:hAnsi="宋体"/>
          <w:sz w:val="28"/>
          <w:highlight w:val="none"/>
        </w:rPr>
      </w:pPr>
    </w:p>
    <w:p w14:paraId="0BD09156">
      <w:pPr>
        <w:spacing w:line="360" w:lineRule="auto"/>
        <w:ind w:left="-1" w:leftChars="-1" w:hanging="1"/>
        <w:rPr>
          <w:rFonts w:ascii="宋体" w:hAnsi="宋体"/>
          <w:sz w:val="28"/>
          <w:highlight w:val="none"/>
        </w:rPr>
      </w:pPr>
    </w:p>
    <w:p w14:paraId="09ED94A4">
      <w:pPr>
        <w:spacing w:line="360" w:lineRule="auto"/>
        <w:ind w:left="-1" w:leftChars="-1" w:hanging="1"/>
        <w:rPr>
          <w:rFonts w:ascii="宋体" w:hAnsi="宋体"/>
          <w:sz w:val="32"/>
          <w:highlight w:val="none"/>
        </w:rPr>
      </w:pPr>
    </w:p>
    <w:p w14:paraId="13E9130E">
      <w:pPr>
        <w:tabs>
          <w:tab w:val="left" w:pos="2160"/>
        </w:tabs>
        <w:spacing w:line="360" w:lineRule="auto"/>
        <w:ind w:firstLine="1440" w:firstLineChars="450"/>
        <w:rPr>
          <w:rFonts w:hint="eastAsia" w:ascii="宋体" w:hAnsi="宋体" w:eastAsia="宋体" w:cs="Times New Roman"/>
          <w:sz w:val="32"/>
          <w:highlight w:val="none"/>
        </w:rPr>
      </w:pPr>
      <w:r>
        <w:rPr>
          <w:rFonts w:hint="eastAsia" w:ascii="宋体" w:hAnsi="宋体" w:eastAsia="宋体" w:cs="Times New Roman"/>
          <w:sz w:val="32"/>
          <w:highlight w:val="none"/>
        </w:rPr>
        <w:t>招 标 人：</w:t>
      </w:r>
      <w:r>
        <w:rPr>
          <w:rFonts w:hint="eastAsia" w:ascii="宋体" w:hAnsi="宋体" w:eastAsia="宋体" w:cs="Times New Roman"/>
          <w:sz w:val="32"/>
          <w:highlight w:val="none"/>
          <w:lang w:eastAsia="zh-CN"/>
        </w:rPr>
        <w:t>中华人民共和国呼和浩特海关</w:t>
      </w:r>
    </w:p>
    <w:p w14:paraId="67A4122E">
      <w:pPr>
        <w:tabs>
          <w:tab w:val="left" w:pos="1980"/>
          <w:tab w:val="left" w:pos="3240"/>
          <w:tab w:val="left" w:pos="3420"/>
        </w:tabs>
        <w:spacing w:line="360" w:lineRule="auto"/>
        <w:ind w:firstLine="2080" w:firstLineChars="650"/>
        <w:rPr>
          <w:rFonts w:ascii="宋体" w:hAnsi="宋体"/>
          <w:sz w:val="32"/>
          <w:szCs w:val="32"/>
          <w:highlight w:val="none"/>
        </w:rPr>
      </w:pPr>
    </w:p>
    <w:p w14:paraId="4F388618">
      <w:pPr>
        <w:tabs>
          <w:tab w:val="left" w:pos="2160"/>
        </w:tabs>
        <w:spacing w:line="360" w:lineRule="auto"/>
        <w:ind w:firstLine="1440" w:firstLineChars="450"/>
        <w:rPr>
          <w:rFonts w:ascii="宋体" w:hAnsi="宋体"/>
          <w:sz w:val="32"/>
          <w:highlight w:val="none"/>
        </w:rPr>
      </w:pPr>
      <w:r>
        <w:rPr>
          <w:rFonts w:hint="eastAsia" w:ascii="宋体" w:hAnsi="宋体"/>
          <w:sz w:val="32"/>
          <w:highlight w:val="none"/>
        </w:rPr>
        <w:t>招标代理：内蒙古利贞工程项目管理有限公司</w:t>
      </w:r>
    </w:p>
    <w:p w14:paraId="255D8EBE">
      <w:pPr>
        <w:spacing w:line="20" w:lineRule="atLeast"/>
        <w:ind w:firstLine="160" w:firstLineChars="50"/>
        <w:rPr>
          <w:rFonts w:ascii="宋体" w:hAnsi="宋体"/>
          <w:sz w:val="32"/>
          <w:highlight w:val="none"/>
        </w:rPr>
      </w:pPr>
    </w:p>
    <w:p w14:paraId="573A3E08">
      <w:pPr>
        <w:tabs>
          <w:tab w:val="left" w:pos="3420"/>
        </w:tabs>
        <w:spacing w:line="20" w:lineRule="atLeast"/>
        <w:ind w:firstLine="1440" w:firstLineChars="450"/>
        <w:rPr>
          <w:rFonts w:ascii="宋体" w:hAnsi="宋体"/>
          <w:b/>
          <w:sz w:val="36"/>
          <w:highlight w:val="yellow"/>
        </w:rPr>
      </w:pPr>
      <w:r>
        <w:rPr>
          <w:rFonts w:hint="eastAsia" w:ascii="宋体" w:hAnsi="宋体"/>
          <w:sz w:val="32"/>
          <w:highlight w:val="none"/>
        </w:rPr>
        <w:t>日    期：</w:t>
      </w:r>
      <w:r>
        <w:rPr>
          <w:rFonts w:hint="eastAsia" w:ascii="宋体" w:hAnsi="宋体"/>
          <w:sz w:val="32"/>
          <w:highlight w:val="yellow"/>
        </w:rPr>
        <w:t>二○二</w:t>
      </w:r>
      <w:r>
        <w:rPr>
          <w:rFonts w:hint="eastAsia" w:ascii="宋体" w:hAnsi="宋体"/>
          <w:sz w:val="32"/>
          <w:highlight w:val="yellow"/>
          <w:lang w:eastAsia="zh-CN"/>
        </w:rPr>
        <w:t>六</w:t>
      </w:r>
      <w:r>
        <w:rPr>
          <w:rFonts w:hint="eastAsia" w:ascii="宋体" w:hAnsi="宋体"/>
          <w:sz w:val="32"/>
          <w:highlight w:val="yellow"/>
        </w:rPr>
        <w:t>年</w:t>
      </w:r>
      <w:r>
        <w:rPr>
          <w:rFonts w:hint="eastAsia" w:ascii="宋体" w:hAnsi="宋体"/>
          <w:sz w:val="32"/>
          <w:highlight w:val="yellow"/>
          <w:lang w:eastAsia="zh-CN"/>
        </w:rPr>
        <w:t>八</w:t>
      </w:r>
      <w:r>
        <w:rPr>
          <w:rFonts w:hint="eastAsia" w:ascii="宋体" w:hAnsi="宋体"/>
          <w:sz w:val="32"/>
          <w:highlight w:val="yellow"/>
        </w:rPr>
        <w:t>月</w:t>
      </w:r>
    </w:p>
    <w:p w14:paraId="6DD44C4E">
      <w:pPr>
        <w:tabs>
          <w:tab w:val="left" w:pos="3420"/>
        </w:tabs>
        <w:spacing w:line="20" w:lineRule="atLeast"/>
        <w:ind w:firstLine="2349" w:firstLineChars="650"/>
        <w:rPr>
          <w:b/>
          <w:sz w:val="36"/>
        </w:rPr>
        <w:sectPr>
          <w:headerReference r:id="rId4" w:type="first"/>
          <w:headerReference r:id="rId3" w:type="default"/>
          <w:footerReference r:id="rId5" w:type="even"/>
          <w:pgSz w:w="11906" w:h="16838"/>
          <w:pgMar w:top="1418" w:right="1021" w:bottom="1134" w:left="1247" w:header="0" w:footer="567" w:gutter="0"/>
          <w:pgNumType w:start="0"/>
          <w:cols w:space="720" w:num="1"/>
          <w:titlePg/>
          <w:docGrid w:type="lines" w:linePitch="312" w:charSpace="0"/>
        </w:sectPr>
      </w:pPr>
    </w:p>
    <w:sdt>
      <w:sdtPr>
        <w:rPr>
          <w:rFonts w:ascii="Times New Roman" w:hAnsi="Times New Roman" w:eastAsia="宋体" w:cs="Times New Roman"/>
          <w:b w:val="0"/>
          <w:bCs w:val="0"/>
          <w:color w:val="auto"/>
          <w:kern w:val="2"/>
          <w:sz w:val="21"/>
          <w:szCs w:val="24"/>
          <w:lang w:val="zh-CN"/>
        </w:rPr>
        <w:id w:val="-1866750021"/>
        <w:docPartObj>
          <w:docPartGallery w:val="Table of Contents"/>
          <w:docPartUnique/>
        </w:docPartObj>
      </w:sdtPr>
      <w:sdtEndPr>
        <w:rPr>
          <w:rFonts w:ascii="Meiryo UI" w:hAnsi="Meiryo UI" w:eastAsia="Meiryo UI" w:cs="Meiryo UI"/>
          <w:b w:val="0"/>
          <w:bCs w:val="0"/>
          <w:color w:val="auto"/>
          <w:kern w:val="2"/>
          <w:sz w:val="24"/>
          <w:szCs w:val="24"/>
          <w:lang w:val="zh-CN"/>
        </w:rPr>
      </w:sdtEndPr>
      <w:sdtContent>
        <w:p w14:paraId="3B98FABE">
          <w:pPr>
            <w:pStyle w:val="37"/>
            <w:jc w:val="center"/>
            <w:rPr>
              <w:color w:val="000000" w:themeColor="text1"/>
              <w:sz w:val="44"/>
              <w:szCs w:val="44"/>
              <w:lang w:val="zh-CN"/>
              <w14:textFill>
                <w14:solidFill>
                  <w14:schemeClr w14:val="tx1"/>
                </w14:solidFill>
              </w14:textFill>
            </w:rPr>
          </w:pPr>
          <w:r>
            <w:rPr>
              <w:color w:val="000000" w:themeColor="text1"/>
              <w:sz w:val="44"/>
              <w:szCs w:val="44"/>
              <w:lang w:val="zh-CN"/>
              <w14:textFill>
                <w14:solidFill>
                  <w14:schemeClr w14:val="tx1"/>
                </w14:solidFill>
              </w14:textFill>
            </w:rPr>
            <w:t>目</w:t>
          </w:r>
          <w:r>
            <w:rPr>
              <w:rFonts w:hint="eastAsia"/>
              <w:color w:val="000000" w:themeColor="text1"/>
              <w:sz w:val="44"/>
              <w:szCs w:val="44"/>
              <w:lang w:val="zh-CN"/>
              <w14:textFill>
                <w14:solidFill>
                  <w14:schemeClr w14:val="tx1"/>
                </w14:solidFill>
              </w14:textFill>
            </w:rPr>
            <w:t xml:space="preserve"> </w:t>
          </w:r>
          <w:r>
            <w:rPr>
              <w:color w:val="000000" w:themeColor="text1"/>
              <w:sz w:val="44"/>
              <w:szCs w:val="44"/>
              <w:lang w:val="zh-CN"/>
              <w14:textFill>
                <w14:solidFill>
                  <w14:schemeClr w14:val="tx1"/>
                </w14:solidFill>
              </w14:textFill>
            </w:rPr>
            <w:t>录</w:t>
          </w:r>
        </w:p>
        <w:p w14:paraId="4FF25BDD">
          <w:pPr>
            <w:rPr>
              <w:lang w:val="zh-CN"/>
            </w:rPr>
          </w:pPr>
        </w:p>
        <w:p w14:paraId="0D580734">
          <w:pPr>
            <w:pStyle w:val="16"/>
            <w:tabs>
              <w:tab w:val="right" w:leader="dot" w:pos="8620"/>
            </w:tabs>
          </w:pPr>
          <w:r>
            <w:rPr>
              <w:rFonts w:hint="eastAsia" w:ascii="宋体" w:hAnsi="宋体" w:cs="宋体"/>
              <w:sz w:val="28"/>
              <w:szCs w:val="28"/>
            </w:rPr>
            <w:fldChar w:fldCharType="begin"/>
          </w:r>
          <w:r>
            <w:rPr>
              <w:rFonts w:hint="eastAsia" w:ascii="宋体" w:hAnsi="宋体" w:cs="宋体"/>
              <w:sz w:val="28"/>
              <w:szCs w:val="28"/>
            </w:rPr>
            <w:instrText xml:space="preserve"> TOC \o "1-3" \h \z \u </w:instrText>
          </w:r>
          <w:r>
            <w:rPr>
              <w:rFonts w:hint="eastAsia" w:ascii="宋体" w:hAnsi="宋体" w:cs="宋体"/>
              <w:sz w:val="28"/>
              <w:szCs w:val="28"/>
            </w:rPr>
            <w:fldChar w:fldCharType="separate"/>
          </w:r>
          <w:r>
            <w:rPr>
              <w:rFonts w:hint="eastAsia" w:ascii="宋体" w:hAnsi="宋体" w:cs="宋体"/>
              <w:szCs w:val="28"/>
            </w:rPr>
            <w:fldChar w:fldCharType="begin"/>
          </w:r>
          <w:r>
            <w:rPr>
              <w:rFonts w:hint="eastAsia" w:ascii="宋体" w:hAnsi="宋体" w:cs="宋体"/>
              <w:szCs w:val="28"/>
            </w:rPr>
            <w:instrText xml:space="preserve"> HYPERLINK \l _Toc8059 </w:instrText>
          </w:r>
          <w:r>
            <w:rPr>
              <w:rFonts w:hint="eastAsia" w:ascii="宋体" w:hAnsi="宋体" w:cs="宋体"/>
              <w:szCs w:val="28"/>
            </w:rPr>
            <w:fldChar w:fldCharType="separate"/>
          </w:r>
          <w:r>
            <w:rPr>
              <w:rFonts w:hint="eastAsia"/>
            </w:rPr>
            <w:t>第一章 招标公告</w:t>
          </w:r>
          <w:r>
            <w:tab/>
          </w:r>
          <w:r>
            <w:fldChar w:fldCharType="begin"/>
          </w:r>
          <w:r>
            <w:instrText xml:space="preserve"> PAGEREF _Toc8059 \h </w:instrText>
          </w:r>
          <w:r>
            <w:fldChar w:fldCharType="separate"/>
          </w:r>
          <w:r>
            <w:t>2</w:t>
          </w:r>
          <w:r>
            <w:fldChar w:fldCharType="end"/>
          </w:r>
          <w:r>
            <w:rPr>
              <w:rFonts w:hint="eastAsia" w:ascii="宋体" w:hAnsi="宋体" w:cs="宋体"/>
              <w:szCs w:val="28"/>
            </w:rPr>
            <w:fldChar w:fldCharType="end"/>
          </w:r>
        </w:p>
        <w:p w14:paraId="0C51292C">
          <w:pPr>
            <w:pStyle w:val="16"/>
            <w:tabs>
              <w:tab w:val="right" w:leader="dot" w:pos="8620"/>
            </w:tabs>
          </w:pPr>
          <w:r>
            <w:rPr>
              <w:rFonts w:hint="eastAsia" w:ascii="宋体" w:hAnsi="宋体" w:cs="宋体"/>
              <w:bCs/>
              <w:szCs w:val="28"/>
              <w:lang w:val="zh-CN"/>
            </w:rPr>
            <w:fldChar w:fldCharType="begin"/>
          </w:r>
          <w:r>
            <w:rPr>
              <w:rFonts w:hint="eastAsia" w:ascii="宋体" w:hAnsi="宋体" w:cs="宋体"/>
              <w:bCs/>
              <w:szCs w:val="28"/>
              <w:lang w:val="zh-CN"/>
            </w:rPr>
            <w:instrText xml:space="preserve"> HYPERLINK \l _Toc13458 </w:instrText>
          </w:r>
          <w:r>
            <w:rPr>
              <w:rFonts w:hint="eastAsia" w:ascii="宋体" w:hAnsi="宋体" w:cs="宋体"/>
              <w:bCs/>
              <w:szCs w:val="28"/>
              <w:lang w:val="zh-CN"/>
            </w:rPr>
            <w:fldChar w:fldCharType="separate"/>
          </w:r>
          <w:r>
            <w:rPr>
              <w:rFonts w:hint="eastAsia"/>
            </w:rPr>
            <w:t>第二章 投标须知</w:t>
          </w:r>
          <w:r>
            <w:tab/>
          </w:r>
          <w:r>
            <w:fldChar w:fldCharType="begin"/>
          </w:r>
          <w:r>
            <w:instrText xml:space="preserve"> PAGEREF _Toc13458 \h </w:instrText>
          </w:r>
          <w:r>
            <w:fldChar w:fldCharType="separate"/>
          </w:r>
          <w:r>
            <w:t>5</w:t>
          </w:r>
          <w:r>
            <w:fldChar w:fldCharType="end"/>
          </w:r>
          <w:r>
            <w:rPr>
              <w:rFonts w:hint="eastAsia" w:ascii="宋体" w:hAnsi="宋体" w:cs="宋体"/>
              <w:bCs/>
              <w:szCs w:val="28"/>
              <w:lang w:val="zh-CN"/>
            </w:rPr>
            <w:fldChar w:fldCharType="end"/>
          </w:r>
        </w:p>
        <w:p w14:paraId="3C928124">
          <w:pPr>
            <w:pStyle w:val="16"/>
            <w:tabs>
              <w:tab w:val="right" w:leader="dot" w:pos="8620"/>
            </w:tabs>
          </w:pPr>
          <w:r>
            <w:rPr>
              <w:rFonts w:hint="eastAsia" w:ascii="宋体" w:hAnsi="宋体" w:cs="宋体"/>
              <w:bCs/>
              <w:szCs w:val="28"/>
              <w:lang w:val="zh-CN"/>
            </w:rPr>
            <w:fldChar w:fldCharType="begin"/>
          </w:r>
          <w:r>
            <w:rPr>
              <w:rFonts w:hint="eastAsia" w:ascii="宋体" w:hAnsi="宋体" w:cs="宋体"/>
              <w:bCs/>
              <w:szCs w:val="28"/>
              <w:lang w:val="zh-CN"/>
            </w:rPr>
            <w:instrText xml:space="preserve"> HYPERLINK \l _Toc26477 </w:instrText>
          </w:r>
          <w:r>
            <w:rPr>
              <w:rFonts w:hint="eastAsia" w:ascii="宋体" w:hAnsi="宋体" w:cs="宋体"/>
              <w:bCs/>
              <w:szCs w:val="28"/>
              <w:lang w:val="zh-CN"/>
            </w:rPr>
            <w:fldChar w:fldCharType="separate"/>
          </w:r>
          <w:r>
            <w:rPr>
              <w:rFonts w:hint="eastAsia"/>
            </w:rPr>
            <w:t>第三章 采购需求及技术要求</w:t>
          </w:r>
          <w:r>
            <w:tab/>
          </w:r>
          <w:r>
            <w:fldChar w:fldCharType="begin"/>
          </w:r>
          <w:r>
            <w:instrText xml:space="preserve"> PAGEREF _Toc26477 \h </w:instrText>
          </w:r>
          <w:r>
            <w:fldChar w:fldCharType="separate"/>
          </w:r>
          <w:r>
            <w:t>20</w:t>
          </w:r>
          <w:r>
            <w:fldChar w:fldCharType="end"/>
          </w:r>
          <w:r>
            <w:rPr>
              <w:rFonts w:hint="eastAsia" w:ascii="宋体" w:hAnsi="宋体" w:cs="宋体"/>
              <w:bCs/>
              <w:szCs w:val="28"/>
              <w:lang w:val="zh-CN"/>
            </w:rPr>
            <w:fldChar w:fldCharType="end"/>
          </w:r>
        </w:p>
        <w:p w14:paraId="3E238C51">
          <w:pPr>
            <w:pStyle w:val="16"/>
            <w:tabs>
              <w:tab w:val="right" w:leader="dot" w:pos="8620"/>
            </w:tabs>
          </w:pPr>
          <w:r>
            <w:rPr>
              <w:rFonts w:hint="eastAsia" w:ascii="宋体" w:hAnsi="宋体" w:cs="宋体"/>
              <w:bCs/>
              <w:szCs w:val="28"/>
              <w:lang w:val="zh-CN"/>
            </w:rPr>
            <w:fldChar w:fldCharType="begin"/>
          </w:r>
          <w:r>
            <w:rPr>
              <w:rFonts w:hint="eastAsia" w:ascii="宋体" w:hAnsi="宋体" w:cs="宋体"/>
              <w:bCs/>
              <w:szCs w:val="28"/>
              <w:lang w:val="zh-CN"/>
            </w:rPr>
            <w:instrText xml:space="preserve"> HYPERLINK \l _Toc26156 </w:instrText>
          </w:r>
          <w:r>
            <w:rPr>
              <w:rFonts w:hint="eastAsia" w:ascii="宋体" w:hAnsi="宋体" w:cs="宋体"/>
              <w:bCs/>
              <w:szCs w:val="28"/>
              <w:lang w:val="zh-CN"/>
            </w:rPr>
            <w:fldChar w:fldCharType="separate"/>
          </w:r>
          <w:r>
            <w:rPr>
              <w:rFonts w:hint="eastAsia"/>
            </w:rPr>
            <w:t>第四章 合同条款及合同格式</w:t>
          </w:r>
          <w:r>
            <w:tab/>
          </w:r>
          <w:r>
            <w:fldChar w:fldCharType="begin"/>
          </w:r>
          <w:r>
            <w:instrText xml:space="preserve"> PAGEREF _Toc26156 \h </w:instrText>
          </w:r>
          <w:r>
            <w:fldChar w:fldCharType="separate"/>
          </w:r>
          <w:r>
            <w:t>22</w:t>
          </w:r>
          <w:r>
            <w:fldChar w:fldCharType="end"/>
          </w:r>
          <w:r>
            <w:rPr>
              <w:rFonts w:hint="eastAsia" w:ascii="宋体" w:hAnsi="宋体" w:cs="宋体"/>
              <w:bCs/>
              <w:szCs w:val="28"/>
              <w:lang w:val="zh-CN"/>
            </w:rPr>
            <w:fldChar w:fldCharType="end"/>
          </w:r>
        </w:p>
        <w:p w14:paraId="4A197AF9">
          <w:pPr>
            <w:pStyle w:val="16"/>
            <w:tabs>
              <w:tab w:val="right" w:leader="dot" w:pos="8620"/>
            </w:tabs>
          </w:pPr>
          <w:r>
            <w:rPr>
              <w:rFonts w:hint="eastAsia" w:ascii="宋体" w:hAnsi="宋体" w:cs="宋体"/>
              <w:bCs/>
              <w:szCs w:val="28"/>
              <w:lang w:val="zh-CN"/>
            </w:rPr>
            <w:fldChar w:fldCharType="begin"/>
          </w:r>
          <w:r>
            <w:rPr>
              <w:rFonts w:hint="eastAsia" w:ascii="宋体" w:hAnsi="宋体" w:cs="宋体"/>
              <w:bCs/>
              <w:szCs w:val="28"/>
              <w:lang w:val="zh-CN"/>
            </w:rPr>
            <w:instrText xml:space="preserve"> HYPERLINK \l _Toc6892 </w:instrText>
          </w:r>
          <w:r>
            <w:rPr>
              <w:rFonts w:hint="eastAsia" w:ascii="宋体" w:hAnsi="宋体" w:cs="宋体"/>
              <w:bCs/>
              <w:szCs w:val="28"/>
              <w:lang w:val="zh-CN"/>
            </w:rPr>
            <w:fldChar w:fldCharType="separate"/>
          </w:r>
          <w:r>
            <w:rPr>
              <w:rFonts w:hint="eastAsia"/>
            </w:rPr>
            <w:t>第五章 评标办法（综合评分法）</w:t>
          </w:r>
          <w:r>
            <w:tab/>
          </w:r>
          <w:r>
            <w:fldChar w:fldCharType="begin"/>
          </w:r>
          <w:r>
            <w:instrText xml:space="preserve"> PAGEREF _Toc6892 \h </w:instrText>
          </w:r>
          <w:r>
            <w:fldChar w:fldCharType="separate"/>
          </w:r>
          <w:r>
            <w:t>27</w:t>
          </w:r>
          <w:r>
            <w:fldChar w:fldCharType="end"/>
          </w:r>
          <w:r>
            <w:rPr>
              <w:rFonts w:hint="eastAsia" w:ascii="宋体" w:hAnsi="宋体" w:cs="宋体"/>
              <w:bCs/>
              <w:szCs w:val="28"/>
              <w:lang w:val="zh-CN"/>
            </w:rPr>
            <w:fldChar w:fldCharType="end"/>
          </w:r>
        </w:p>
        <w:p w14:paraId="21F810C8">
          <w:pPr>
            <w:pStyle w:val="16"/>
            <w:tabs>
              <w:tab w:val="right" w:leader="dot" w:pos="8620"/>
            </w:tabs>
          </w:pPr>
          <w:r>
            <w:rPr>
              <w:rFonts w:hint="eastAsia" w:ascii="宋体" w:hAnsi="宋体" w:cs="宋体"/>
              <w:bCs/>
              <w:szCs w:val="28"/>
              <w:lang w:val="zh-CN"/>
            </w:rPr>
            <w:fldChar w:fldCharType="begin"/>
          </w:r>
          <w:r>
            <w:rPr>
              <w:rFonts w:hint="eastAsia" w:ascii="宋体" w:hAnsi="宋体" w:cs="宋体"/>
              <w:bCs/>
              <w:szCs w:val="28"/>
              <w:lang w:val="zh-CN"/>
            </w:rPr>
            <w:instrText xml:space="preserve"> HYPERLINK \l _Toc17638 </w:instrText>
          </w:r>
          <w:r>
            <w:rPr>
              <w:rFonts w:hint="eastAsia" w:ascii="宋体" w:hAnsi="宋体" w:cs="宋体"/>
              <w:bCs/>
              <w:szCs w:val="28"/>
              <w:lang w:val="zh-CN"/>
            </w:rPr>
            <w:fldChar w:fldCharType="separate"/>
          </w:r>
          <w:r>
            <w:rPr>
              <w:rFonts w:hint="eastAsia"/>
            </w:rPr>
            <w:t>第六章 投标文件格式</w:t>
          </w:r>
          <w:r>
            <w:tab/>
          </w:r>
          <w:r>
            <w:fldChar w:fldCharType="begin"/>
          </w:r>
          <w:r>
            <w:instrText xml:space="preserve"> PAGEREF _Toc17638 \h </w:instrText>
          </w:r>
          <w:r>
            <w:fldChar w:fldCharType="separate"/>
          </w:r>
          <w:r>
            <w:t>34</w:t>
          </w:r>
          <w:r>
            <w:fldChar w:fldCharType="end"/>
          </w:r>
          <w:r>
            <w:rPr>
              <w:rFonts w:hint="eastAsia" w:ascii="宋体" w:hAnsi="宋体" w:cs="宋体"/>
              <w:bCs/>
              <w:szCs w:val="28"/>
              <w:lang w:val="zh-CN"/>
            </w:rPr>
            <w:fldChar w:fldCharType="end"/>
          </w:r>
        </w:p>
        <w:p w14:paraId="5AD23584">
          <w:pPr>
            <w:pStyle w:val="17"/>
            <w:tabs>
              <w:tab w:val="right" w:leader="dot" w:pos="8620"/>
            </w:tabs>
            <w:ind w:left="417" w:leftChars="104" w:hanging="199" w:hangingChars="95"/>
          </w:pPr>
          <w:r>
            <w:rPr>
              <w:rFonts w:hint="eastAsia" w:ascii="宋体" w:hAnsi="宋体" w:cs="宋体"/>
              <w:bCs/>
              <w:szCs w:val="28"/>
              <w:lang w:val="zh-CN"/>
            </w:rPr>
            <w:fldChar w:fldCharType="begin"/>
          </w:r>
          <w:r>
            <w:rPr>
              <w:rFonts w:hint="eastAsia" w:ascii="宋体" w:hAnsi="宋体" w:cs="宋体"/>
              <w:bCs/>
              <w:szCs w:val="28"/>
              <w:lang w:val="zh-CN"/>
            </w:rPr>
            <w:instrText xml:space="preserve"> HYPERLINK \l _Toc7357 </w:instrText>
          </w:r>
          <w:r>
            <w:rPr>
              <w:rFonts w:hint="eastAsia" w:ascii="宋体" w:hAnsi="宋体" w:cs="宋体"/>
              <w:bCs/>
              <w:szCs w:val="28"/>
              <w:lang w:val="zh-CN"/>
            </w:rPr>
            <w:fldChar w:fldCharType="separate"/>
          </w:r>
          <w:r>
            <w:t>格式一</w:t>
          </w:r>
          <w:r>
            <w:rPr>
              <w:rFonts w:hint="eastAsia"/>
            </w:rPr>
            <w:t>、</w:t>
          </w:r>
          <w:r>
            <w:t>投标文件封皮</w:t>
          </w:r>
          <w:r>
            <w:tab/>
          </w:r>
          <w:r>
            <w:fldChar w:fldCharType="begin"/>
          </w:r>
          <w:r>
            <w:instrText xml:space="preserve"> PAGEREF _Toc7357 \h </w:instrText>
          </w:r>
          <w:r>
            <w:fldChar w:fldCharType="separate"/>
          </w:r>
          <w:r>
            <w:t>34</w:t>
          </w:r>
          <w:r>
            <w:fldChar w:fldCharType="end"/>
          </w:r>
          <w:r>
            <w:rPr>
              <w:rFonts w:hint="eastAsia" w:ascii="宋体" w:hAnsi="宋体" w:cs="宋体"/>
              <w:bCs/>
              <w:szCs w:val="28"/>
              <w:lang w:val="zh-CN"/>
            </w:rPr>
            <w:fldChar w:fldCharType="end"/>
          </w:r>
        </w:p>
        <w:p w14:paraId="177AA159">
          <w:pPr>
            <w:pStyle w:val="17"/>
            <w:tabs>
              <w:tab w:val="right" w:leader="dot" w:pos="8620"/>
            </w:tabs>
            <w:ind w:left="417" w:leftChars="104" w:hanging="199" w:hangingChars="95"/>
          </w:pPr>
          <w:r>
            <w:rPr>
              <w:rFonts w:hint="eastAsia" w:ascii="宋体" w:hAnsi="宋体" w:cs="宋体"/>
              <w:bCs/>
              <w:szCs w:val="28"/>
              <w:lang w:val="zh-CN"/>
            </w:rPr>
            <w:fldChar w:fldCharType="begin"/>
          </w:r>
          <w:r>
            <w:rPr>
              <w:rFonts w:hint="eastAsia" w:ascii="宋体" w:hAnsi="宋体" w:cs="宋体"/>
              <w:bCs/>
              <w:szCs w:val="28"/>
              <w:lang w:val="zh-CN"/>
            </w:rPr>
            <w:instrText xml:space="preserve"> HYPERLINK \l _Toc18582 </w:instrText>
          </w:r>
          <w:r>
            <w:rPr>
              <w:rFonts w:hint="eastAsia" w:ascii="宋体" w:hAnsi="宋体" w:cs="宋体"/>
              <w:bCs/>
              <w:szCs w:val="28"/>
              <w:lang w:val="zh-CN"/>
            </w:rPr>
            <w:fldChar w:fldCharType="separate"/>
          </w:r>
          <w:r>
            <w:t>格式</w:t>
          </w:r>
          <w:r>
            <w:rPr>
              <w:rFonts w:hint="eastAsia"/>
            </w:rPr>
            <w:t>二</w:t>
          </w:r>
          <w:r>
            <w:t>、</w:t>
          </w:r>
          <w:r>
            <w:rPr>
              <w:rFonts w:hint="eastAsia"/>
            </w:rPr>
            <w:t>投标承诺书</w:t>
          </w:r>
          <w:r>
            <w:tab/>
          </w:r>
          <w:r>
            <w:fldChar w:fldCharType="begin"/>
          </w:r>
          <w:r>
            <w:instrText xml:space="preserve"> PAGEREF _Toc18582 \h </w:instrText>
          </w:r>
          <w:r>
            <w:fldChar w:fldCharType="separate"/>
          </w:r>
          <w:r>
            <w:t>36</w:t>
          </w:r>
          <w:r>
            <w:fldChar w:fldCharType="end"/>
          </w:r>
          <w:r>
            <w:rPr>
              <w:rFonts w:hint="eastAsia" w:ascii="宋体" w:hAnsi="宋体" w:cs="宋体"/>
              <w:bCs/>
              <w:szCs w:val="28"/>
              <w:lang w:val="zh-CN"/>
            </w:rPr>
            <w:fldChar w:fldCharType="end"/>
          </w:r>
        </w:p>
        <w:p w14:paraId="73DCC545">
          <w:pPr>
            <w:pStyle w:val="17"/>
            <w:tabs>
              <w:tab w:val="right" w:leader="dot" w:pos="8620"/>
            </w:tabs>
            <w:ind w:left="417" w:leftChars="104" w:hanging="199" w:hangingChars="95"/>
          </w:pPr>
          <w:r>
            <w:rPr>
              <w:rFonts w:hint="eastAsia" w:ascii="宋体" w:hAnsi="宋体" w:cs="宋体"/>
              <w:bCs/>
              <w:szCs w:val="28"/>
              <w:lang w:val="zh-CN"/>
            </w:rPr>
            <w:fldChar w:fldCharType="begin"/>
          </w:r>
          <w:r>
            <w:rPr>
              <w:rFonts w:hint="eastAsia" w:ascii="宋体" w:hAnsi="宋体" w:cs="宋体"/>
              <w:bCs/>
              <w:szCs w:val="28"/>
              <w:lang w:val="zh-CN"/>
            </w:rPr>
            <w:instrText xml:space="preserve"> HYPERLINK \l _Toc19675 </w:instrText>
          </w:r>
          <w:r>
            <w:rPr>
              <w:rFonts w:hint="eastAsia" w:ascii="宋体" w:hAnsi="宋体" w:cs="宋体"/>
              <w:bCs/>
              <w:szCs w:val="28"/>
              <w:lang w:val="zh-CN"/>
            </w:rPr>
            <w:fldChar w:fldCharType="separate"/>
          </w:r>
          <w:r>
            <w:rPr>
              <w:rFonts w:hint="eastAsia"/>
            </w:rPr>
            <w:t>格式三、开标一览表</w:t>
          </w:r>
          <w:r>
            <w:tab/>
          </w:r>
          <w:r>
            <w:fldChar w:fldCharType="begin"/>
          </w:r>
          <w:r>
            <w:instrText xml:space="preserve"> PAGEREF _Toc19675 \h </w:instrText>
          </w:r>
          <w:r>
            <w:fldChar w:fldCharType="separate"/>
          </w:r>
          <w:r>
            <w:t>37</w:t>
          </w:r>
          <w:r>
            <w:fldChar w:fldCharType="end"/>
          </w:r>
          <w:r>
            <w:rPr>
              <w:rFonts w:hint="eastAsia" w:ascii="宋体" w:hAnsi="宋体" w:cs="宋体"/>
              <w:bCs/>
              <w:szCs w:val="28"/>
              <w:lang w:val="zh-CN"/>
            </w:rPr>
            <w:fldChar w:fldCharType="end"/>
          </w:r>
        </w:p>
        <w:p w14:paraId="2D438EBB">
          <w:pPr>
            <w:pStyle w:val="17"/>
            <w:tabs>
              <w:tab w:val="right" w:leader="dot" w:pos="8620"/>
            </w:tabs>
            <w:ind w:left="417" w:leftChars="104" w:hanging="199" w:hangingChars="95"/>
          </w:pPr>
          <w:r>
            <w:rPr>
              <w:rFonts w:hint="eastAsia" w:ascii="宋体" w:hAnsi="宋体" w:cs="宋体"/>
              <w:bCs/>
              <w:szCs w:val="28"/>
              <w:lang w:val="zh-CN"/>
            </w:rPr>
            <w:fldChar w:fldCharType="begin"/>
          </w:r>
          <w:r>
            <w:rPr>
              <w:rFonts w:hint="eastAsia" w:ascii="宋体" w:hAnsi="宋体" w:cs="宋体"/>
              <w:bCs/>
              <w:szCs w:val="28"/>
              <w:lang w:val="zh-CN"/>
            </w:rPr>
            <w:instrText xml:space="preserve"> HYPERLINK \l _Toc714 </w:instrText>
          </w:r>
          <w:r>
            <w:rPr>
              <w:rFonts w:hint="eastAsia" w:ascii="宋体" w:hAnsi="宋体" w:cs="宋体"/>
              <w:bCs/>
              <w:szCs w:val="28"/>
              <w:lang w:val="zh-CN"/>
            </w:rPr>
            <w:fldChar w:fldCharType="separate"/>
          </w:r>
          <w:r>
            <w:t>格式</w:t>
          </w:r>
          <w:r>
            <w:rPr>
              <w:rFonts w:hint="eastAsia"/>
            </w:rPr>
            <w:t>四</w:t>
          </w:r>
          <w:r>
            <w:t>、</w:t>
          </w:r>
          <w:r>
            <w:rPr>
              <w:rFonts w:hint="eastAsia"/>
            </w:rPr>
            <w:t>分项报价表</w:t>
          </w:r>
          <w:r>
            <w:tab/>
          </w:r>
          <w:r>
            <w:fldChar w:fldCharType="begin"/>
          </w:r>
          <w:r>
            <w:instrText xml:space="preserve"> PAGEREF _Toc714 \h </w:instrText>
          </w:r>
          <w:r>
            <w:fldChar w:fldCharType="separate"/>
          </w:r>
          <w:r>
            <w:t>38</w:t>
          </w:r>
          <w:r>
            <w:fldChar w:fldCharType="end"/>
          </w:r>
          <w:r>
            <w:rPr>
              <w:rFonts w:hint="eastAsia" w:ascii="宋体" w:hAnsi="宋体" w:cs="宋体"/>
              <w:bCs/>
              <w:szCs w:val="28"/>
              <w:lang w:val="zh-CN"/>
            </w:rPr>
            <w:fldChar w:fldCharType="end"/>
          </w:r>
        </w:p>
        <w:p w14:paraId="41DCE15D">
          <w:pPr>
            <w:pStyle w:val="17"/>
            <w:tabs>
              <w:tab w:val="right" w:leader="dot" w:pos="8620"/>
            </w:tabs>
            <w:ind w:left="417" w:leftChars="104" w:hanging="199" w:hangingChars="95"/>
          </w:pPr>
          <w:r>
            <w:rPr>
              <w:rFonts w:hint="eastAsia" w:ascii="宋体" w:hAnsi="宋体" w:cs="宋体"/>
              <w:bCs/>
              <w:szCs w:val="28"/>
              <w:lang w:val="zh-CN"/>
            </w:rPr>
            <w:fldChar w:fldCharType="begin"/>
          </w:r>
          <w:r>
            <w:rPr>
              <w:rFonts w:hint="eastAsia" w:ascii="宋体" w:hAnsi="宋体" w:cs="宋体"/>
              <w:bCs/>
              <w:szCs w:val="28"/>
              <w:lang w:val="zh-CN"/>
            </w:rPr>
            <w:instrText xml:space="preserve"> HYPERLINK \l _Toc18997 </w:instrText>
          </w:r>
          <w:r>
            <w:rPr>
              <w:rFonts w:hint="eastAsia" w:ascii="宋体" w:hAnsi="宋体" w:cs="宋体"/>
              <w:bCs/>
              <w:szCs w:val="28"/>
              <w:lang w:val="zh-CN"/>
            </w:rPr>
            <w:fldChar w:fldCharType="separate"/>
          </w:r>
          <w:r>
            <w:rPr>
              <w:rFonts w:hint="eastAsia"/>
            </w:rPr>
            <w:t>格式五、法定代表人身份证明</w:t>
          </w:r>
          <w:r>
            <w:tab/>
          </w:r>
          <w:r>
            <w:fldChar w:fldCharType="begin"/>
          </w:r>
          <w:r>
            <w:instrText xml:space="preserve"> PAGEREF _Toc18997 \h </w:instrText>
          </w:r>
          <w:r>
            <w:fldChar w:fldCharType="separate"/>
          </w:r>
          <w:r>
            <w:t>39</w:t>
          </w:r>
          <w:r>
            <w:fldChar w:fldCharType="end"/>
          </w:r>
          <w:r>
            <w:rPr>
              <w:rFonts w:hint="eastAsia" w:ascii="宋体" w:hAnsi="宋体" w:cs="宋体"/>
              <w:bCs/>
              <w:szCs w:val="28"/>
              <w:lang w:val="zh-CN"/>
            </w:rPr>
            <w:fldChar w:fldCharType="end"/>
          </w:r>
        </w:p>
        <w:p w14:paraId="485AE0F5">
          <w:pPr>
            <w:pStyle w:val="17"/>
            <w:tabs>
              <w:tab w:val="right" w:leader="dot" w:pos="8620"/>
            </w:tabs>
            <w:ind w:left="417" w:leftChars="104" w:hanging="199" w:hangingChars="95"/>
          </w:pPr>
          <w:r>
            <w:rPr>
              <w:rFonts w:hint="eastAsia" w:ascii="宋体" w:hAnsi="宋体" w:cs="宋体"/>
              <w:bCs/>
              <w:szCs w:val="28"/>
              <w:lang w:val="zh-CN"/>
            </w:rPr>
            <w:fldChar w:fldCharType="begin"/>
          </w:r>
          <w:r>
            <w:rPr>
              <w:rFonts w:hint="eastAsia" w:ascii="宋体" w:hAnsi="宋体" w:cs="宋体"/>
              <w:bCs/>
              <w:szCs w:val="28"/>
              <w:lang w:val="zh-CN"/>
            </w:rPr>
            <w:instrText xml:space="preserve"> HYPERLINK \l _Toc25598 </w:instrText>
          </w:r>
          <w:r>
            <w:rPr>
              <w:rFonts w:hint="eastAsia" w:ascii="宋体" w:hAnsi="宋体" w:cs="宋体"/>
              <w:bCs/>
              <w:szCs w:val="28"/>
              <w:lang w:val="zh-CN"/>
            </w:rPr>
            <w:fldChar w:fldCharType="separate"/>
          </w:r>
          <w:r>
            <w:rPr>
              <w:rFonts w:hint="eastAsia"/>
            </w:rPr>
            <w:t>格式六、授权委托书</w:t>
          </w:r>
          <w:r>
            <w:tab/>
          </w:r>
          <w:r>
            <w:fldChar w:fldCharType="begin"/>
          </w:r>
          <w:r>
            <w:instrText xml:space="preserve"> PAGEREF _Toc25598 \h </w:instrText>
          </w:r>
          <w:r>
            <w:fldChar w:fldCharType="separate"/>
          </w:r>
          <w:r>
            <w:t>40</w:t>
          </w:r>
          <w:r>
            <w:fldChar w:fldCharType="end"/>
          </w:r>
          <w:r>
            <w:rPr>
              <w:rFonts w:hint="eastAsia" w:ascii="宋体" w:hAnsi="宋体" w:cs="宋体"/>
              <w:bCs/>
              <w:szCs w:val="28"/>
              <w:lang w:val="zh-CN"/>
            </w:rPr>
            <w:fldChar w:fldCharType="end"/>
          </w:r>
        </w:p>
        <w:p w14:paraId="058E2FB1">
          <w:pPr>
            <w:pStyle w:val="17"/>
            <w:tabs>
              <w:tab w:val="right" w:leader="dot" w:pos="8620"/>
            </w:tabs>
            <w:ind w:left="417" w:leftChars="104" w:hanging="199" w:hangingChars="95"/>
          </w:pPr>
          <w:r>
            <w:rPr>
              <w:rFonts w:hint="eastAsia" w:ascii="宋体" w:hAnsi="宋体" w:cs="宋体"/>
              <w:bCs/>
              <w:szCs w:val="28"/>
              <w:lang w:val="zh-CN"/>
            </w:rPr>
            <w:fldChar w:fldCharType="begin"/>
          </w:r>
          <w:r>
            <w:rPr>
              <w:rFonts w:hint="eastAsia" w:ascii="宋体" w:hAnsi="宋体" w:cs="宋体"/>
              <w:bCs/>
              <w:szCs w:val="28"/>
              <w:lang w:val="zh-CN"/>
            </w:rPr>
            <w:instrText xml:space="preserve"> HYPERLINK \l _Toc884 </w:instrText>
          </w:r>
          <w:r>
            <w:rPr>
              <w:rFonts w:hint="eastAsia" w:ascii="宋体" w:hAnsi="宋体" w:cs="宋体"/>
              <w:bCs/>
              <w:szCs w:val="28"/>
              <w:lang w:val="zh-CN"/>
            </w:rPr>
            <w:fldChar w:fldCharType="separate"/>
          </w:r>
          <w:r>
            <w:rPr>
              <w:rFonts w:hint="eastAsia"/>
            </w:rPr>
            <w:t>格式七、服务方案</w:t>
          </w:r>
          <w:r>
            <w:tab/>
          </w:r>
          <w:r>
            <w:fldChar w:fldCharType="begin"/>
          </w:r>
          <w:r>
            <w:instrText xml:space="preserve"> PAGEREF _Toc884 \h </w:instrText>
          </w:r>
          <w:r>
            <w:fldChar w:fldCharType="separate"/>
          </w:r>
          <w:r>
            <w:t>41</w:t>
          </w:r>
          <w:r>
            <w:fldChar w:fldCharType="end"/>
          </w:r>
          <w:r>
            <w:rPr>
              <w:rFonts w:hint="eastAsia" w:ascii="宋体" w:hAnsi="宋体" w:cs="宋体"/>
              <w:bCs/>
              <w:szCs w:val="28"/>
              <w:lang w:val="zh-CN"/>
            </w:rPr>
            <w:fldChar w:fldCharType="end"/>
          </w:r>
        </w:p>
        <w:p w14:paraId="7E762FD8">
          <w:pPr>
            <w:pStyle w:val="17"/>
            <w:tabs>
              <w:tab w:val="right" w:leader="dot" w:pos="8620"/>
            </w:tabs>
            <w:ind w:left="417" w:leftChars="104" w:hanging="199" w:hangingChars="95"/>
          </w:pPr>
          <w:r>
            <w:rPr>
              <w:rFonts w:hint="eastAsia" w:ascii="宋体" w:hAnsi="宋体" w:cs="宋体"/>
              <w:bCs/>
              <w:szCs w:val="28"/>
              <w:lang w:val="zh-CN"/>
            </w:rPr>
            <w:fldChar w:fldCharType="begin"/>
          </w:r>
          <w:r>
            <w:rPr>
              <w:rFonts w:hint="eastAsia" w:ascii="宋体" w:hAnsi="宋体" w:cs="宋体"/>
              <w:bCs/>
              <w:szCs w:val="28"/>
              <w:lang w:val="zh-CN"/>
            </w:rPr>
            <w:instrText xml:space="preserve"> HYPERLINK \l _Toc26578 </w:instrText>
          </w:r>
          <w:r>
            <w:rPr>
              <w:rFonts w:hint="eastAsia" w:ascii="宋体" w:hAnsi="宋体" w:cs="宋体"/>
              <w:bCs/>
              <w:szCs w:val="28"/>
              <w:lang w:val="zh-CN"/>
            </w:rPr>
            <w:fldChar w:fldCharType="separate"/>
          </w:r>
          <w:r>
            <w:rPr>
              <w:rFonts w:hint="eastAsia"/>
            </w:rPr>
            <w:t>格式八、计划参加本项目技术人员一览表</w:t>
          </w:r>
          <w:r>
            <w:tab/>
          </w:r>
          <w:r>
            <w:fldChar w:fldCharType="begin"/>
          </w:r>
          <w:r>
            <w:instrText xml:space="preserve"> PAGEREF _Toc26578 \h </w:instrText>
          </w:r>
          <w:r>
            <w:fldChar w:fldCharType="separate"/>
          </w:r>
          <w:r>
            <w:t>42</w:t>
          </w:r>
          <w:r>
            <w:fldChar w:fldCharType="end"/>
          </w:r>
          <w:r>
            <w:rPr>
              <w:rFonts w:hint="eastAsia" w:ascii="宋体" w:hAnsi="宋体" w:cs="宋体"/>
              <w:bCs/>
              <w:szCs w:val="28"/>
              <w:lang w:val="zh-CN"/>
            </w:rPr>
            <w:fldChar w:fldCharType="end"/>
          </w:r>
        </w:p>
        <w:p w14:paraId="009853FD">
          <w:pPr>
            <w:pStyle w:val="17"/>
            <w:tabs>
              <w:tab w:val="right" w:leader="dot" w:pos="8620"/>
            </w:tabs>
            <w:ind w:left="417" w:leftChars="104" w:hanging="199" w:hangingChars="95"/>
          </w:pPr>
          <w:r>
            <w:rPr>
              <w:rFonts w:hint="eastAsia" w:ascii="宋体" w:hAnsi="宋体" w:cs="宋体"/>
              <w:bCs/>
              <w:szCs w:val="28"/>
              <w:lang w:val="zh-CN"/>
            </w:rPr>
            <w:fldChar w:fldCharType="begin"/>
          </w:r>
          <w:r>
            <w:rPr>
              <w:rFonts w:hint="eastAsia" w:ascii="宋体" w:hAnsi="宋体" w:cs="宋体"/>
              <w:bCs/>
              <w:szCs w:val="28"/>
              <w:lang w:val="zh-CN"/>
            </w:rPr>
            <w:instrText xml:space="preserve"> HYPERLINK \l _Toc5869 </w:instrText>
          </w:r>
          <w:r>
            <w:rPr>
              <w:rFonts w:hint="eastAsia" w:ascii="宋体" w:hAnsi="宋体" w:cs="宋体"/>
              <w:bCs/>
              <w:szCs w:val="28"/>
              <w:lang w:val="zh-CN"/>
            </w:rPr>
            <w:fldChar w:fldCharType="separate"/>
          </w:r>
          <w:r>
            <w:rPr>
              <w:rFonts w:hint="eastAsia"/>
            </w:rPr>
            <w:t>格式九、投标人业绩情况表</w:t>
          </w:r>
          <w:r>
            <w:tab/>
          </w:r>
          <w:r>
            <w:fldChar w:fldCharType="begin"/>
          </w:r>
          <w:r>
            <w:instrText xml:space="preserve"> PAGEREF _Toc5869 \h </w:instrText>
          </w:r>
          <w:r>
            <w:fldChar w:fldCharType="separate"/>
          </w:r>
          <w:r>
            <w:t>43</w:t>
          </w:r>
          <w:r>
            <w:fldChar w:fldCharType="end"/>
          </w:r>
          <w:r>
            <w:rPr>
              <w:rFonts w:hint="eastAsia" w:ascii="宋体" w:hAnsi="宋体" w:cs="宋体"/>
              <w:bCs/>
              <w:szCs w:val="28"/>
              <w:lang w:val="zh-CN"/>
            </w:rPr>
            <w:fldChar w:fldCharType="end"/>
          </w:r>
        </w:p>
        <w:p w14:paraId="5C4A153F">
          <w:pPr>
            <w:pStyle w:val="17"/>
            <w:tabs>
              <w:tab w:val="right" w:leader="dot" w:pos="8620"/>
            </w:tabs>
            <w:ind w:left="417" w:leftChars="104" w:hanging="199" w:hangingChars="95"/>
          </w:pPr>
          <w:r>
            <w:rPr>
              <w:rFonts w:hint="eastAsia" w:ascii="宋体" w:hAnsi="宋体" w:cs="宋体"/>
              <w:bCs/>
              <w:szCs w:val="28"/>
              <w:lang w:val="zh-CN"/>
            </w:rPr>
            <w:fldChar w:fldCharType="begin"/>
          </w:r>
          <w:r>
            <w:rPr>
              <w:rFonts w:hint="eastAsia" w:ascii="宋体" w:hAnsi="宋体" w:cs="宋体"/>
              <w:bCs/>
              <w:szCs w:val="28"/>
              <w:lang w:val="zh-CN"/>
            </w:rPr>
            <w:instrText xml:space="preserve"> HYPERLINK \l _Toc18348 </w:instrText>
          </w:r>
          <w:r>
            <w:rPr>
              <w:rFonts w:hint="eastAsia" w:ascii="宋体" w:hAnsi="宋体" w:cs="宋体"/>
              <w:bCs/>
              <w:szCs w:val="28"/>
              <w:lang w:val="zh-CN"/>
            </w:rPr>
            <w:fldChar w:fldCharType="separate"/>
          </w:r>
          <w:r>
            <w:rPr>
              <w:rFonts w:hint="eastAsia"/>
            </w:rPr>
            <w:t>格式十、技术规格响应表</w:t>
          </w:r>
          <w:r>
            <w:tab/>
          </w:r>
          <w:r>
            <w:fldChar w:fldCharType="begin"/>
          </w:r>
          <w:r>
            <w:instrText xml:space="preserve"> PAGEREF _Toc18348 \h </w:instrText>
          </w:r>
          <w:r>
            <w:fldChar w:fldCharType="separate"/>
          </w:r>
          <w:r>
            <w:t>44</w:t>
          </w:r>
          <w:r>
            <w:fldChar w:fldCharType="end"/>
          </w:r>
          <w:r>
            <w:rPr>
              <w:rFonts w:hint="eastAsia" w:ascii="宋体" w:hAnsi="宋体" w:cs="宋体"/>
              <w:bCs/>
              <w:szCs w:val="28"/>
              <w:lang w:val="zh-CN"/>
            </w:rPr>
            <w:fldChar w:fldCharType="end"/>
          </w:r>
        </w:p>
        <w:p w14:paraId="5DDE1CB9">
          <w:pPr>
            <w:pStyle w:val="17"/>
            <w:tabs>
              <w:tab w:val="right" w:leader="dot" w:pos="8620"/>
            </w:tabs>
            <w:ind w:left="417" w:leftChars="104" w:hanging="199" w:hangingChars="95"/>
          </w:pPr>
          <w:r>
            <w:rPr>
              <w:rFonts w:hint="eastAsia" w:ascii="宋体" w:hAnsi="宋体" w:cs="宋体"/>
              <w:bCs/>
              <w:szCs w:val="28"/>
              <w:lang w:val="zh-CN"/>
            </w:rPr>
            <w:fldChar w:fldCharType="begin"/>
          </w:r>
          <w:r>
            <w:rPr>
              <w:rFonts w:hint="eastAsia" w:ascii="宋体" w:hAnsi="宋体" w:cs="宋体"/>
              <w:bCs/>
              <w:szCs w:val="28"/>
              <w:lang w:val="zh-CN"/>
            </w:rPr>
            <w:instrText xml:space="preserve"> HYPERLINK \l _Toc17196 </w:instrText>
          </w:r>
          <w:r>
            <w:rPr>
              <w:rFonts w:hint="eastAsia" w:ascii="宋体" w:hAnsi="宋体" w:cs="宋体"/>
              <w:bCs/>
              <w:szCs w:val="28"/>
              <w:lang w:val="zh-CN"/>
            </w:rPr>
            <w:fldChar w:fldCharType="separate"/>
          </w:r>
          <w:r>
            <w:rPr>
              <w:rFonts w:hint="eastAsia"/>
            </w:rPr>
            <w:t>格式十一、各类证明材料</w:t>
          </w:r>
          <w:r>
            <w:tab/>
          </w:r>
          <w:r>
            <w:fldChar w:fldCharType="begin"/>
          </w:r>
          <w:r>
            <w:instrText xml:space="preserve"> PAGEREF _Toc17196 \h </w:instrText>
          </w:r>
          <w:r>
            <w:fldChar w:fldCharType="separate"/>
          </w:r>
          <w:r>
            <w:t>45</w:t>
          </w:r>
          <w:r>
            <w:fldChar w:fldCharType="end"/>
          </w:r>
          <w:r>
            <w:rPr>
              <w:rFonts w:hint="eastAsia" w:ascii="宋体" w:hAnsi="宋体" w:cs="宋体"/>
              <w:bCs/>
              <w:szCs w:val="28"/>
              <w:lang w:val="zh-CN"/>
            </w:rPr>
            <w:fldChar w:fldCharType="end"/>
          </w:r>
        </w:p>
        <w:p w14:paraId="0B07BEB0">
          <w:pPr>
            <w:pStyle w:val="10"/>
            <w:tabs>
              <w:tab w:val="right" w:leader="dot" w:pos="8620"/>
            </w:tabs>
            <w:ind w:left="840" w:leftChars="200" w:hanging="420" w:hangingChars="200"/>
          </w:pPr>
          <w:r>
            <w:rPr>
              <w:rFonts w:hint="eastAsia" w:ascii="宋体" w:hAnsi="宋体" w:cs="宋体"/>
              <w:bCs/>
              <w:szCs w:val="28"/>
              <w:lang w:val="zh-CN"/>
            </w:rPr>
            <w:fldChar w:fldCharType="begin"/>
          </w:r>
          <w:r>
            <w:rPr>
              <w:rFonts w:hint="eastAsia" w:ascii="宋体" w:hAnsi="宋体" w:cs="宋体"/>
              <w:bCs/>
              <w:szCs w:val="28"/>
              <w:lang w:val="zh-CN"/>
            </w:rPr>
            <w:instrText xml:space="preserve"> HYPERLINK \l _Toc4007 </w:instrText>
          </w:r>
          <w:r>
            <w:rPr>
              <w:rFonts w:hint="eastAsia" w:ascii="宋体" w:hAnsi="宋体" w:cs="宋体"/>
              <w:bCs/>
              <w:szCs w:val="28"/>
              <w:lang w:val="zh-CN"/>
            </w:rPr>
            <w:fldChar w:fldCharType="separate"/>
          </w:r>
          <w:r>
            <w:rPr>
              <w:rFonts w:hint="eastAsia"/>
            </w:rPr>
            <w:t>（一）投标人基本情况表</w:t>
          </w:r>
          <w:r>
            <w:tab/>
          </w:r>
          <w:r>
            <w:fldChar w:fldCharType="begin"/>
          </w:r>
          <w:r>
            <w:instrText xml:space="preserve"> PAGEREF _Toc4007 \h </w:instrText>
          </w:r>
          <w:r>
            <w:fldChar w:fldCharType="separate"/>
          </w:r>
          <w:r>
            <w:t>45</w:t>
          </w:r>
          <w:r>
            <w:fldChar w:fldCharType="end"/>
          </w:r>
          <w:r>
            <w:rPr>
              <w:rFonts w:hint="eastAsia" w:ascii="宋体" w:hAnsi="宋体" w:cs="宋体"/>
              <w:bCs/>
              <w:szCs w:val="28"/>
              <w:lang w:val="zh-CN"/>
            </w:rPr>
            <w:fldChar w:fldCharType="end"/>
          </w:r>
        </w:p>
        <w:p w14:paraId="3407851B">
          <w:pPr>
            <w:pStyle w:val="10"/>
            <w:tabs>
              <w:tab w:val="right" w:leader="dot" w:pos="8620"/>
            </w:tabs>
            <w:ind w:left="840" w:leftChars="200" w:hanging="420" w:hangingChars="200"/>
          </w:pPr>
          <w:r>
            <w:rPr>
              <w:rFonts w:hint="eastAsia" w:ascii="宋体" w:hAnsi="宋体" w:cs="宋体"/>
              <w:bCs/>
              <w:szCs w:val="28"/>
              <w:lang w:val="zh-CN"/>
            </w:rPr>
            <w:fldChar w:fldCharType="begin"/>
          </w:r>
          <w:r>
            <w:rPr>
              <w:rFonts w:hint="eastAsia" w:ascii="宋体" w:hAnsi="宋体" w:cs="宋体"/>
              <w:bCs/>
              <w:szCs w:val="28"/>
              <w:lang w:val="zh-CN"/>
            </w:rPr>
            <w:instrText xml:space="preserve"> HYPERLINK \l _Toc29876 </w:instrText>
          </w:r>
          <w:r>
            <w:rPr>
              <w:rFonts w:hint="eastAsia" w:ascii="宋体" w:hAnsi="宋体" w:cs="宋体"/>
              <w:bCs/>
              <w:szCs w:val="28"/>
              <w:lang w:val="zh-CN"/>
            </w:rPr>
            <w:fldChar w:fldCharType="separate"/>
          </w:r>
          <w:r>
            <w:rPr>
              <w:rFonts w:hint="eastAsia"/>
            </w:rPr>
            <w:t>（二）招标文件要求的资格审查材料</w:t>
          </w:r>
          <w:r>
            <w:rPr>
              <w:rFonts w:hint="eastAsia"/>
              <w:lang w:eastAsia="zh-CN"/>
            </w:rPr>
            <w:t>：</w:t>
          </w:r>
          <w:r>
            <w:tab/>
          </w:r>
          <w:r>
            <w:fldChar w:fldCharType="begin"/>
          </w:r>
          <w:r>
            <w:instrText xml:space="preserve"> PAGEREF _Toc29876 \h </w:instrText>
          </w:r>
          <w:r>
            <w:fldChar w:fldCharType="separate"/>
          </w:r>
          <w:r>
            <w:t>46</w:t>
          </w:r>
          <w:r>
            <w:fldChar w:fldCharType="end"/>
          </w:r>
          <w:r>
            <w:rPr>
              <w:rFonts w:hint="eastAsia" w:ascii="宋体" w:hAnsi="宋体" w:cs="宋体"/>
              <w:bCs/>
              <w:szCs w:val="28"/>
              <w:lang w:val="zh-CN"/>
            </w:rPr>
            <w:fldChar w:fldCharType="end"/>
          </w:r>
        </w:p>
        <w:p w14:paraId="5122463C">
          <w:pPr>
            <w:pStyle w:val="10"/>
            <w:tabs>
              <w:tab w:val="right" w:leader="dot" w:pos="8620"/>
            </w:tabs>
            <w:ind w:left="840" w:leftChars="200" w:hanging="420" w:hangingChars="200"/>
          </w:pPr>
          <w:r>
            <w:rPr>
              <w:rFonts w:hint="eastAsia" w:ascii="宋体" w:hAnsi="宋体" w:cs="宋体"/>
              <w:bCs/>
              <w:szCs w:val="28"/>
              <w:lang w:val="zh-CN"/>
            </w:rPr>
            <w:fldChar w:fldCharType="begin"/>
          </w:r>
          <w:r>
            <w:rPr>
              <w:rFonts w:hint="eastAsia" w:ascii="宋体" w:hAnsi="宋体" w:cs="宋体"/>
              <w:bCs/>
              <w:szCs w:val="28"/>
              <w:lang w:val="zh-CN"/>
            </w:rPr>
            <w:instrText xml:space="preserve"> HYPERLINK \l _Toc4034 </w:instrText>
          </w:r>
          <w:r>
            <w:rPr>
              <w:rFonts w:hint="eastAsia" w:ascii="宋体" w:hAnsi="宋体" w:cs="宋体"/>
              <w:bCs/>
              <w:szCs w:val="28"/>
              <w:lang w:val="zh-CN"/>
            </w:rPr>
            <w:fldChar w:fldCharType="separate"/>
          </w:r>
          <w:r>
            <w:rPr>
              <w:rFonts w:hint="eastAsia"/>
            </w:rPr>
            <w:t>（三）投标人认为需提供的其他资料。</w:t>
          </w:r>
          <w:r>
            <w:tab/>
          </w:r>
          <w:r>
            <w:fldChar w:fldCharType="begin"/>
          </w:r>
          <w:r>
            <w:instrText xml:space="preserve"> PAGEREF _Toc4034 \h </w:instrText>
          </w:r>
          <w:r>
            <w:fldChar w:fldCharType="separate"/>
          </w:r>
          <w:r>
            <w:t>48</w:t>
          </w:r>
          <w:r>
            <w:fldChar w:fldCharType="end"/>
          </w:r>
          <w:r>
            <w:rPr>
              <w:rFonts w:hint="eastAsia" w:ascii="宋体" w:hAnsi="宋体" w:cs="宋体"/>
              <w:bCs/>
              <w:szCs w:val="28"/>
              <w:lang w:val="zh-CN"/>
            </w:rPr>
            <w:fldChar w:fldCharType="end"/>
          </w:r>
        </w:p>
        <w:p w14:paraId="49C080C1">
          <w:pPr>
            <w:spacing w:line="480" w:lineRule="auto"/>
            <w:rPr>
              <w:rFonts w:ascii="Meiryo UI" w:hAnsi="Meiryo UI" w:eastAsia="Meiryo UI" w:cs="Meiryo UI"/>
              <w:sz w:val="24"/>
            </w:rPr>
          </w:pPr>
          <w:r>
            <w:rPr>
              <w:rFonts w:hint="eastAsia" w:ascii="宋体" w:hAnsi="宋体" w:cs="宋体"/>
              <w:bCs/>
              <w:szCs w:val="28"/>
              <w:lang w:val="zh-CN"/>
            </w:rPr>
            <w:fldChar w:fldCharType="end"/>
          </w:r>
        </w:p>
      </w:sdtContent>
    </w:sdt>
    <w:p w14:paraId="5C09AEC8">
      <w:pPr>
        <w:spacing w:line="480" w:lineRule="auto"/>
        <w:ind w:leftChars="-95" w:hanging="199" w:hangingChars="95"/>
      </w:pPr>
    </w:p>
    <w:p w14:paraId="6AC9EAF6">
      <w:pPr>
        <w:pStyle w:val="2"/>
        <w:bidi w:val="0"/>
        <w:jc w:val="center"/>
        <w:rPr>
          <w:rFonts w:hint="eastAsia"/>
        </w:rPr>
        <w:sectPr>
          <w:headerReference r:id="rId6" w:type="default"/>
          <w:footerReference r:id="rId7" w:type="default"/>
          <w:pgSz w:w="11907" w:h="16839"/>
          <w:pgMar w:top="1440" w:right="1487" w:bottom="1440" w:left="1800" w:header="283" w:footer="861" w:gutter="0"/>
          <w:cols w:space="720" w:num="1"/>
          <w:docGrid w:linePitch="286" w:charSpace="0"/>
        </w:sectPr>
      </w:pPr>
      <w:bookmarkStart w:id="0" w:name="_Toc30092"/>
    </w:p>
    <w:p w14:paraId="62919A7F">
      <w:pPr>
        <w:pStyle w:val="2"/>
        <w:bidi w:val="0"/>
        <w:jc w:val="center"/>
        <w:rPr>
          <w:rFonts w:hint="eastAsia"/>
        </w:rPr>
      </w:pPr>
      <w:bookmarkStart w:id="1" w:name="_Toc8059"/>
      <w:r>
        <w:rPr>
          <w:rFonts w:hint="eastAsia"/>
        </w:rPr>
        <w:t>第一章  招标公告</w:t>
      </w:r>
      <w:bookmarkEnd w:id="0"/>
      <w:bookmarkEnd w:id="1"/>
    </w:p>
    <w:p w14:paraId="76164109">
      <w:pPr>
        <w:widowControl/>
        <w:jc w:val="center"/>
        <w:rPr>
          <w:rFonts w:hint="eastAsia" w:ascii="宋体" w:hAnsi="宋体" w:cs="宋体"/>
          <w:b/>
          <w:bCs/>
          <w:kern w:val="0"/>
          <w:sz w:val="36"/>
          <w:szCs w:val="36"/>
          <w:lang w:bidi="ar"/>
        </w:rPr>
      </w:pPr>
      <w:bookmarkStart w:id="2" w:name="OLE_LINK4"/>
      <w:bookmarkStart w:id="3" w:name="OLE_LINK5"/>
      <w:bookmarkStart w:id="4" w:name="OLE_LINK6"/>
      <w:r>
        <w:rPr>
          <w:rFonts w:hint="eastAsia" w:ascii="宋体" w:hAnsi="宋体" w:cs="宋体"/>
          <w:b/>
          <w:bCs/>
          <w:kern w:val="0"/>
          <w:sz w:val="36"/>
          <w:szCs w:val="36"/>
          <w:lang w:val="en-US" w:eastAsia="zh-CN" w:bidi="ar"/>
        </w:rPr>
        <w:t>呼和浩特海关业务分析研判室—弱电设备改造工程</w:t>
      </w:r>
    </w:p>
    <w:p w14:paraId="7402C8B4">
      <w:pPr>
        <w:widowControl/>
        <w:jc w:val="center"/>
        <w:rPr>
          <w:rFonts w:ascii="宋体" w:hAnsi="宋体" w:cs="宋体"/>
          <w:sz w:val="24"/>
          <w:szCs w:val="32"/>
        </w:rPr>
      </w:pPr>
      <w:r>
        <w:rPr>
          <w:rFonts w:hint="eastAsia" w:ascii="宋体" w:hAnsi="宋体" w:cs="宋体"/>
          <w:b/>
          <w:bCs/>
          <w:kern w:val="0"/>
          <w:sz w:val="36"/>
          <w:szCs w:val="36"/>
          <w:lang w:bidi="ar"/>
        </w:rPr>
        <w:t>招标公告</w:t>
      </w:r>
    </w:p>
    <w:p w14:paraId="71331121">
      <w:pPr>
        <w:spacing w:line="360" w:lineRule="auto"/>
        <w:jc w:val="center"/>
        <w:rPr>
          <w:rFonts w:ascii="宋体" w:hAnsi="宋体" w:cs="宋体"/>
          <w:sz w:val="24"/>
        </w:rPr>
      </w:pPr>
      <w:r>
        <w:rPr>
          <w:rFonts w:hint="eastAsia" w:ascii="宋体" w:hAnsi="宋体" w:cs="宋体"/>
          <w:sz w:val="24"/>
        </w:rPr>
        <w:t>（</w:t>
      </w:r>
      <w:r>
        <w:rPr>
          <w:rFonts w:hint="eastAsia" w:ascii="宋体" w:hAnsi="宋体" w:cs="宋体"/>
          <w:sz w:val="24"/>
          <w:highlight w:val="none"/>
        </w:rPr>
        <w:t>招标编号：</w:t>
      </w:r>
      <w:bookmarkStart w:id="5" w:name="OLE_LINK34"/>
      <w:bookmarkStart w:id="6" w:name="OLE_LINK33"/>
      <w:r>
        <w:rPr>
          <w:rFonts w:hint="eastAsia" w:ascii="宋体" w:hAnsi="宋体" w:cs="宋体"/>
          <w:sz w:val="24"/>
          <w:highlight w:val="none"/>
        </w:rPr>
        <w:t>NMGLZ-202</w:t>
      </w:r>
      <w:r>
        <w:rPr>
          <w:rFonts w:hint="eastAsia" w:ascii="宋体" w:hAnsi="宋体" w:cs="宋体"/>
          <w:sz w:val="24"/>
          <w:highlight w:val="none"/>
          <w:lang w:val="en-US" w:eastAsia="zh-CN"/>
        </w:rPr>
        <w:t>6</w:t>
      </w:r>
      <w:bookmarkEnd w:id="5"/>
      <w:bookmarkEnd w:id="6"/>
      <w:r>
        <w:rPr>
          <w:rFonts w:hint="eastAsia" w:ascii="宋体" w:hAnsi="宋体" w:cs="宋体"/>
          <w:sz w:val="24"/>
          <w:highlight w:val="none"/>
          <w:lang w:val="en-US" w:eastAsia="zh-CN"/>
        </w:rPr>
        <w:t>0720</w:t>
      </w:r>
      <w:r>
        <w:rPr>
          <w:rFonts w:hint="eastAsia" w:ascii="宋体" w:hAnsi="宋体" w:cs="宋体"/>
          <w:sz w:val="24"/>
          <w:highlight w:val="none"/>
        </w:rPr>
        <w:t>）</w:t>
      </w:r>
    </w:p>
    <w:p w14:paraId="4F5F18C7">
      <w:pPr>
        <w:spacing w:line="360" w:lineRule="auto"/>
        <w:rPr>
          <w:rFonts w:hint="eastAsia" w:ascii="宋体" w:hAnsi="宋体" w:eastAsia="宋体" w:cs="宋体"/>
          <w:sz w:val="24"/>
          <w:lang w:eastAsia="zh-CN"/>
        </w:rPr>
      </w:pPr>
      <w:r>
        <w:rPr>
          <w:rFonts w:hint="eastAsia" w:ascii="宋体" w:hAnsi="宋体" w:cs="宋体"/>
          <w:sz w:val="24"/>
        </w:rPr>
        <w:t>项目所在地区：内蒙古自治区、</w:t>
      </w:r>
      <w:r>
        <w:rPr>
          <w:rFonts w:hint="eastAsia" w:ascii="宋体" w:hAnsi="宋体" w:cs="宋体"/>
          <w:sz w:val="24"/>
          <w:highlight w:val="none"/>
        </w:rPr>
        <w:t>呼和浩特市</w:t>
      </w:r>
    </w:p>
    <w:p w14:paraId="2E334FD7">
      <w:pPr>
        <w:spacing w:line="360" w:lineRule="auto"/>
        <w:rPr>
          <w:rFonts w:ascii="宋体" w:hAnsi="宋体" w:cs="宋体"/>
          <w:b/>
          <w:sz w:val="24"/>
        </w:rPr>
      </w:pPr>
      <w:r>
        <w:rPr>
          <w:rFonts w:hint="eastAsia" w:ascii="宋体" w:hAnsi="宋体" w:cs="宋体"/>
          <w:b/>
          <w:sz w:val="24"/>
        </w:rPr>
        <w:t>一、招标条件</w:t>
      </w:r>
    </w:p>
    <w:p w14:paraId="0F8F40A1">
      <w:pPr>
        <w:spacing w:line="360" w:lineRule="auto"/>
        <w:ind w:firstLine="480" w:firstLineChars="200"/>
        <w:rPr>
          <w:rFonts w:ascii="宋体" w:hAnsi="宋体" w:cs="宋体"/>
          <w:sz w:val="24"/>
          <w:highlight w:val="none"/>
        </w:rPr>
      </w:pPr>
      <w:r>
        <w:rPr>
          <w:rFonts w:hint="eastAsia" w:ascii="宋体" w:hAnsi="宋体" w:cs="宋体"/>
          <w:sz w:val="24"/>
          <w:highlight w:val="none"/>
        </w:rPr>
        <w:t>本</w:t>
      </w:r>
      <w:r>
        <w:rPr>
          <w:rFonts w:hint="eastAsia" w:ascii="宋体" w:hAnsi="宋体" w:cs="宋体"/>
          <w:sz w:val="24"/>
          <w:highlight w:val="none"/>
          <w:lang w:val="en-US" w:eastAsia="zh-CN"/>
        </w:rPr>
        <w:t>呼和浩特海关业务分析研判室—弱电设备改造工程</w:t>
      </w:r>
      <w:r>
        <w:rPr>
          <w:rFonts w:hint="eastAsia" w:ascii="宋体" w:hAnsi="宋体" w:cs="宋体"/>
          <w:sz w:val="24"/>
          <w:highlight w:val="none"/>
        </w:rPr>
        <w:t>已由项目审批/核准/备案机关批准，项目资金来源为</w:t>
      </w:r>
      <w:r>
        <w:rPr>
          <w:rFonts w:hint="eastAsia" w:ascii="宋体" w:hAnsi="宋体" w:cs="宋体"/>
          <w:sz w:val="24"/>
          <w:highlight w:val="none"/>
          <w:lang w:val="en-US" w:eastAsia="zh-CN"/>
        </w:rPr>
        <w:t>财政资金：57.3543</w:t>
      </w:r>
      <w:r>
        <w:rPr>
          <w:rFonts w:hint="eastAsia" w:ascii="宋体" w:hAnsi="宋体" w:cs="宋体"/>
          <w:sz w:val="24"/>
          <w:highlight w:val="none"/>
        </w:rPr>
        <w:t>万元，招标人为</w:t>
      </w:r>
      <w:r>
        <w:rPr>
          <w:rFonts w:hint="eastAsia" w:ascii="宋体" w:hAnsi="宋体" w:cs="宋体"/>
          <w:sz w:val="24"/>
          <w:highlight w:val="none"/>
          <w:lang w:eastAsia="zh-CN"/>
        </w:rPr>
        <w:t>中华人民共和国呼和浩特海关</w:t>
      </w:r>
      <w:r>
        <w:rPr>
          <w:rFonts w:hint="eastAsia" w:ascii="宋体" w:hAnsi="宋体" w:cs="宋体"/>
          <w:sz w:val="24"/>
          <w:highlight w:val="none"/>
        </w:rPr>
        <w:t>。本项目已具备招标条件，现招标方式为公开招标。</w:t>
      </w:r>
    </w:p>
    <w:p w14:paraId="7B8AF9F9">
      <w:pPr>
        <w:spacing w:line="360" w:lineRule="auto"/>
        <w:rPr>
          <w:rFonts w:ascii="宋体" w:hAnsi="宋体" w:cs="宋体"/>
          <w:b/>
          <w:sz w:val="24"/>
          <w:highlight w:val="none"/>
        </w:rPr>
      </w:pPr>
      <w:r>
        <w:rPr>
          <w:rFonts w:hint="eastAsia" w:ascii="宋体" w:hAnsi="宋体" w:cs="宋体"/>
          <w:b/>
          <w:sz w:val="24"/>
          <w:highlight w:val="none"/>
        </w:rPr>
        <w:t>二、项目概况和招标范围</w:t>
      </w:r>
    </w:p>
    <w:p w14:paraId="65DBC577">
      <w:pPr>
        <w:spacing w:line="360" w:lineRule="auto"/>
        <w:ind w:firstLine="480" w:firstLineChars="200"/>
        <w:rPr>
          <w:rFonts w:ascii="宋体" w:hAnsi="宋体" w:cs="宋体"/>
          <w:sz w:val="24"/>
          <w:highlight w:val="none"/>
        </w:rPr>
      </w:pPr>
      <w:r>
        <w:rPr>
          <w:rFonts w:hint="eastAsia" w:ascii="宋体" w:hAnsi="宋体" w:cs="宋体"/>
          <w:sz w:val="24"/>
          <w:highlight w:val="none"/>
        </w:rPr>
        <w:t>规模：</w:t>
      </w:r>
      <w:r>
        <w:rPr>
          <w:rFonts w:hint="eastAsia" w:ascii="宋体" w:hAnsi="宋体" w:cs="宋体"/>
          <w:sz w:val="24"/>
          <w:highlight w:val="none"/>
          <w:lang w:val="en-US" w:eastAsia="zh-CN"/>
        </w:rPr>
        <w:t>呼和浩特海关业务分析研判室—弱电设备改造工程</w:t>
      </w:r>
      <w:r>
        <w:rPr>
          <w:rFonts w:hint="eastAsia" w:ascii="宋体" w:hAnsi="宋体" w:cs="宋体"/>
          <w:sz w:val="24"/>
          <w:highlight w:val="none"/>
        </w:rPr>
        <w:t>（详见招标文件）</w:t>
      </w:r>
    </w:p>
    <w:p w14:paraId="446268A7">
      <w:pPr>
        <w:spacing w:line="360" w:lineRule="auto"/>
        <w:ind w:firstLine="480" w:firstLineChars="200"/>
        <w:rPr>
          <w:rFonts w:ascii="宋体" w:hAnsi="宋体" w:cs="宋体"/>
          <w:sz w:val="24"/>
          <w:highlight w:val="none"/>
        </w:rPr>
      </w:pPr>
      <w:r>
        <w:rPr>
          <w:rFonts w:hint="eastAsia" w:ascii="宋体" w:hAnsi="宋体" w:cs="宋体"/>
          <w:sz w:val="24"/>
          <w:highlight w:val="none"/>
        </w:rPr>
        <w:t>范围：本招标项目划分为 1 个标段，本次招标为其中的：</w:t>
      </w:r>
    </w:p>
    <w:p w14:paraId="7329BBF4">
      <w:pPr>
        <w:spacing w:line="360" w:lineRule="auto"/>
        <w:ind w:firstLine="480" w:firstLineChars="200"/>
        <w:rPr>
          <w:rFonts w:ascii="宋体" w:hAnsi="宋体" w:cs="宋体"/>
          <w:sz w:val="24"/>
          <w:highlight w:val="none"/>
        </w:rPr>
      </w:pPr>
      <w:r>
        <w:rPr>
          <w:rFonts w:hint="eastAsia" w:ascii="宋体" w:hAnsi="宋体" w:cs="宋体"/>
          <w:sz w:val="24"/>
          <w:highlight w:val="none"/>
        </w:rPr>
        <w:t>【1】</w:t>
      </w:r>
      <w:r>
        <w:rPr>
          <w:rFonts w:hint="eastAsia" w:ascii="宋体" w:hAnsi="宋体" w:cs="宋体"/>
          <w:sz w:val="24"/>
          <w:highlight w:val="none"/>
          <w:lang w:val="en-US" w:eastAsia="zh-CN"/>
        </w:rPr>
        <w:t>呼和浩特海关业务分析研判室—弱电设备改造工程</w:t>
      </w:r>
      <w:r>
        <w:rPr>
          <w:rFonts w:hint="eastAsia" w:ascii="宋体" w:hAnsi="宋体" w:cs="宋体"/>
          <w:sz w:val="24"/>
          <w:highlight w:val="none"/>
        </w:rPr>
        <w:t>；</w:t>
      </w:r>
    </w:p>
    <w:p w14:paraId="2B425E8A">
      <w:pPr>
        <w:spacing w:line="360" w:lineRule="auto"/>
        <w:rPr>
          <w:rFonts w:ascii="宋体" w:hAnsi="宋体" w:cs="宋体"/>
          <w:b/>
          <w:sz w:val="24"/>
        </w:rPr>
      </w:pPr>
      <w:r>
        <w:rPr>
          <w:rFonts w:hint="eastAsia" w:ascii="宋体" w:hAnsi="宋体" w:cs="宋体"/>
          <w:b/>
          <w:sz w:val="24"/>
        </w:rPr>
        <w:t>三、投标人资格要求</w:t>
      </w:r>
    </w:p>
    <w:p w14:paraId="63D3A8A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s="宋体"/>
          <w:sz w:val="24"/>
        </w:rPr>
      </w:pPr>
      <w:r>
        <w:rPr>
          <w:rFonts w:hint="eastAsia" w:ascii="宋体" w:hAnsi="宋体" w:cs="宋体"/>
          <w:sz w:val="24"/>
          <w:highlight w:val="none"/>
        </w:rPr>
        <w:t>【1】</w:t>
      </w:r>
      <w:r>
        <w:rPr>
          <w:rFonts w:hint="eastAsia" w:ascii="宋体" w:hAnsi="宋体" w:cs="宋体"/>
          <w:sz w:val="24"/>
          <w:highlight w:val="none"/>
          <w:lang w:val="en-US" w:eastAsia="zh-CN"/>
        </w:rPr>
        <w:t>呼和浩特海关业务分析研判室—弱电设备改造工程</w:t>
      </w:r>
      <w:r>
        <w:rPr>
          <w:rFonts w:hint="eastAsia" w:ascii="宋体" w:hAnsi="宋体" w:cs="宋体"/>
          <w:sz w:val="24"/>
          <w:highlight w:val="none"/>
        </w:rPr>
        <w:t>的</w:t>
      </w:r>
      <w:r>
        <w:rPr>
          <w:rFonts w:hint="eastAsia" w:ascii="宋体" w:hAnsi="宋体" w:cs="宋体"/>
          <w:sz w:val="24"/>
        </w:rPr>
        <w:t>投标人资格能力要求：</w:t>
      </w:r>
    </w:p>
    <w:p w14:paraId="52900560">
      <w:pPr>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1、投标人须为在中华人民共和国境内依法注册的独立法人，具备独立承担民事责任的能力，具备有效的营业执照；</w:t>
      </w:r>
    </w:p>
    <w:p w14:paraId="381BE465">
      <w:pPr>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2、营业执照副本原件、税务登记证副本原件、组织机构代码证副本原件（三证合一投标人仅需提供营业执照副本原件）；</w:t>
      </w:r>
    </w:p>
    <w:p w14:paraId="2F4A52EB">
      <w:pPr>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3、开户许可证原件或基本存款账户信息；</w:t>
      </w:r>
    </w:p>
    <w:p w14:paraId="5E92F47D">
      <w:pPr>
        <w:spacing w:line="360" w:lineRule="auto"/>
        <w:ind w:firstLine="480" w:firstLineChars="200"/>
        <w:rPr>
          <w:rFonts w:hint="eastAsia" w:ascii="宋体" w:hAnsi="宋体" w:cs="宋体"/>
          <w:sz w:val="24"/>
          <w:highlight w:val="none"/>
          <w:lang w:val="en-US" w:eastAsia="zh-CN"/>
        </w:rPr>
      </w:pPr>
      <w:r>
        <w:rPr>
          <w:rFonts w:hint="eastAsia" w:ascii="宋体" w:hAnsi="宋体" w:cs="宋体"/>
          <w:sz w:val="24"/>
          <w:lang w:val="en-US" w:eastAsia="zh-CN"/>
        </w:rPr>
        <w:t>4、具有良好的</w:t>
      </w:r>
      <w:r>
        <w:rPr>
          <w:rFonts w:hint="eastAsia" w:ascii="宋体" w:hAnsi="宋体" w:cs="宋体"/>
          <w:sz w:val="24"/>
          <w:highlight w:val="none"/>
          <w:lang w:val="en-US" w:eastAsia="zh-CN"/>
        </w:rPr>
        <w:t>商业信誉和健全的财务会计制度；</w:t>
      </w:r>
    </w:p>
    <w:p w14:paraId="09B46E0C">
      <w:pPr>
        <w:spacing w:line="360" w:lineRule="auto"/>
        <w:ind w:firstLine="480" w:firstLineChars="200"/>
        <w:rPr>
          <w:rFonts w:hint="eastAsia"/>
          <w:highlight w:val="none"/>
        </w:rPr>
      </w:pPr>
      <w:r>
        <w:rPr>
          <w:rFonts w:hint="eastAsia" w:ascii="宋体" w:hAnsi="宋体" w:cs="宋体"/>
          <w:sz w:val="24"/>
          <w:highlight w:val="none"/>
          <w:lang w:val="en-US" w:eastAsia="zh-CN"/>
        </w:rPr>
        <w:t>5、具有履行合同所必需的设备和专业技术能力；</w:t>
      </w:r>
    </w:p>
    <w:p w14:paraId="5FE5B41B">
      <w:pPr>
        <w:spacing w:line="360" w:lineRule="auto"/>
        <w:ind w:firstLine="480" w:firstLineChars="200"/>
        <w:rPr>
          <w:rFonts w:hint="eastAsia" w:ascii="宋体" w:hAnsi="宋体" w:cs="宋体"/>
          <w:sz w:val="24"/>
          <w:highlight w:val="none"/>
        </w:rPr>
      </w:pPr>
      <w:r>
        <w:rPr>
          <w:rFonts w:hint="eastAsia" w:ascii="宋体" w:hAnsi="宋体" w:cs="宋体"/>
          <w:sz w:val="24"/>
          <w:highlight w:val="none"/>
          <w:lang w:val="en-US" w:eastAsia="zh-CN"/>
        </w:rPr>
        <w:t>6、具有依法缴纳税收和社会保障资金的良好记录；</w:t>
      </w:r>
    </w:p>
    <w:p w14:paraId="3EA82E7F">
      <w:pPr>
        <w:spacing w:line="360" w:lineRule="auto"/>
        <w:ind w:firstLine="480" w:firstLineChars="200"/>
        <w:rPr>
          <w:rFonts w:hint="eastAsia" w:ascii="宋体" w:hAnsi="宋体" w:cs="宋体"/>
          <w:sz w:val="24"/>
          <w:highlight w:val="none"/>
        </w:rPr>
      </w:pPr>
      <w:r>
        <w:rPr>
          <w:rFonts w:hint="eastAsia" w:ascii="宋体" w:hAnsi="宋体" w:cs="宋体"/>
          <w:sz w:val="24"/>
          <w:highlight w:val="none"/>
          <w:lang w:val="en-US" w:eastAsia="zh-CN"/>
        </w:rPr>
        <w:t>7、投标人参加本次采购活动前3年内，在经营活动中没有重大违法记录；</w:t>
      </w:r>
    </w:p>
    <w:p w14:paraId="6FB211C6">
      <w:pPr>
        <w:spacing w:line="360" w:lineRule="auto"/>
        <w:ind w:firstLine="480" w:firstLineChars="200"/>
        <w:rPr>
          <w:rFonts w:hint="eastAsia" w:ascii="宋体" w:hAnsi="宋体" w:cs="宋体"/>
          <w:sz w:val="24"/>
          <w:highlight w:val="none"/>
          <w:lang w:val="en-US" w:eastAsia="zh-CN"/>
        </w:rPr>
      </w:pPr>
      <w:r>
        <w:rPr>
          <w:rFonts w:hint="eastAsia" w:ascii="宋体" w:hAnsi="宋体" w:cs="宋体"/>
          <w:sz w:val="24"/>
          <w:highlight w:val="none"/>
          <w:lang w:val="en-US" w:eastAsia="zh-CN"/>
        </w:rPr>
        <w:t>8、信用要求：投标截止时间前，投标人未被列入“信用中国”、“中国政府采购网”等平台的失信被执行人、重大税收违法失信主体、政府采购严重违法失信行为记录名单；</w:t>
      </w:r>
    </w:p>
    <w:p w14:paraId="6506A2C8">
      <w:pPr>
        <w:spacing w:line="360" w:lineRule="auto"/>
        <w:ind w:firstLine="480" w:firstLineChars="200"/>
        <w:rPr>
          <w:rFonts w:ascii="宋体" w:hAnsi="宋体" w:cs="宋体"/>
          <w:sz w:val="24"/>
          <w:highlight w:val="none"/>
        </w:rPr>
      </w:pPr>
      <w:r>
        <w:rPr>
          <w:rFonts w:hint="eastAsia" w:ascii="宋体" w:hAnsi="宋体" w:cs="宋体"/>
          <w:sz w:val="24"/>
          <w:highlight w:val="none"/>
        </w:rPr>
        <w:t>本项目不允许联合体投标。</w:t>
      </w:r>
    </w:p>
    <w:p w14:paraId="5375D298">
      <w:pPr>
        <w:spacing w:line="360" w:lineRule="auto"/>
        <w:rPr>
          <w:rFonts w:ascii="宋体" w:hAnsi="宋体" w:cs="宋体"/>
          <w:b/>
          <w:sz w:val="24"/>
          <w:highlight w:val="none"/>
        </w:rPr>
      </w:pPr>
      <w:r>
        <w:rPr>
          <w:rFonts w:hint="eastAsia" w:ascii="宋体" w:hAnsi="宋体" w:cs="宋体"/>
          <w:b/>
          <w:sz w:val="24"/>
          <w:highlight w:val="none"/>
        </w:rPr>
        <w:t>四、招标文件的获取</w:t>
      </w:r>
    </w:p>
    <w:p w14:paraId="63A00181">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ascii="宋体" w:hAnsi="宋体" w:cs="宋体"/>
          <w:sz w:val="24"/>
          <w:highlight w:val="yellow"/>
        </w:rPr>
      </w:pPr>
      <w:r>
        <w:rPr>
          <w:rFonts w:hint="eastAsia" w:ascii="宋体" w:hAnsi="宋体" w:cs="宋体"/>
          <w:sz w:val="24"/>
          <w:highlight w:val="none"/>
        </w:rPr>
        <w:t>获取时间：</w:t>
      </w:r>
      <w:r>
        <w:rPr>
          <w:rFonts w:hint="eastAsia" w:ascii="宋体" w:hAnsi="宋体" w:cs="宋体"/>
          <w:sz w:val="24"/>
          <w:highlight w:val="yellow"/>
        </w:rPr>
        <w:t>从 202</w:t>
      </w:r>
      <w:r>
        <w:rPr>
          <w:rFonts w:hint="eastAsia" w:ascii="宋体" w:hAnsi="宋体" w:cs="宋体"/>
          <w:sz w:val="24"/>
          <w:highlight w:val="yellow"/>
          <w:lang w:val="en-US" w:eastAsia="zh-CN"/>
        </w:rPr>
        <w:t xml:space="preserve">6 </w:t>
      </w:r>
      <w:r>
        <w:rPr>
          <w:rFonts w:hint="eastAsia" w:ascii="宋体" w:hAnsi="宋体" w:cs="宋体"/>
          <w:sz w:val="24"/>
          <w:highlight w:val="yellow"/>
        </w:rPr>
        <w:t>年</w:t>
      </w:r>
      <w:r>
        <w:rPr>
          <w:rFonts w:hint="eastAsia" w:ascii="宋体" w:hAnsi="宋体" w:cs="宋体"/>
          <w:sz w:val="24"/>
          <w:highlight w:val="yellow"/>
          <w:lang w:val="en-US" w:eastAsia="zh-CN"/>
        </w:rPr>
        <w:t xml:space="preserve"> 08 </w:t>
      </w:r>
      <w:r>
        <w:rPr>
          <w:rFonts w:hint="eastAsia" w:ascii="宋体" w:hAnsi="宋体" w:cs="宋体"/>
          <w:sz w:val="24"/>
          <w:highlight w:val="yellow"/>
        </w:rPr>
        <w:t>月</w:t>
      </w:r>
      <w:r>
        <w:rPr>
          <w:rFonts w:hint="eastAsia" w:ascii="宋体" w:hAnsi="宋体" w:cs="宋体"/>
          <w:sz w:val="24"/>
          <w:highlight w:val="yellow"/>
          <w:lang w:val="en-US" w:eastAsia="zh-CN"/>
        </w:rPr>
        <w:t xml:space="preserve"> 04 </w:t>
      </w:r>
      <w:r>
        <w:rPr>
          <w:rFonts w:hint="eastAsia" w:ascii="宋体" w:hAnsi="宋体" w:cs="宋体"/>
          <w:sz w:val="24"/>
          <w:highlight w:val="yellow"/>
        </w:rPr>
        <w:t>日</w:t>
      </w:r>
      <w:r>
        <w:rPr>
          <w:rFonts w:hint="eastAsia" w:ascii="宋体" w:hAnsi="宋体" w:cs="宋体"/>
          <w:sz w:val="24"/>
          <w:highlight w:val="yellow"/>
          <w:lang w:val="en-US" w:eastAsia="zh-CN"/>
        </w:rPr>
        <w:t xml:space="preserve"> 09 </w:t>
      </w:r>
      <w:r>
        <w:rPr>
          <w:rFonts w:hint="eastAsia" w:ascii="宋体" w:hAnsi="宋体" w:cs="宋体"/>
          <w:sz w:val="24"/>
          <w:highlight w:val="yellow"/>
        </w:rPr>
        <w:t xml:space="preserve">时 </w:t>
      </w:r>
      <w:r>
        <w:rPr>
          <w:rFonts w:hint="eastAsia" w:ascii="宋体" w:hAnsi="宋体" w:cs="宋体"/>
          <w:sz w:val="24"/>
          <w:highlight w:val="yellow"/>
          <w:lang w:val="en-US" w:eastAsia="zh-CN"/>
        </w:rPr>
        <w:t>00</w:t>
      </w:r>
      <w:r>
        <w:rPr>
          <w:rFonts w:hint="eastAsia" w:ascii="宋体" w:hAnsi="宋体" w:cs="宋体"/>
          <w:sz w:val="24"/>
          <w:highlight w:val="yellow"/>
        </w:rPr>
        <w:t xml:space="preserve"> 分到 202</w:t>
      </w:r>
      <w:r>
        <w:rPr>
          <w:rFonts w:hint="eastAsia" w:ascii="宋体" w:hAnsi="宋体" w:cs="宋体"/>
          <w:sz w:val="24"/>
          <w:highlight w:val="yellow"/>
          <w:lang w:val="en-US" w:eastAsia="zh-CN"/>
        </w:rPr>
        <w:t>6</w:t>
      </w:r>
      <w:r>
        <w:rPr>
          <w:rFonts w:hint="eastAsia" w:ascii="宋体" w:hAnsi="宋体" w:cs="宋体"/>
          <w:sz w:val="24"/>
          <w:highlight w:val="yellow"/>
        </w:rPr>
        <w:t xml:space="preserve"> 年</w:t>
      </w:r>
      <w:r>
        <w:rPr>
          <w:rFonts w:hint="eastAsia" w:ascii="宋体" w:hAnsi="宋体" w:cs="宋体"/>
          <w:sz w:val="24"/>
          <w:highlight w:val="yellow"/>
          <w:lang w:val="en-US" w:eastAsia="zh-CN"/>
        </w:rPr>
        <w:t xml:space="preserve"> 08 </w:t>
      </w:r>
      <w:r>
        <w:rPr>
          <w:rFonts w:hint="eastAsia" w:ascii="宋体" w:hAnsi="宋体" w:cs="宋体"/>
          <w:sz w:val="24"/>
          <w:highlight w:val="yellow"/>
        </w:rPr>
        <w:t>月</w:t>
      </w:r>
      <w:r>
        <w:rPr>
          <w:rFonts w:hint="eastAsia" w:ascii="宋体" w:hAnsi="宋体" w:cs="宋体"/>
          <w:sz w:val="24"/>
          <w:highlight w:val="yellow"/>
          <w:lang w:val="en-US" w:eastAsia="zh-CN"/>
        </w:rPr>
        <w:t xml:space="preserve"> 11 </w:t>
      </w:r>
      <w:r>
        <w:rPr>
          <w:rFonts w:hint="eastAsia" w:ascii="宋体" w:hAnsi="宋体" w:cs="宋体"/>
          <w:sz w:val="24"/>
          <w:highlight w:val="yellow"/>
        </w:rPr>
        <w:t xml:space="preserve">日 </w:t>
      </w:r>
      <w:r>
        <w:rPr>
          <w:rFonts w:hint="eastAsia" w:ascii="宋体" w:hAnsi="宋体" w:cs="宋体"/>
          <w:sz w:val="24"/>
          <w:highlight w:val="yellow"/>
          <w:lang w:val="en-US" w:eastAsia="zh-CN"/>
        </w:rPr>
        <w:t>17</w:t>
      </w:r>
      <w:r>
        <w:rPr>
          <w:rFonts w:hint="eastAsia" w:ascii="宋体" w:hAnsi="宋体" w:cs="宋体"/>
          <w:sz w:val="24"/>
          <w:highlight w:val="yellow"/>
        </w:rPr>
        <w:t xml:space="preserve"> 时 </w:t>
      </w:r>
      <w:r>
        <w:rPr>
          <w:rFonts w:hint="eastAsia" w:ascii="宋体" w:hAnsi="宋体" w:cs="宋体"/>
          <w:sz w:val="24"/>
          <w:highlight w:val="yellow"/>
          <w:lang w:val="en-US" w:eastAsia="zh-CN"/>
        </w:rPr>
        <w:t xml:space="preserve">00 </w:t>
      </w:r>
      <w:r>
        <w:rPr>
          <w:rFonts w:hint="eastAsia" w:ascii="宋体" w:hAnsi="宋体" w:cs="宋体"/>
          <w:sz w:val="24"/>
          <w:highlight w:val="yellow"/>
        </w:rPr>
        <w:t>分</w:t>
      </w:r>
    </w:p>
    <w:p w14:paraId="269AD92D">
      <w:pPr>
        <w:spacing w:line="360" w:lineRule="auto"/>
        <w:ind w:left="479" w:leftChars="228"/>
        <w:rPr>
          <w:rFonts w:ascii="宋体" w:hAnsi="宋体" w:cs="宋体"/>
          <w:sz w:val="24"/>
          <w:highlight w:val="none"/>
        </w:rPr>
      </w:pPr>
      <w:r>
        <w:rPr>
          <w:rFonts w:hint="eastAsia" w:ascii="宋体" w:hAnsi="宋体" w:cs="宋体"/>
          <w:sz w:val="24"/>
          <w:highlight w:val="none"/>
        </w:rPr>
        <w:t>获取方式：</w:t>
      </w:r>
      <w:r>
        <w:rPr>
          <w:rFonts w:hint="eastAsia" w:ascii="宋体" w:hAnsi="宋体" w:cs="宋体"/>
          <w:sz w:val="24"/>
          <w:highlight w:val="none"/>
          <w:lang w:eastAsia="zh-CN"/>
        </w:rPr>
        <w:t>邮箱</w:t>
      </w:r>
      <w:r>
        <w:rPr>
          <w:rFonts w:hint="eastAsia" w:ascii="宋体" w:hAnsi="宋体" w:cs="宋体"/>
          <w:sz w:val="24"/>
          <w:highlight w:val="none"/>
        </w:rPr>
        <w:t>获取</w:t>
      </w:r>
    </w:p>
    <w:p w14:paraId="4F0164A7">
      <w:pPr>
        <w:spacing w:line="360" w:lineRule="auto"/>
        <w:rPr>
          <w:rFonts w:ascii="宋体" w:hAnsi="宋体" w:cs="宋体"/>
          <w:b/>
          <w:sz w:val="24"/>
          <w:highlight w:val="none"/>
        </w:rPr>
      </w:pPr>
      <w:r>
        <w:rPr>
          <w:rFonts w:hint="eastAsia" w:ascii="宋体" w:hAnsi="宋体" w:cs="宋体"/>
          <w:b/>
          <w:sz w:val="24"/>
          <w:highlight w:val="none"/>
        </w:rPr>
        <w:t>五、</w:t>
      </w:r>
      <w:r>
        <w:rPr>
          <w:rFonts w:hint="eastAsia" w:ascii="宋体" w:hAnsi="宋体" w:cs="宋体"/>
          <w:b/>
          <w:sz w:val="24"/>
          <w:highlight w:val="none"/>
          <w:lang w:eastAsia="zh-CN"/>
        </w:rPr>
        <w:t>投标</w:t>
      </w:r>
      <w:r>
        <w:rPr>
          <w:rFonts w:hint="eastAsia" w:ascii="宋体" w:hAnsi="宋体" w:cs="宋体"/>
          <w:b/>
          <w:sz w:val="24"/>
          <w:highlight w:val="none"/>
        </w:rPr>
        <w:t>文件的递交</w:t>
      </w:r>
    </w:p>
    <w:p w14:paraId="1267CA02">
      <w:pPr>
        <w:spacing w:line="360" w:lineRule="auto"/>
        <w:ind w:firstLine="480" w:firstLineChars="200"/>
        <w:rPr>
          <w:rFonts w:ascii="宋体" w:hAnsi="宋体" w:cs="宋体"/>
          <w:sz w:val="24"/>
          <w:highlight w:val="none"/>
        </w:rPr>
      </w:pPr>
      <w:r>
        <w:rPr>
          <w:rFonts w:hint="eastAsia" w:ascii="宋体" w:hAnsi="宋体" w:cs="宋体"/>
          <w:sz w:val="24"/>
          <w:highlight w:val="none"/>
        </w:rPr>
        <w:t>递交截止时间：</w:t>
      </w:r>
      <w:r>
        <w:rPr>
          <w:rFonts w:hint="eastAsia" w:ascii="宋体" w:hAnsi="宋体" w:cs="宋体"/>
          <w:sz w:val="24"/>
          <w:highlight w:val="none"/>
          <w:lang w:val="en-US" w:eastAsia="zh-CN"/>
        </w:rPr>
        <w:t xml:space="preserve"> 2026 </w:t>
      </w:r>
      <w:r>
        <w:rPr>
          <w:rFonts w:hint="eastAsia" w:ascii="宋体" w:hAnsi="宋体" w:cs="宋体"/>
          <w:sz w:val="24"/>
          <w:highlight w:val="none"/>
        </w:rPr>
        <w:t>年</w:t>
      </w:r>
      <w:r>
        <w:rPr>
          <w:rFonts w:hint="eastAsia" w:ascii="宋体" w:hAnsi="宋体" w:cs="宋体"/>
          <w:sz w:val="24"/>
          <w:highlight w:val="none"/>
          <w:lang w:val="en-US" w:eastAsia="zh-CN"/>
        </w:rPr>
        <w:t xml:space="preserve"> 08 </w:t>
      </w:r>
      <w:r>
        <w:rPr>
          <w:rFonts w:hint="eastAsia" w:ascii="宋体" w:hAnsi="宋体" w:cs="宋体"/>
          <w:sz w:val="24"/>
          <w:highlight w:val="none"/>
        </w:rPr>
        <w:t>月</w:t>
      </w:r>
      <w:r>
        <w:rPr>
          <w:rFonts w:hint="eastAsia" w:ascii="宋体" w:hAnsi="宋体" w:cs="宋体"/>
          <w:sz w:val="24"/>
          <w:highlight w:val="none"/>
          <w:lang w:val="en-US" w:eastAsia="zh-CN"/>
        </w:rPr>
        <w:t xml:space="preserve"> 25 </w:t>
      </w:r>
      <w:r>
        <w:rPr>
          <w:rFonts w:hint="eastAsia" w:ascii="宋体" w:hAnsi="宋体" w:cs="宋体"/>
          <w:sz w:val="24"/>
          <w:highlight w:val="none"/>
        </w:rPr>
        <w:t xml:space="preserve">日 </w:t>
      </w:r>
      <w:r>
        <w:rPr>
          <w:rFonts w:hint="eastAsia" w:ascii="宋体" w:hAnsi="宋体" w:cs="宋体"/>
          <w:sz w:val="24"/>
          <w:highlight w:val="none"/>
          <w:lang w:val="en-US" w:eastAsia="zh-CN"/>
        </w:rPr>
        <w:t xml:space="preserve">09 </w:t>
      </w:r>
      <w:r>
        <w:rPr>
          <w:rFonts w:hint="eastAsia" w:ascii="宋体" w:hAnsi="宋体" w:cs="宋体"/>
          <w:sz w:val="24"/>
          <w:highlight w:val="none"/>
        </w:rPr>
        <w:t xml:space="preserve">时 </w:t>
      </w:r>
      <w:r>
        <w:rPr>
          <w:rFonts w:hint="eastAsia" w:ascii="宋体" w:hAnsi="宋体" w:cs="宋体"/>
          <w:sz w:val="24"/>
          <w:highlight w:val="none"/>
          <w:lang w:val="en-US" w:eastAsia="zh-CN"/>
        </w:rPr>
        <w:t>30</w:t>
      </w:r>
      <w:r>
        <w:rPr>
          <w:rFonts w:hint="eastAsia" w:ascii="宋体" w:hAnsi="宋体" w:cs="宋体"/>
          <w:sz w:val="24"/>
          <w:highlight w:val="none"/>
        </w:rPr>
        <w:t xml:space="preserve"> 分</w:t>
      </w:r>
    </w:p>
    <w:p w14:paraId="2B00196D">
      <w:pPr>
        <w:spacing w:line="360" w:lineRule="auto"/>
        <w:ind w:firstLine="480" w:firstLineChars="200"/>
        <w:rPr>
          <w:rFonts w:ascii="宋体" w:hAnsi="宋体" w:cs="宋体"/>
          <w:sz w:val="24"/>
          <w:highlight w:val="none"/>
        </w:rPr>
      </w:pPr>
      <w:r>
        <w:rPr>
          <w:rFonts w:hint="eastAsia" w:ascii="宋体" w:hAnsi="宋体" w:cs="宋体"/>
          <w:sz w:val="24"/>
          <w:highlight w:val="none"/>
        </w:rPr>
        <w:t>递交方式：呼和浩特市赛罕区如意和大街雅世大厦</w:t>
      </w:r>
      <w:r>
        <w:rPr>
          <w:rFonts w:hint="eastAsia" w:ascii="宋体" w:hAnsi="宋体" w:cs="宋体"/>
          <w:sz w:val="24"/>
          <w:highlight w:val="none"/>
          <w:lang w:val="en-US" w:eastAsia="zh-CN"/>
        </w:rPr>
        <w:t xml:space="preserve"> </w:t>
      </w:r>
      <w:r>
        <w:rPr>
          <w:rFonts w:hint="eastAsia" w:ascii="宋体" w:hAnsi="宋体" w:cs="宋体"/>
          <w:sz w:val="24"/>
          <w:highlight w:val="none"/>
        </w:rPr>
        <w:t>13 楼开标室纸质文件递交</w:t>
      </w:r>
    </w:p>
    <w:p w14:paraId="77DB67C2">
      <w:pPr>
        <w:spacing w:line="360" w:lineRule="auto"/>
        <w:rPr>
          <w:rFonts w:ascii="宋体" w:hAnsi="宋体" w:cs="宋体"/>
          <w:b/>
          <w:sz w:val="24"/>
          <w:highlight w:val="none"/>
        </w:rPr>
      </w:pPr>
      <w:r>
        <w:rPr>
          <w:rFonts w:hint="eastAsia" w:ascii="宋体" w:hAnsi="宋体" w:cs="宋体"/>
          <w:b/>
          <w:sz w:val="24"/>
          <w:highlight w:val="none"/>
        </w:rPr>
        <w:t>六、开标时间及地点</w:t>
      </w:r>
      <w:bookmarkStart w:id="7" w:name="OLE_LINK23"/>
    </w:p>
    <w:p w14:paraId="11784A9C">
      <w:pPr>
        <w:spacing w:line="360" w:lineRule="auto"/>
        <w:ind w:firstLine="480" w:firstLineChars="200"/>
        <w:rPr>
          <w:rFonts w:ascii="宋体" w:hAnsi="宋体" w:cs="宋体"/>
          <w:sz w:val="24"/>
          <w:highlight w:val="none"/>
        </w:rPr>
      </w:pPr>
      <w:r>
        <w:rPr>
          <w:rFonts w:hint="eastAsia" w:ascii="宋体" w:hAnsi="宋体" w:cs="宋体"/>
          <w:sz w:val="24"/>
          <w:highlight w:val="none"/>
        </w:rPr>
        <w:t>开标时间：</w:t>
      </w:r>
      <w:r>
        <w:rPr>
          <w:rFonts w:hint="eastAsia" w:ascii="宋体" w:hAnsi="宋体" w:cs="宋体"/>
          <w:sz w:val="24"/>
          <w:highlight w:val="none"/>
          <w:lang w:val="en-US" w:eastAsia="zh-CN"/>
        </w:rPr>
        <w:t xml:space="preserve"> </w:t>
      </w:r>
      <w:r>
        <w:rPr>
          <w:rFonts w:hint="eastAsia" w:ascii="宋体" w:hAnsi="宋体" w:cs="宋体"/>
          <w:sz w:val="24"/>
          <w:highlight w:val="none"/>
        </w:rPr>
        <w:t>202</w:t>
      </w:r>
      <w:r>
        <w:rPr>
          <w:rFonts w:hint="eastAsia" w:ascii="宋体" w:hAnsi="宋体" w:cs="宋体"/>
          <w:sz w:val="24"/>
          <w:highlight w:val="none"/>
          <w:lang w:val="en-US" w:eastAsia="zh-CN"/>
        </w:rPr>
        <w:t xml:space="preserve">6 </w:t>
      </w:r>
      <w:r>
        <w:rPr>
          <w:rFonts w:hint="eastAsia" w:ascii="宋体" w:hAnsi="宋体" w:cs="宋体"/>
          <w:sz w:val="24"/>
          <w:highlight w:val="none"/>
        </w:rPr>
        <w:t>年</w:t>
      </w:r>
      <w:bookmarkEnd w:id="7"/>
      <w:r>
        <w:rPr>
          <w:rFonts w:hint="eastAsia" w:ascii="宋体" w:hAnsi="宋体" w:cs="宋体"/>
          <w:sz w:val="24"/>
          <w:highlight w:val="none"/>
          <w:lang w:val="en-US" w:eastAsia="zh-CN"/>
        </w:rPr>
        <w:t xml:space="preserve"> 08 </w:t>
      </w:r>
      <w:r>
        <w:rPr>
          <w:rFonts w:hint="eastAsia" w:ascii="宋体" w:hAnsi="宋体" w:cs="宋体"/>
          <w:sz w:val="24"/>
          <w:highlight w:val="none"/>
        </w:rPr>
        <w:t>月</w:t>
      </w:r>
      <w:r>
        <w:rPr>
          <w:rFonts w:hint="eastAsia" w:ascii="宋体" w:hAnsi="宋体" w:cs="宋体"/>
          <w:sz w:val="24"/>
          <w:highlight w:val="none"/>
          <w:lang w:val="en-US" w:eastAsia="zh-CN"/>
        </w:rPr>
        <w:t xml:space="preserve"> 25 </w:t>
      </w:r>
      <w:r>
        <w:rPr>
          <w:rFonts w:hint="eastAsia" w:ascii="宋体" w:hAnsi="宋体" w:cs="宋体"/>
          <w:sz w:val="24"/>
          <w:highlight w:val="none"/>
        </w:rPr>
        <w:t xml:space="preserve">日 </w:t>
      </w:r>
      <w:r>
        <w:rPr>
          <w:rFonts w:hint="eastAsia" w:ascii="宋体" w:hAnsi="宋体" w:cs="宋体"/>
          <w:sz w:val="24"/>
          <w:highlight w:val="none"/>
          <w:lang w:val="en-US" w:eastAsia="zh-CN"/>
        </w:rPr>
        <w:t>09</w:t>
      </w:r>
      <w:r>
        <w:rPr>
          <w:rFonts w:hint="eastAsia" w:ascii="宋体" w:hAnsi="宋体" w:cs="宋体"/>
          <w:sz w:val="24"/>
          <w:highlight w:val="none"/>
        </w:rPr>
        <w:t xml:space="preserve"> 时 </w:t>
      </w:r>
      <w:r>
        <w:rPr>
          <w:rFonts w:hint="eastAsia" w:ascii="宋体" w:hAnsi="宋体" w:cs="宋体"/>
          <w:sz w:val="24"/>
          <w:highlight w:val="none"/>
          <w:lang w:val="en-US" w:eastAsia="zh-CN"/>
        </w:rPr>
        <w:t>30</w:t>
      </w:r>
      <w:r>
        <w:rPr>
          <w:rFonts w:hint="eastAsia" w:ascii="宋体" w:hAnsi="宋体" w:cs="宋体"/>
          <w:sz w:val="24"/>
          <w:highlight w:val="none"/>
        </w:rPr>
        <w:t xml:space="preserve"> 分</w:t>
      </w:r>
    </w:p>
    <w:p w14:paraId="2B5B9B2A">
      <w:pPr>
        <w:spacing w:line="360" w:lineRule="auto"/>
        <w:ind w:firstLine="480" w:firstLineChars="200"/>
        <w:rPr>
          <w:rFonts w:ascii="宋体" w:hAnsi="宋体" w:cs="宋体"/>
          <w:sz w:val="24"/>
        </w:rPr>
      </w:pPr>
      <w:r>
        <w:rPr>
          <w:rFonts w:hint="eastAsia" w:ascii="宋体" w:hAnsi="宋体" w:cs="宋体"/>
          <w:sz w:val="24"/>
        </w:rPr>
        <w:t>开标地点：</w:t>
      </w:r>
      <w:bookmarkStart w:id="8" w:name="OLE_LINK46"/>
      <w:bookmarkStart w:id="9" w:name="OLE_LINK45"/>
      <w:r>
        <w:rPr>
          <w:rFonts w:hint="eastAsia" w:ascii="宋体" w:hAnsi="宋体" w:cs="宋体"/>
          <w:sz w:val="24"/>
        </w:rPr>
        <w:t>呼和浩特市赛罕区如意和大街雅世大厦</w:t>
      </w:r>
      <w:r>
        <w:rPr>
          <w:rFonts w:hint="eastAsia" w:ascii="宋体" w:hAnsi="宋体" w:cs="宋体"/>
          <w:sz w:val="24"/>
          <w:lang w:val="en-US" w:eastAsia="zh-CN"/>
        </w:rPr>
        <w:t xml:space="preserve"> </w:t>
      </w:r>
      <w:r>
        <w:rPr>
          <w:rFonts w:hint="eastAsia" w:ascii="宋体" w:hAnsi="宋体" w:cs="宋体"/>
          <w:sz w:val="24"/>
        </w:rPr>
        <w:t>13 楼开标室</w:t>
      </w:r>
      <w:bookmarkEnd w:id="8"/>
      <w:bookmarkEnd w:id="9"/>
    </w:p>
    <w:p w14:paraId="1985E958">
      <w:pPr>
        <w:spacing w:line="360" w:lineRule="auto"/>
        <w:rPr>
          <w:rFonts w:ascii="宋体" w:hAnsi="宋体" w:cs="宋体"/>
          <w:b/>
          <w:sz w:val="24"/>
        </w:rPr>
      </w:pPr>
      <w:r>
        <w:rPr>
          <w:rFonts w:hint="eastAsia" w:ascii="宋体" w:hAnsi="宋体" w:cs="宋体"/>
          <w:b/>
          <w:sz w:val="24"/>
        </w:rPr>
        <w:t>七、其他</w:t>
      </w:r>
    </w:p>
    <w:p w14:paraId="66A180B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bookmarkStart w:id="10" w:name="OLE_LINK48"/>
      <w:r>
        <w:rPr>
          <w:rFonts w:hint="eastAsia" w:ascii="宋体" w:hAnsi="宋体" w:eastAsia="宋体" w:cs="宋体"/>
          <w:sz w:val="24"/>
          <w:szCs w:val="24"/>
        </w:rPr>
        <w:t>投标报名需提供资料：</w:t>
      </w:r>
    </w:p>
    <w:p w14:paraId="01D6A471">
      <w:pPr>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1、投标人须为在中华人民共和国境内依法注册的独立法人，具备独立承担民事责任的能力，具备有效的营业执照；</w:t>
      </w:r>
    </w:p>
    <w:p w14:paraId="1C673FF6">
      <w:pPr>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2、报名人出具经法定代表人签字、公司盖章的“授权委托书”原件（“授权委托书”附法人及被授权人的身份证复印件）；</w:t>
      </w:r>
    </w:p>
    <w:p w14:paraId="3F795BF8">
      <w:pPr>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3、营业执照副本原件、税务登记证副本原件、组织机构代码证副本原件（三证合一投标人仅需提供营业执照副本原件）；</w:t>
      </w:r>
    </w:p>
    <w:p w14:paraId="2DBA31FA">
      <w:pPr>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4、开户许可证原件或基本存款账户信息；</w:t>
      </w:r>
    </w:p>
    <w:p w14:paraId="26DD258E">
      <w:pPr>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5、具有良好的商业信誉和健全的财务会计制度（投标人须提供2024年度或2025年度会计师事务所出具的财务审计报告；若投标人为2025年度新设企业，可提交开户银行出具的资信证明，或提供具有良好商业信誉和健全财务会计制度的书面声明）；</w:t>
      </w:r>
    </w:p>
    <w:p w14:paraId="22C6118F">
      <w:pPr>
        <w:spacing w:line="360" w:lineRule="auto"/>
        <w:ind w:firstLine="480" w:firstLineChars="200"/>
        <w:rPr>
          <w:rFonts w:hint="eastAsia" w:ascii="宋体" w:hAnsi="宋体" w:cs="宋体"/>
          <w:sz w:val="24"/>
        </w:rPr>
      </w:pPr>
      <w:r>
        <w:rPr>
          <w:rFonts w:hint="eastAsia" w:ascii="宋体" w:hAnsi="宋体" w:cs="宋体"/>
          <w:sz w:val="24"/>
          <w:lang w:val="en-US" w:eastAsia="zh-CN"/>
        </w:rPr>
        <w:t>6、具有履行合同所必需的设备和专业技术能力（提供书面声明）；</w:t>
      </w:r>
    </w:p>
    <w:p w14:paraId="7305AFA0">
      <w:pPr>
        <w:spacing w:line="360" w:lineRule="auto"/>
        <w:ind w:firstLine="480" w:firstLineChars="200"/>
        <w:rPr>
          <w:rFonts w:hint="eastAsia" w:ascii="宋体" w:hAnsi="宋体" w:cs="宋体"/>
          <w:sz w:val="24"/>
        </w:rPr>
      </w:pPr>
      <w:r>
        <w:rPr>
          <w:rFonts w:hint="eastAsia" w:ascii="宋体" w:hAnsi="宋体" w:cs="宋体"/>
          <w:sz w:val="24"/>
          <w:lang w:val="en-US" w:eastAsia="zh-CN"/>
        </w:rPr>
        <w:t>7、具有依法缴纳税收和社会保障资金的良好记录（投标人须提供近一年内任意一个月的纳税完税证明及单位社会保险缴费明细作为佐证材料；依法免税、无需缴纳社会保险的投标人，须提供税务、社保主管部门出具的有效免税、免缴证明文件；投标人也可自行出具具备依法缴纳税收和社会保障资金良好记录的书面声明）；</w:t>
      </w:r>
    </w:p>
    <w:p w14:paraId="1521138E">
      <w:pPr>
        <w:spacing w:line="360" w:lineRule="auto"/>
        <w:ind w:firstLine="480" w:firstLineChars="200"/>
        <w:rPr>
          <w:rFonts w:hint="eastAsia" w:ascii="宋体" w:hAnsi="宋体" w:cs="宋体"/>
          <w:sz w:val="24"/>
        </w:rPr>
      </w:pPr>
      <w:r>
        <w:rPr>
          <w:rFonts w:hint="eastAsia" w:ascii="宋体" w:hAnsi="宋体" w:cs="宋体"/>
          <w:sz w:val="24"/>
          <w:lang w:val="en-US" w:eastAsia="zh-CN"/>
        </w:rPr>
        <w:t>8、投标人参加本次采购活动前3年内，在经营活动中没有重大违法记录（提供书面声明）；</w:t>
      </w:r>
    </w:p>
    <w:p w14:paraId="760077CB">
      <w:pPr>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9、信用要求：投标截止时间前，投标人未被列入“信用中国”网站失信被执行人名单、重大税收违法失信主体、政府采购严重违法失信行为记录名单；未被列入“中国政府采购网”政府采购严重违法失信行为信息记录名单（提供相关信用截图）；</w:t>
      </w:r>
    </w:p>
    <w:p w14:paraId="5FAE5964">
      <w:pPr>
        <w:spacing w:line="360" w:lineRule="auto"/>
        <w:ind w:firstLine="480" w:firstLineChars="200"/>
        <w:rPr>
          <w:rFonts w:ascii="宋体" w:hAnsi="宋体" w:cs="宋体"/>
          <w:sz w:val="24"/>
        </w:rPr>
      </w:pPr>
      <w:r>
        <w:rPr>
          <w:rFonts w:hint="eastAsia" w:ascii="宋体" w:hAnsi="宋体" w:cs="宋体"/>
          <w:sz w:val="24"/>
        </w:rPr>
        <w:t>本项目不允许联合体投标。</w:t>
      </w:r>
    </w:p>
    <w:p w14:paraId="76D9494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注：</w:t>
      </w:r>
    </w:p>
    <w:p w14:paraId="1B066DB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1、企业信息如有变更须具有发证机构出具的有效企业信息变更说明。报名时法人或被授权人需在上述规定的时间内将以上资料逐页加盖公章版原件扫描件以一个完整PDF文件的形式发送至邮箱</w:t>
      </w:r>
      <w:r>
        <w:rPr>
          <w:rFonts w:hint="eastAsia" w:ascii="宋体" w:hAnsi="宋体" w:eastAsia="宋体" w:cs="宋体"/>
          <w:sz w:val="24"/>
          <w:szCs w:val="24"/>
          <w:lang w:val="en-US" w:eastAsia="zh-CN"/>
        </w:rPr>
        <w:t>3346233217</w:t>
      </w:r>
      <w:r>
        <w:rPr>
          <w:rFonts w:hint="eastAsia" w:ascii="宋体" w:hAnsi="宋体" w:eastAsia="宋体" w:cs="宋体"/>
          <w:sz w:val="24"/>
          <w:szCs w:val="24"/>
        </w:rPr>
        <w:t>@qq.com，邮件命名格式为：公司名称+项目名称+联系人+联系电话，未按照规定发送资料或资料提供不全者不予发放招标文件；</w:t>
      </w:r>
      <w:bookmarkEnd w:id="10"/>
    </w:p>
    <w:p w14:paraId="5637F76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szCs w:val="24"/>
          <w:highlight w:val="yellow"/>
          <w:lang w:val="en-US" w:eastAsia="zh-CN"/>
        </w:rPr>
      </w:pPr>
      <w:r>
        <w:rPr>
          <w:rFonts w:hint="eastAsia" w:ascii="宋体" w:hAnsi="宋体" w:cs="宋体"/>
          <w:sz w:val="24"/>
          <w:szCs w:val="24"/>
          <w:highlight w:val="yellow"/>
          <w:lang w:val="en-US" w:eastAsia="zh-CN"/>
        </w:rPr>
        <w:t>2、</w:t>
      </w:r>
      <w:bookmarkStart w:id="11" w:name="OLE_LINK85"/>
      <w:bookmarkStart w:id="12" w:name="OLE_LINK84"/>
      <w:r>
        <w:rPr>
          <w:rFonts w:hint="eastAsia" w:ascii="宋体" w:hAnsi="宋体" w:cs="宋体"/>
          <w:sz w:val="24"/>
          <w:szCs w:val="24"/>
          <w:highlight w:val="yellow"/>
          <w:lang w:val="en-US" w:eastAsia="zh-CN"/>
        </w:rPr>
        <w:t>潜在投标人须在招标代理机构完成报名登记后方可获取有效招标文件。中国政府采购网、中国招标投标公共服务平台、内蒙古招投标公共服务平台、呼和浩特海关门户网站公示的招标文件及附件仅作信息公开查阅使用，不代表投标人已完成报名登记，亦不视为招标代理机构发放有效招标文件；投标人通过上述平台或其他任何渠道自行获取的招标文件均无效，不得作为本次投标依据。未在招标代理机构办理报名登记的潜在投标人，不具备本项目投标资格，由此产生的一切后果由投标人自行承担。</w:t>
      </w:r>
    </w:p>
    <w:p w14:paraId="2C35F03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szCs w:val="24"/>
          <w:highlight w:val="none"/>
          <w:lang w:eastAsia="zh-CN"/>
        </w:rPr>
      </w:pPr>
      <w:r>
        <w:rPr>
          <w:rFonts w:hint="eastAsia" w:ascii="宋体" w:hAnsi="宋体" w:eastAsia="宋体" w:cs="宋体"/>
          <w:sz w:val="24"/>
          <w:szCs w:val="24"/>
          <w:highlight w:val="none"/>
        </w:rPr>
        <w:t>公告发布</w:t>
      </w:r>
      <w:r>
        <w:rPr>
          <w:rFonts w:hint="eastAsia" w:ascii="宋体" w:hAnsi="宋体" w:cs="宋体"/>
          <w:sz w:val="24"/>
          <w:szCs w:val="24"/>
          <w:highlight w:val="none"/>
          <w:lang w:eastAsia="zh-CN"/>
        </w:rPr>
        <w:t>法定</w:t>
      </w:r>
      <w:r>
        <w:rPr>
          <w:rFonts w:hint="eastAsia" w:ascii="宋体" w:hAnsi="宋体" w:eastAsia="宋体" w:cs="宋体"/>
          <w:sz w:val="24"/>
          <w:szCs w:val="24"/>
          <w:highlight w:val="none"/>
        </w:rPr>
        <w:t>媒介：中国政府采购网</w:t>
      </w:r>
      <w:r>
        <w:rPr>
          <w:rFonts w:hint="eastAsia" w:ascii="宋体" w:hAnsi="宋体" w:cs="宋体"/>
          <w:sz w:val="24"/>
          <w:szCs w:val="24"/>
          <w:highlight w:val="none"/>
          <w:lang w:eastAsia="zh-CN"/>
        </w:rPr>
        <w:t>（http://www.ccgp.gov.cn/）</w:t>
      </w:r>
    </w:p>
    <w:p w14:paraId="32B3F33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cs="宋体"/>
          <w:sz w:val="24"/>
          <w:szCs w:val="24"/>
          <w:highlight w:val="none"/>
          <w:lang w:eastAsia="zh-CN"/>
        </w:rPr>
        <w:t>公告发布</w:t>
      </w:r>
      <w:r>
        <w:rPr>
          <w:rFonts w:ascii="Segoe UI Symbol" w:hAnsi="Segoe UI Symbol" w:eastAsia="Segoe UI Symbol" w:cs="Segoe UI Symbol"/>
          <w:i w:val="0"/>
          <w:iCs w:val="0"/>
          <w:caps w:val="0"/>
          <w:color w:val="1F2329"/>
          <w:spacing w:val="0"/>
          <w:sz w:val="24"/>
          <w:szCs w:val="24"/>
          <w:highlight w:val="none"/>
          <w:shd w:val="clear" w:fill="FFFFFF"/>
        </w:rPr>
        <w:t>补充平台</w:t>
      </w:r>
      <w:r>
        <w:rPr>
          <w:rFonts w:hint="eastAsia" w:ascii="Segoe UI Symbol" w:hAnsi="Segoe UI Symbol" w:eastAsia="宋体" w:cs="Segoe UI Symbol"/>
          <w:i w:val="0"/>
          <w:iCs w:val="0"/>
          <w:caps w:val="0"/>
          <w:color w:val="1F2329"/>
          <w:spacing w:val="0"/>
          <w:sz w:val="24"/>
          <w:szCs w:val="24"/>
          <w:highlight w:val="none"/>
          <w:shd w:val="clear" w:fill="FFFFFF"/>
          <w:lang w:eastAsia="zh-CN"/>
        </w:rPr>
        <w:t>：</w:t>
      </w:r>
      <w:r>
        <w:rPr>
          <w:rFonts w:hint="eastAsia" w:ascii="宋体" w:hAnsi="宋体" w:eastAsia="宋体" w:cs="宋体"/>
          <w:sz w:val="24"/>
          <w:szCs w:val="24"/>
          <w:highlight w:val="none"/>
        </w:rPr>
        <w:t>中国招标投标公共服务平台(http://www.cebpubservice.com/)，内蒙古招投标公共服务平台(https://www.nmgztb.com.cn/)</w:t>
      </w:r>
      <w:bookmarkEnd w:id="11"/>
      <w:bookmarkEnd w:id="12"/>
      <w:r>
        <w:rPr>
          <w:rFonts w:hint="eastAsia" w:ascii="宋体" w:hAnsi="宋体" w:cs="宋体"/>
          <w:sz w:val="24"/>
          <w:szCs w:val="24"/>
          <w:highlight w:val="none"/>
          <w:lang w:eastAsia="zh-CN"/>
        </w:rPr>
        <w:t>；</w:t>
      </w:r>
      <w:r>
        <w:rPr>
          <w:rFonts w:hint="eastAsia" w:ascii="宋体" w:hAnsi="宋体" w:eastAsia="宋体" w:cs="宋体"/>
          <w:sz w:val="24"/>
          <w:szCs w:val="24"/>
          <w:highlight w:val="none"/>
        </w:rPr>
        <w:t>呼和浩特海关官网</w:t>
      </w:r>
      <w:r>
        <w:rPr>
          <w:rFonts w:hint="eastAsia" w:ascii="宋体" w:hAnsi="宋体" w:cs="宋体"/>
          <w:sz w:val="24"/>
          <w:szCs w:val="24"/>
          <w:highlight w:val="none"/>
          <w:lang w:eastAsia="zh-CN"/>
        </w:rPr>
        <w:t>（http://huhehaote.customs.gov.cn/）</w:t>
      </w:r>
    </w:p>
    <w:p w14:paraId="38BB7BBC">
      <w:pPr>
        <w:spacing w:line="360" w:lineRule="auto"/>
        <w:rPr>
          <w:rFonts w:ascii="宋体" w:hAnsi="宋体" w:cs="宋体"/>
          <w:b/>
          <w:sz w:val="24"/>
        </w:rPr>
      </w:pPr>
      <w:r>
        <w:rPr>
          <w:rFonts w:hint="eastAsia" w:ascii="宋体" w:hAnsi="宋体" w:cs="宋体"/>
          <w:b/>
          <w:sz w:val="24"/>
        </w:rPr>
        <w:t>八、联系方式</w:t>
      </w:r>
    </w:p>
    <w:p w14:paraId="6E70D4CF">
      <w:pPr>
        <w:spacing w:line="360" w:lineRule="auto"/>
        <w:ind w:firstLine="480" w:firstLineChars="200"/>
        <w:rPr>
          <w:rFonts w:hint="eastAsia" w:ascii="宋体" w:hAnsi="宋体" w:cs="宋体"/>
          <w:sz w:val="24"/>
          <w:lang w:val="en-US" w:eastAsia="zh-CN"/>
        </w:rPr>
      </w:pPr>
      <w:bookmarkStart w:id="13" w:name="OLE_LINK71"/>
      <w:r>
        <w:rPr>
          <w:rFonts w:hint="eastAsia" w:ascii="宋体" w:hAnsi="宋体" w:cs="宋体"/>
          <w:sz w:val="24"/>
        </w:rPr>
        <w:t>招 标 人：</w:t>
      </w:r>
      <w:r>
        <w:rPr>
          <w:rFonts w:hint="eastAsia" w:ascii="宋体" w:hAnsi="宋体" w:cs="宋体"/>
          <w:sz w:val="24"/>
          <w:lang w:eastAsia="zh-CN"/>
        </w:rPr>
        <w:t>中华人民共和国呼和浩特海关</w:t>
      </w:r>
    </w:p>
    <w:p w14:paraId="228DF171">
      <w:pPr>
        <w:spacing w:line="360" w:lineRule="auto"/>
        <w:ind w:firstLine="480" w:firstLineChars="200"/>
        <w:rPr>
          <w:rFonts w:ascii="宋体" w:hAnsi="宋体" w:cs="宋体"/>
          <w:sz w:val="24"/>
          <w:highlight w:val="none"/>
        </w:rPr>
      </w:pPr>
      <w:r>
        <w:rPr>
          <w:rFonts w:hint="eastAsia" w:ascii="宋体" w:hAnsi="宋体" w:cs="宋体"/>
          <w:sz w:val="24"/>
          <w:highlight w:val="none"/>
        </w:rPr>
        <w:t>地    址：内蒙古自治区呼和浩特市赛罕区如意开发区如意和大街37号</w:t>
      </w:r>
    </w:p>
    <w:p w14:paraId="2F7D856A">
      <w:pPr>
        <w:spacing w:line="360" w:lineRule="auto"/>
        <w:ind w:firstLine="480" w:firstLineChars="200"/>
        <w:rPr>
          <w:rFonts w:hint="eastAsia" w:ascii="宋体" w:hAnsi="宋体" w:cs="宋体"/>
          <w:color w:val="000000"/>
          <w:spacing w:val="-11"/>
          <w:sz w:val="24"/>
          <w:highlight w:val="none"/>
          <w:lang w:val="en-US" w:eastAsia="zh-CN"/>
        </w:rPr>
      </w:pPr>
      <w:r>
        <w:rPr>
          <w:rFonts w:hint="eastAsia" w:ascii="宋体" w:hAnsi="宋体" w:cs="宋体"/>
          <w:sz w:val="24"/>
          <w:highlight w:val="none"/>
        </w:rPr>
        <w:t xml:space="preserve">联 </w:t>
      </w:r>
      <w:r>
        <w:rPr>
          <w:rFonts w:hint="eastAsia" w:ascii="宋体" w:hAnsi="宋体" w:cs="宋体"/>
          <w:color w:val="000000"/>
          <w:spacing w:val="-11"/>
          <w:sz w:val="24"/>
          <w:highlight w:val="none"/>
        </w:rPr>
        <w:t>系  人：</w:t>
      </w:r>
      <w:r>
        <w:rPr>
          <w:rFonts w:hint="eastAsia" w:ascii="宋体" w:hAnsi="宋体" w:cs="宋体"/>
          <w:color w:val="000000"/>
          <w:spacing w:val="-11"/>
          <w:sz w:val="24"/>
          <w:highlight w:val="none"/>
          <w:lang w:val="en-US" w:eastAsia="zh-CN"/>
        </w:rPr>
        <w:t>李女士</w:t>
      </w:r>
    </w:p>
    <w:p w14:paraId="23E37DB6">
      <w:pPr>
        <w:spacing w:line="360" w:lineRule="auto"/>
        <w:ind w:firstLine="436" w:firstLineChars="200"/>
        <w:rPr>
          <w:rFonts w:hint="eastAsia" w:ascii="宋体" w:hAnsi="宋体" w:eastAsia="宋体" w:cs="宋体"/>
          <w:color w:val="000000"/>
          <w:spacing w:val="-11"/>
          <w:sz w:val="24"/>
          <w:highlight w:val="none"/>
          <w:lang w:eastAsia="zh-CN"/>
        </w:rPr>
      </w:pPr>
      <w:r>
        <w:rPr>
          <w:rFonts w:hint="eastAsia" w:ascii="宋体" w:hAnsi="宋体" w:cs="宋体"/>
          <w:color w:val="000000"/>
          <w:spacing w:val="-11"/>
          <w:sz w:val="24"/>
          <w:highlight w:val="none"/>
        </w:rPr>
        <w:t>电      话：0471-6982817</w:t>
      </w:r>
      <w:r>
        <w:rPr>
          <w:rFonts w:hint="eastAsia" w:ascii="宋体" w:hAnsi="宋体" w:cs="宋体"/>
          <w:color w:val="000000"/>
          <w:spacing w:val="-11"/>
          <w:sz w:val="24"/>
          <w:highlight w:val="none"/>
          <w:lang w:eastAsia="zh-CN"/>
        </w:rPr>
        <w:t>（工作专用）</w:t>
      </w:r>
    </w:p>
    <w:p w14:paraId="72900717">
      <w:pPr>
        <w:spacing w:line="360" w:lineRule="auto"/>
        <w:ind w:firstLine="436" w:firstLineChars="200"/>
        <w:rPr>
          <w:rFonts w:ascii="宋体" w:hAnsi="宋体" w:cs="宋体"/>
          <w:color w:val="000000"/>
          <w:spacing w:val="-11"/>
          <w:sz w:val="24"/>
          <w:highlight w:val="none"/>
        </w:rPr>
      </w:pPr>
      <w:r>
        <w:rPr>
          <w:rFonts w:hint="eastAsia" w:ascii="宋体" w:hAnsi="宋体" w:cs="宋体"/>
          <w:color w:val="000000"/>
          <w:spacing w:val="-11"/>
          <w:sz w:val="24"/>
          <w:highlight w:val="none"/>
        </w:rPr>
        <w:t>电子邮件：/</w:t>
      </w:r>
    </w:p>
    <w:p w14:paraId="75F9337A">
      <w:pPr>
        <w:spacing w:line="360" w:lineRule="auto"/>
        <w:ind w:firstLine="436" w:firstLineChars="200"/>
        <w:rPr>
          <w:rFonts w:ascii="宋体" w:hAnsi="宋体" w:cs="宋体"/>
          <w:color w:val="000000"/>
          <w:spacing w:val="-11"/>
          <w:sz w:val="24"/>
          <w:highlight w:val="none"/>
        </w:rPr>
      </w:pPr>
      <w:r>
        <w:rPr>
          <w:rFonts w:hint="eastAsia" w:ascii="宋体" w:hAnsi="宋体" w:cs="宋体"/>
          <w:color w:val="000000"/>
          <w:spacing w:val="-11"/>
          <w:sz w:val="24"/>
          <w:highlight w:val="none"/>
        </w:rPr>
        <w:t>招标代理机构：内蒙古利贞工程项目管理有限公司</w:t>
      </w:r>
    </w:p>
    <w:bookmarkEnd w:id="2"/>
    <w:bookmarkEnd w:id="3"/>
    <w:p w14:paraId="57D81621">
      <w:pPr>
        <w:spacing w:line="360" w:lineRule="auto"/>
        <w:ind w:firstLine="436" w:firstLineChars="200"/>
        <w:rPr>
          <w:rFonts w:ascii="宋体" w:hAnsi="宋体" w:cs="宋体"/>
          <w:color w:val="000000"/>
          <w:spacing w:val="-11"/>
          <w:sz w:val="24"/>
          <w:highlight w:val="none"/>
        </w:rPr>
      </w:pPr>
      <w:r>
        <w:rPr>
          <w:rFonts w:hint="eastAsia" w:ascii="宋体" w:hAnsi="宋体" w:cs="宋体"/>
          <w:color w:val="000000"/>
          <w:spacing w:val="-11"/>
          <w:sz w:val="24"/>
          <w:highlight w:val="none"/>
        </w:rPr>
        <w:t>地    址：</w:t>
      </w:r>
      <w:bookmarkStart w:id="14" w:name="OLE_LINK44"/>
      <w:r>
        <w:rPr>
          <w:rFonts w:hint="eastAsia" w:ascii="宋体" w:hAnsi="宋体" w:cs="宋体"/>
          <w:color w:val="000000"/>
          <w:spacing w:val="-11"/>
          <w:sz w:val="24"/>
          <w:highlight w:val="none"/>
        </w:rPr>
        <w:t>呼和浩特市赛罕区如意和大街雅世大厦13楼</w:t>
      </w:r>
      <w:bookmarkEnd w:id="14"/>
    </w:p>
    <w:p w14:paraId="723BA306">
      <w:pPr>
        <w:spacing w:line="360" w:lineRule="auto"/>
        <w:ind w:firstLine="436" w:firstLineChars="200"/>
        <w:rPr>
          <w:rFonts w:hint="eastAsia" w:ascii="宋体" w:hAnsi="宋体" w:eastAsia="宋体" w:cs="宋体"/>
          <w:color w:val="000000"/>
          <w:spacing w:val="-11"/>
          <w:sz w:val="24"/>
          <w:highlight w:val="none"/>
          <w:lang w:eastAsia="zh-CN"/>
        </w:rPr>
      </w:pPr>
      <w:r>
        <w:rPr>
          <w:rFonts w:hint="eastAsia" w:ascii="宋体" w:hAnsi="宋体" w:cs="宋体"/>
          <w:color w:val="000000"/>
          <w:spacing w:val="-11"/>
          <w:sz w:val="24"/>
          <w:highlight w:val="none"/>
        </w:rPr>
        <w:t xml:space="preserve">联 系 人: </w:t>
      </w:r>
      <w:r>
        <w:rPr>
          <w:rFonts w:hint="eastAsia" w:ascii="宋体" w:hAnsi="宋体" w:cs="宋体"/>
          <w:color w:val="000000"/>
          <w:spacing w:val="-11"/>
          <w:sz w:val="24"/>
          <w:highlight w:val="none"/>
          <w:lang w:eastAsia="zh-CN"/>
        </w:rPr>
        <w:t>云佳欣、刘佳慧</w:t>
      </w:r>
    </w:p>
    <w:p w14:paraId="7973A515">
      <w:pPr>
        <w:spacing w:line="360" w:lineRule="auto"/>
        <w:ind w:firstLine="480" w:firstLineChars="200"/>
        <w:rPr>
          <w:rFonts w:hint="default" w:ascii="宋体" w:hAnsi="宋体" w:eastAsia="宋体" w:cs="宋体"/>
          <w:sz w:val="24"/>
          <w:highlight w:val="none"/>
          <w:lang w:val="en-US" w:eastAsia="zh-CN"/>
        </w:rPr>
      </w:pPr>
      <w:r>
        <w:rPr>
          <w:rFonts w:hint="eastAsia" w:ascii="宋体" w:hAnsi="宋体" w:cs="宋体"/>
          <w:sz w:val="24"/>
          <w:highlight w:val="none"/>
        </w:rPr>
        <w:t>电    话：1</w:t>
      </w:r>
      <w:r>
        <w:rPr>
          <w:rFonts w:hint="eastAsia" w:ascii="宋体" w:hAnsi="宋体" w:cs="宋体"/>
          <w:sz w:val="24"/>
          <w:highlight w:val="none"/>
          <w:lang w:val="en-US" w:eastAsia="zh-CN"/>
        </w:rPr>
        <w:t>3384896209（工作专用）</w:t>
      </w:r>
    </w:p>
    <w:p w14:paraId="3DB58986">
      <w:pPr>
        <w:spacing w:line="360" w:lineRule="auto"/>
        <w:ind w:firstLine="480" w:firstLineChars="200"/>
        <w:rPr>
          <w:rFonts w:ascii="宋体" w:hAnsi="宋体" w:cs="宋体"/>
          <w:sz w:val="24"/>
          <w:highlight w:val="none"/>
        </w:rPr>
      </w:pPr>
      <w:r>
        <w:rPr>
          <w:rFonts w:hint="eastAsia" w:ascii="宋体" w:hAnsi="宋体" w:cs="宋体"/>
          <w:kern w:val="0"/>
          <w:sz w:val="24"/>
          <w:highlight w:val="none"/>
        </w:rPr>
        <w:t>电子邮件：</w:t>
      </w:r>
      <w:r>
        <w:rPr>
          <w:rFonts w:hint="eastAsia" w:ascii="宋体" w:hAnsi="宋体" w:cs="宋体"/>
          <w:kern w:val="0"/>
          <w:sz w:val="24"/>
          <w:highlight w:val="none"/>
          <w:lang w:val="en-US" w:eastAsia="zh-CN"/>
        </w:rPr>
        <w:t>3346233217</w:t>
      </w:r>
      <w:r>
        <w:rPr>
          <w:rFonts w:hint="eastAsia" w:ascii="宋体" w:hAnsi="宋体" w:cs="宋体"/>
          <w:kern w:val="0"/>
          <w:sz w:val="24"/>
          <w:highlight w:val="none"/>
        </w:rPr>
        <w:t>@qq.com</w:t>
      </w:r>
      <w:bookmarkEnd w:id="4"/>
      <w:bookmarkEnd w:id="13"/>
    </w:p>
    <w:p w14:paraId="04B47E9E">
      <w:pPr>
        <w:spacing w:line="360" w:lineRule="auto"/>
        <w:ind w:firstLine="480" w:firstLineChars="200"/>
        <w:rPr>
          <w:rFonts w:ascii="宋体" w:hAnsi="宋体" w:cs="宋体"/>
          <w:kern w:val="0"/>
          <w:sz w:val="24"/>
          <w:lang w:bidi="ar"/>
        </w:rPr>
      </w:pPr>
    </w:p>
    <w:p w14:paraId="7C086ACA">
      <w:pPr>
        <w:pStyle w:val="2"/>
        <w:bidi w:val="0"/>
        <w:jc w:val="center"/>
        <w:rPr>
          <w:rFonts w:eastAsia="黑体"/>
          <w:sz w:val="28"/>
        </w:rPr>
      </w:pPr>
      <w:r>
        <w:rPr>
          <w:rFonts w:hint="eastAsia" w:ascii="宋体" w:hAnsi="宋体"/>
          <w:b/>
          <w:kern w:val="0"/>
          <w:sz w:val="36"/>
          <w:szCs w:val="36"/>
        </w:rPr>
        <w:br w:type="page"/>
      </w:r>
      <w:bookmarkStart w:id="15" w:name="_Toc28465"/>
      <w:bookmarkStart w:id="16" w:name="_Toc13458"/>
      <w:r>
        <w:rPr>
          <w:rFonts w:hint="eastAsia"/>
        </w:rPr>
        <w:t>第二章  投标须知</w:t>
      </w:r>
      <w:bookmarkEnd w:id="15"/>
      <w:bookmarkEnd w:id="16"/>
    </w:p>
    <w:p w14:paraId="4A8C6494">
      <w:pPr>
        <w:spacing w:line="480" w:lineRule="exact"/>
        <w:jc w:val="center"/>
        <w:rPr>
          <w:rFonts w:ascii="宋体" w:hAnsi="宋体"/>
          <w:b/>
          <w:sz w:val="32"/>
        </w:rPr>
      </w:pPr>
      <w:r>
        <w:rPr>
          <w:rFonts w:ascii="宋体" w:hAnsi="宋体"/>
          <w:b/>
          <w:sz w:val="32"/>
        </w:rPr>
        <w:t>投标须知前附表</w:t>
      </w:r>
      <w:bookmarkStart w:id="17" w:name="_Toc496690839"/>
    </w:p>
    <w:tbl>
      <w:tblPr>
        <w:tblStyle w:val="21"/>
        <w:tblW w:w="9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2239"/>
        <w:gridCol w:w="6006"/>
      </w:tblGrid>
      <w:tr w14:paraId="2FFC3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1276" w:type="dxa"/>
            <w:vAlign w:val="center"/>
          </w:tcPr>
          <w:p w14:paraId="5E4B4399">
            <w:pPr>
              <w:pStyle w:val="29"/>
              <w:spacing w:line="276" w:lineRule="auto"/>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条款号</w:t>
            </w:r>
          </w:p>
        </w:tc>
        <w:tc>
          <w:tcPr>
            <w:tcW w:w="2239" w:type="dxa"/>
            <w:vAlign w:val="center"/>
          </w:tcPr>
          <w:p w14:paraId="3D1D24E8">
            <w:pPr>
              <w:pStyle w:val="29"/>
              <w:spacing w:line="276" w:lineRule="auto"/>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条  款  名  称</w:t>
            </w:r>
          </w:p>
        </w:tc>
        <w:tc>
          <w:tcPr>
            <w:tcW w:w="6006" w:type="dxa"/>
            <w:vAlign w:val="center"/>
          </w:tcPr>
          <w:p w14:paraId="7B7FA866">
            <w:pPr>
              <w:pStyle w:val="29"/>
              <w:spacing w:line="276" w:lineRule="auto"/>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编  列  内  容</w:t>
            </w:r>
          </w:p>
        </w:tc>
      </w:tr>
      <w:tr w14:paraId="4D64B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6" w:hRule="atLeast"/>
          <w:jc w:val="center"/>
        </w:trPr>
        <w:tc>
          <w:tcPr>
            <w:tcW w:w="1276" w:type="dxa"/>
            <w:vAlign w:val="center"/>
          </w:tcPr>
          <w:p w14:paraId="3B4546DC">
            <w:pPr>
              <w:pStyle w:val="29"/>
              <w:spacing w:line="276" w:lineRule="auto"/>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1.1.1</w:t>
            </w:r>
          </w:p>
        </w:tc>
        <w:tc>
          <w:tcPr>
            <w:tcW w:w="2239" w:type="dxa"/>
            <w:vAlign w:val="center"/>
          </w:tcPr>
          <w:p w14:paraId="137F97C0">
            <w:pPr>
              <w:pStyle w:val="29"/>
              <w:spacing w:line="276" w:lineRule="auto"/>
              <w:rPr>
                <w:rFonts w:asciiTheme="minorEastAsia" w:hAnsiTheme="minorEastAsia" w:eastAsiaTheme="minorEastAsia"/>
                <w:color w:val="000000"/>
                <w:sz w:val="24"/>
                <w:szCs w:val="24"/>
              </w:rPr>
            </w:pPr>
            <w:r>
              <w:rPr>
                <w:rFonts w:hint="eastAsia" w:cs="宋体" w:asciiTheme="minorEastAsia" w:hAnsiTheme="minorEastAsia" w:eastAsiaTheme="minorEastAsia"/>
                <w:color w:val="000000" w:themeColor="text1"/>
                <w:sz w:val="24"/>
                <w14:textFill>
                  <w14:solidFill>
                    <w14:schemeClr w14:val="tx1"/>
                  </w14:solidFill>
                </w14:textFill>
              </w:rPr>
              <w:t>招标人</w:t>
            </w:r>
          </w:p>
        </w:tc>
        <w:tc>
          <w:tcPr>
            <w:tcW w:w="6006" w:type="dxa"/>
            <w:vAlign w:val="center"/>
          </w:tcPr>
          <w:p w14:paraId="55385CAE">
            <w:pPr>
              <w:spacing w:line="360" w:lineRule="auto"/>
              <w:rPr>
                <w:rFonts w:cs="宋体" w:asciiTheme="minorEastAsia" w:hAnsiTheme="minorEastAsia" w:eastAsiaTheme="minorEastAsia"/>
                <w:color w:val="000000"/>
                <w:sz w:val="24"/>
                <w:highlight w:val="none"/>
                <w:u w:val="single"/>
              </w:rPr>
            </w:pPr>
            <w:r>
              <w:rPr>
                <w:rFonts w:hint="eastAsia" w:cs="宋体" w:asciiTheme="minorEastAsia" w:hAnsiTheme="minorEastAsia" w:eastAsiaTheme="minorEastAsia"/>
                <w:color w:val="000000"/>
                <w:sz w:val="24"/>
                <w:highlight w:val="none"/>
              </w:rPr>
              <w:t>名称：</w:t>
            </w:r>
            <w:r>
              <w:rPr>
                <w:rFonts w:hint="eastAsia" w:cs="宋体" w:asciiTheme="minorEastAsia" w:hAnsiTheme="minorEastAsia" w:eastAsiaTheme="minorEastAsia"/>
                <w:color w:val="000000"/>
                <w:sz w:val="24"/>
                <w:highlight w:val="none"/>
                <w:lang w:eastAsia="zh-CN"/>
              </w:rPr>
              <w:t>中华人民共和国呼和浩特海关</w:t>
            </w:r>
          </w:p>
          <w:p w14:paraId="32E9EBD7">
            <w:pPr>
              <w:spacing w:line="360" w:lineRule="auto"/>
              <w:rPr>
                <w:rFonts w:hint="eastAsia" w:cs="宋体" w:asciiTheme="minorEastAsia" w:hAnsiTheme="minorEastAsia" w:eastAsiaTheme="minorEastAsia"/>
                <w:color w:val="000000"/>
                <w:sz w:val="24"/>
                <w:highlight w:val="none"/>
                <w:u w:val="single"/>
                <w:lang w:eastAsia="zh-CN"/>
              </w:rPr>
            </w:pPr>
            <w:r>
              <w:rPr>
                <w:rFonts w:hint="eastAsia" w:cs="宋体" w:asciiTheme="minorEastAsia" w:hAnsiTheme="minorEastAsia" w:eastAsiaTheme="minorEastAsia"/>
                <w:color w:val="000000"/>
                <w:sz w:val="24"/>
                <w:highlight w:val="none"/>
              </w:rPr>
              <w:t>联系人：</w:t>
            </w:r>
            <w:r>
              <w:rPr>
                <w:rFonts w:hint="eastAsia" w:ascii="宋体" w:hAnsi="宋体" w:cs="宋体"/>
                <w:color w:val="000000"/>
                <w:spacing w:val="-11"/>
                <w:sz w:val="24"/>
                <w:highlight w:val="none"/>
                <w:lang w:val="en-US" w:eastAsia="zh-CN"/>
              </w:rPr>
              <w:t>李女士</w:t>
            </w:r>
          </w:p>
          <w:p w14:paraId="004A8F8E">
            <w:pPr>
              <w:spacing w:line="360" w:lineRule="auto"/>
              <w:rPr>
                <w:rFonts w:hint="eastAsia" w:eastAsia="宋体" w:cs="宋体" w:asciiTheme="minorEastAsia" w:hAnsiTheme="minorEastAsia"/>
                <w:color w:val="000000"/>
                <w:sz w:val="24"/>
                <w:highlight w:val="none"/>
                <w:u w:val="single"/>
                <w:lang w:eastAsia="zh-CN"/>
              </w:rPr>
            </w:pPr>
            <w:r>
              <w:rPr>
                <w:rFonts w:hint="eastAsia" w:cs="宋体" w:asciiTheme="minorEastAsia" w:hAnsiTheme="minorEastAsia" w:eastAsiaTheme="minorEastAsia"/>
                <w:color w:val="000000"/>
                <w:sz w:val="24"/>
                <w:highlight w:val="none"/>
              </w:rPr>
              <w:t>电 话：</w:t>
            </w:r>
            <w:r>
              <w:rPr>
                <w:rFonts w:hint="eastAsia" w:ascii="宋体" w:hAnsi="宋体" w:cs="宋体"/>
                <w:color w:val="000000"/>
                <w:spacing w:val="-11"/>
                <w:sz w:val="24"/>
                <w:highlight w:val="none"/>
              </w:rPr>
              <w:t>0471-6982817</w:t>
            </w:r>
            <w:r>
              <w:rPr>
                <w:rFonts w:hint="eastAsia" w:ascii="宋体" w:hAnsi="宋体" w:cs="宋体"/>
                <w:color w:val="000000"/>
                <w:spacing w:val="-11"/>
                <w:sz w:val="24"/>
                <w:highlight w:val="none"/>
                <w:lang w:eastAsia="zh-CN"/>
              </w:rPr>
              <w:t>（工作专用）</w:t>
            </w:r>
          </w:p>
        </w:tc>
      </w:tr>
      <w:tr w14:paraId="07D44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5" w:hRule="atLeast"/>
          <w:jc w:val="center"/>
        </w:trPr>
        <w:tc>
          <w:tcPr>
            <w:tcW w:w="1276" w:type="dxa"/>
            <w:vAlign w:val="center"/>
          </w:tcPr>
          <w:p w14:paraId="49155145">
            <w:pPr>
              <w:pStyle w:val="29"/>
              <w:spacing w:line="276" w:lineRule="auto"/>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1.1.2</w:t>
            </w:r>
          </w:p>
        </w:tc>
        <w:tc>
          <w:tcPr>
            <w:tcW w:w="2239" w:type="dxa"/>
            <w:vAlign w:val="center"/>
          </w:tcPr>
          <w:p w14:paraId="1A6A2EE9">
            <w:pPr>
              <w:pStyle w:val="29"/>
              <w:spacing w:line="276" w:lineRule="auto"/>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代理机构</w:t>
            </w:r>
          </w:p>
        </w:tc>
        <w:tc>
          <w:tcPr>
            <w:tcW w:w="6006" w:type="dxa"/>
            <w:vAlign w:val="center"/>
          </w:tcPr>
          <w:p w14:paraId="4983CA69">
            <w:pPr>
              <w:spacing w:line="360" w:lineRule="auto"/>
              <w:rPr>
                <w:rFonts w:cs="宋体" w:asciiTheme="minorEastAsia" w:hAnsiTheme="minorEastAsia" w:eastAsiaTheme="minorEastAsia"/>
                <w:color w:val="000000"/>
                <w:sz w:val="24"/>
                <w:highlight w:val="none"/>
              </w:rPr>
            </w:pPr>
            <w:r>
              <w:rPr>
                <w:rFonts w:hint="eastAsia" w:cs="宋体" w:asciiTheme="minorEastAsia" w:hAnsiTheme="minorEastAsia" w:eastAsiaTheme="minorEastAsia"/>
                <w:color w:val="000000"/>
                <w:sz w:val="24"/>
                <w:highlight w:val="none"/>
              </w:rPr>
              <w:t>名称：内蒙古利贞工程项目管理有限公司</w:t>
            </w:r>
          </w:p>
          <w:p w14:paraId="33B8FA78">
            <w:pPr>
              <w:spacing w:line="360" w:lineRule="auto"/>
              <w:jc w:val="left"/>
              <w:rPr>
                <w:rFonts w:hint="eastAsia" w:ascii="宋体" w:hAnsi="宋体" w:eastAsia="宋体" w:cs="宋体"/>
                <w:sz w:val="24"/>
                <w:highlight w:val="none"/>
                <w:lang w:eastAsia="zh-CN"/>
              </w:rPr>
            </w:pPr>
            <w:r>
              <w:rPr>
                <w:rFonts w:hint="eastAsia" w:ascii="宋体" w:hAnsi="宋体" w:cs="宋体"/>
                <w:sz w:val="24"/>
                <w:highlight w:val="none"/>
              </w:rPr>
              <w:t>联系人：</w:t>
            </w:r>
            <w:r>
              <w:rPr>
                <w:rFonts w:hint="eastAsia" w:ascii="宋体" w:hAnsi="宋体" w:cs="宋体"/>
                <w:sz w:val="24"/>
                <w:highlight w:val="none"/>
                <w:lang w:eastAsia="zh-CN"/>
              </w:rPr>
              <w:t>云佳欣、刘佳慧</w:t>
            </w:r>
          </w:p>
          <w:p w14:paraId="0116C69A">
            <w:pPr>
              <w:spacing w:line="360" w:lineRule="auto"/>
              <w:jc w:val="left"/>
              <w:rPr>
                <w:rFonts w:ascii="宋体" w:hAnsi="宋体" w:cs="宋体"/>
                <w:sz w:val="24"/>
                <w:highlight w:val="none"/>
              </w:rPr>
            </w:pPr>
            <w:r>
              <w:rPr>
                <w:rFonts w:hint="eastAsia" w:ascii="宋体" w:hAnsi="宋体" w:cs="宋体"/>
                <w:sz w:val="24"/>
                <w:highlight w:val="none"/>
              </w:rPr>
              <w:t>联系电话：1</w:t>
            </w:r>
            <w:r>
              <w:rPr>
                <w:rFonts w:hint="eastAsia" w:ascii="宋体" w:hAnsi="宋体" w:cs="宋体"/>
                <w:sz w:val="24"/>
                <w:highlight w:val="none"/>
                <w:lang w:val="en-US" w:eastAsia="zh-CN"/>
              </w:rPr>
              <w:t>3384896209（工作专用）</w:t>
            </w:r>
          </w:p>
        </w:tc>
      </w:tr>
      <w:tr w14:paraId="796EA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276" w:type="dxa"/>
            <w:vAlign w:val="center"/>
          </w:tcPr>
          <w:p w14:paraId="28EEC658">
            <w:pPr>
              <w:pStyle w:val="29"/>
              <w:spacing w:line="276" w:lineRule="auto"/>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1.1.3</w:t>
            </w:r>
          </w:p>
        </w:tc>
        <w:tc>
          <w:tcPr>
            <w:tcW w:w="2239" w:type="dxa"/>
            <w:vAlign w:val="center"/>
          </w:tcPr>
          <w:p w14:paraId="1711A2BA">
            <w:pPr>
              <w:pStyle w:val="29"/>
              <w:spacing w:line="276" w:lineRule="auto"/>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项目名称</w:t>
            </w:r>
          </w:p>
        </w:tc>
        <w:tc>
          <w:tcPr>
            <w:tcW w:w="6006" w:type="dxa"/>
            <w:vAlign w:val="center"/>
          </w:tcPr>
          <w:p w14:paraId="5BF870C0">
            <w:pPr>
              <w:rPr>
                <w:rFonts w:ascii="宋体" w:hAnsi="宋体"/>
                <w:bCs/>
                <w:spacing w:val="-10"/>
                <w:sz w:val="24"/>
                <w:highlight w:val="none"/>
                <w:u w:val="single"/>
              </w:rPr>
            </w:pPr>
            <w:r>
              <w:rPr>
                <w:rFonts w:hint="eastAsia" w:ascii="宋体" w:hAnsi="宋体"/>
                <w:bCs/>
                <w:spacing w:val="-10"/>
                <w:sz w:val="24"/>
                <w:highlight w:val="none"/>
                <w:u w:val="none"/>
                <w:lang w:val="en-US" w:eastAsia="zh-CN"/>
              </w:rPr>
              <w:t>呼和浩特海关业务分析研判室—弱电设备改造工程</w:t>
            </w:r>
          </w:p>
        </w:tc>
      </w:tr>
      <w:tr w14:paraId="7585F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276" w:type="dxa"/>
            <w:vAlign w:val="center"/>
          </w:tcPr>
          <w:p w14:paraId="4B526896">
            <w:pPr>
              <w:pStyle w:val="29"/>
              <w:spacing w:line="276" w:lineRule="auto"/>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1.1.4</w:t>
            </w:r>
          </w:p>
        </w:tc>
        <w:tc>
          <w:tcPr>
            <w:tcW w:w="2239" w:type="dxa"/>
            <w:vAlign w:val="center"/>
          </w:tcPr>
          <w:p w14:paraId="6A00AFB4">
            <w:pPr>
              <w:pStyle w:val="29"/>
              <w:spacing w:line="276" w:lineRule="auto"/>
              <w:rPr>
                <w:rFonts w:asciiTheme="minorEastAsia" w:hAnsiTheme="minorEastAsia" w:eastAsiaTheme="minorEastAsia"/>
                <w:color w:val="000000"/>
                <w:sz w:val="24"/>
                <w:szCs w:val="24"/>
              </w:rPr>
            </w:pPr>
            <w:bookmarkStart w:id="18" w:name="OLE_LINK36"/>
            <w:bookmarkStart w:id="19" w:name="OLE_LINK35"/>
            <w:r>
              <w:rPr>
                <w:rFonts w:hint="eastAsia" w:asciiTheme="minorEastAsia" w:hAnsiTheme="minorEastAsia" w:eastAsiaTheme="minorEastAsia"/>
                <w:color w:val="000000"/>
                <w:sz w:val="24"/>
                <w:szCs w:val="24"/>
              </w:rPr>
              <w:t>项目地点</w:t>
            </w:r>
            <w:bookmarkEnd w:id="18"/>
            <w:bookmarkEnd w:id="19"/>
          </w:p>
        </w:tc>
        <w:tc>
          <w:tcPr>
            <w:tcW w:w="6006" w:type="dxa"/>
            <w:vAlign w:val="center"/>
          </w:tcPr>
          <w:p w14:paraId="766BCA24">
            <w:pPr>
              <w:pStyle w:val="29"/>
              <w:spacing w:line="276" w:lineRule="auto"/>
              <w:rPr>
                <w:rFonts w:hint="eastAsia" w:asciiTheme="minorEastAsia" w:hAnsiTheme="minorEastAsia" w:eastAsiaTheme="minorEastAsia"/>
                <w:color w:val="000000"/>
                <w:sz w:val="24"/>
                <w:szCs w:val="24"/>
                <w:highlight w:val="none"/>
                <w:lang w:eastAsia="zh-CN"/>
              </w:rPr>
            </w:pPr>
            <w:r>
              <w:rPr>
                <w:rFonts w:hint="eastAsia" w:asciiTheme="minorEastAsia" w:hAnsiTheme="minorEastAsia" w:eastAsiaTheme="minorEastAsia"/>
                <w:color w:val="000000"/>
                <w:sz w:val="24"/>
                <w:szCs w:val="24"/>
                <w:highlight w:val="none"/>
                <w:lang w:eastAsia="zh-CN"/>
              </w:rPr>
              <w:t>呼和浩特市</w:t>
            </w:r>
          </w:p>
        </w:tc>
      </w:tr>
      <w:tr w14:paraId="107A9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276" w:type="dxa"/>
            <w:vAlign w:val="center"/>
          </w:tcPr>
          <w:p w14:paraId="6042D226">
            <w:pPr>
              <w:pStyle w:val="29"/>
              <w:spacing w:line="276" w:lineRule="auto"/>
              <w:jc w:val="center"/>
              <w:rPr>
                <w:rFonts w:asciiTheme="minorEastAsia" w:hAnsiTheme="minorEastAsia" w:eastAsiaTheme="minorEastAsia"/>
                <w:color w:val="000000"/>
                <w:sz w:val="24"/>
                <w:szCs w:val="24"/>
              </w:rPr>
            </w:pPr>
            <w:r>
              <w:rPr>
                <w:rFonts w:asciiTheme="minorEastAsia" w:hAnsiTheme="minorEastAsia" w:eastAsiaTheme="minorEastAsia"/>
                <w:color w:val="000000"/>
                <w:sz w:val="24"/>
                <w:szCs w:val="24"/>
              </w:rPr>
              <w:t>1.1.</w:t>
            </w:r>
            <w:r>
              <w:rPr>
                <w:rFonts w:hint="eastAsia" w:asciiTheme="minorEastAsia" w:hAnsiTheme="minorEastAsia" w:eastAsiaTheme="minorEastAsia"/>
                <w:color w:val="000000"/>
                <w:sz w:val="24"/>
                <w:szCs w:val="24"/>
              </w:rPr>
              <w:t>5</w:t>
            </w:r>
          </w:p>
        </w:tc>
        <w:tc>
          <w:tcPr>
            <w:tcW w:w="2239" w:type="dxa"/>
            <w:vAlign w:val="center"/>
          </w:tcPr>
          <w:p w14:paraId="32A24AF6">
            <w:pPr>
              <w:pStyle w:val="29"/>
              <w:spacing w:line="276" w:lineRule="auto"/>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采购分包情况</w:t>
            </w:r>
          </w:p>
        </w:tc>
        <w:tc>
          <w:tcPr>
            <w:tcW w:w="6006" w:type="dxa"/>
            <w:vAlign w:val="center"/>
          </w:tcPr>
          <w:p w14:paraId="6A88861D">
            <w:pPr>
              <w:pStyle w:val="29"/>
              <w:spacing w:line="276" w:lineRule="auto"/>
              <w:rPr>
                <w:rFonts w:asciiTheme="minorEastAsia" w:hAnsiTheme="minorEastAsia" w:eastAsiaTheme="minorEastAsia"/>
                <w:color w:val="0000FF"/>
                <w:sz w:val="24"/>
                <w:szCs w:val="24"/>
              </w:rPr>
            </w:pPr>
            <w:r>
              <w:rPr>
                <w:rFonts w:hint="eastAsia" w:asciiTheme="minorEastAsia" w:hAnsiTheme="minorEastAsia" w:eastAsiaTheme="minorEastAsia"/>
                <w:color w:val="000000" w:themeColor="text1"/>
                <w:sz w:val="24"/>
                <w:szCs w:val="24"/>
                <w14:textFill>
                  <w14:solidFill>
                    <w14:schemeClr w14:val="tx1"/>
                  </w14:solidFill>
                </w14:textFill>
              </w:rPr>
              <w:t>无</w:t>
            </w:r>
          </w:p>
        </w:tc>
      </w:tr>
      <w:tr w14:paraId="27597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276" w:type="dxa"/>
            <w:vAlign w:val="center"/>
          </w:tcPr>
          <w:p w14:paraId="0FAB33EA">
            <w:pPr>
              <w:pStyle w:val="29"/>
              <w:spacing w:line="276" w:lineRule="auto"/>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1.2</w:t>
            </w:r>
          </w:p>
        </w:tc>
        <w:tc>
          <w:tcPr>
            <w:tcW w:w="2239" w:type="dxa"/>
            <w:vAlign w:val="center"/>
          </w:tcPr>
          <w:p w14:paraId="0F6A6555">
            <w:pPr>
              <w:pStyle w:val="29"/>
              <w:spacing w:line="276" w:lineRule="auto"/>
              <w:rPr>
                <w:rFonts w:asciiTheme="minorEastAsia" w:hAnsiTheme="minorEastAsia" w:eastAsiaTheme="minorEastAsia"/>
                <w:color w:val="000000"/>
                <w:sz w:val="24"/>
                <w:szCs w:val="24"/>
                <w:highlight w:val="none"/>
              </w:rPr>
            </w:pPr>
            <w:r>
              <w:rPr>
                <w:rFonts w:hint="eastAsia" w:asciiTheme="minorEastAsia" w:hAnsiTheme="minorEastAsia" w:eastAsiaTheme="minorEastAsia"/>
                <w:color w:val="000000"/>
                <w:sz w:val="24"/>
                <w:szCs w:val="24"/>
                <w:highlight w:val="none"/>
              </w:rPr>
              <w:t>资金来源</w:t>
            </w:r>
          </w:p>
        </w:tc>
        <w:tc>
          <w:tcPr>
            <w:tcW w:w="6006" w:type="dxa"/>
            <w:vAlign w:val="center"/>
          </w:tcPr>
          <w:p w14:paraId="20249D67">
            <w:pPr>
              <w:pStyle w:val="29"/>
              <w:spacing w:line="276" w:lineRule="auto"/>
              <w:rPr>
                <w:rFonts w:asciiTheme="minorEastAsia" w:hAnsiTheme="minorEastAsia" w:eastAsiaTheme="minorEastAsia"/>
                <w:color w:val="000000"/>
                <w:sz w:val="24"/>
                <w:szCs w:val="24"/>
                <w:highlight w:val="none"/>
              </w:rPr>
            </w:pPr>
            <w:r>
              <w:rPr>
                <w:rFonts w:hint="eastAsia" w:asciiTheme="minorEastAsia" w:hAnsiTheme="minorEastAsia" w:eastAsiaTheme="minorEastAsia"/>
                <w:sz w:val="24"/>
                <w:szCs w:val="24"/>
                <w:highlight w:val="none"/>
                <w:lang w:eastAsia="zh-CN"/>
              </w:rPr>
              <w:t>财政</w:t>
            </w:r>
            <w:r>
              <w:rPr>
                <w:rFonts w:hint="eastAsia" w:asciiTheme="minorEastAsia" w:hAnsiTheme="minorEastAsia" w:eastAsiaTheme="minorEastAsia"/>
                <w:sz w:val="24"/>
                <w:szCs w:val="24"/>
                <w:highlight w:val="none"/>
              </w:rPr>
              <w:t>资金</w:t>
            </w:r>
          </w:p>
        </w:tc>
      </w:tr>
      <w:tr w14:paraId="2E66F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276" w:type="dxa"/>
            <w:vAlign w:val="center"/>
          </w:tcPr>
          <w:p w14:paraId="5011CB52">
            <w:pPr>
              <w:pStyle w:val="29"/>
              <w:spacing w:line="276" w:lineRule="auto"/>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1.3.1</w:t>
            </w:r>
          </w:p>
        </w:tc>
        <w:tc>
          <w:tcPr>
            <w:tcW w:w="2239" w:type="dxa"/>
            <w:vAlign w:val="center"/>
          </w:tcPr>
          <w:p w14:paraId="19264FCB">
            <w:pPr>
              <w:rPr>
                <w:rFonts w:asciiTheme="minorEastAsia" w:hAnsiTheme="minorEastAsia" w:eastAsiaTheme="minorEastAsia"/>
                <w:sz w:val="24"/>
                <w:highlight w:val="none"/>
              </w:rPr>
            </w:pPr>
            <w:r>
              <w:rPr>
                <w:rFonts w:hint="eastAsia" w:asciiTheme="minorEastAsia" w:hAnsiTheme="minorEastAsia" w:eastAsiaTheme="minorEastAsia"/>
                <w:sz w:val="24"/>
                <w:highlight w:val="none"/>
                <w:lang w:eastAsia="zh-CN"/>
              </w:rPr>
              <w:t>供货期</w:t>
            </w:r>
          </w:p>
        </w:tc>
        <w:tc>
          <w:tcPr>
            <w:tcW w:w="6006" w:type="dxa"/>
            <w:vAlign w:val="center"/>
          </w:tcPr>
          <w:p w14:paraId="414C7B6E">
            <w:pPr>
              <w:rPr>
                <w:rFonts w:cs="宋体" w:asciiTheme="minorEastAsia" w:hAnsiTheme="minorEastAsia" w:eastAsiaTheme="minorEastAsia"/>
                <w:color w:val="000000"/>
                <w:sz w:val="24"/>
                <w:highlight w:val="none"/>
              </w:rPr>
            </w:pPr>
            <w:r>
              <w:rPr>
                <w:rFonts w:hint="eastAsia" w:asciiTheme="minorEastAsia" w:hAnsiTheme="minorEastAsia" w:eastAsiaTheme="minorEastAsia"/>
                <w:sz w:val="24"/>
                <w:highlight w:val="none"/>
                <w:lang w:val="en-US" w:eastAsia="zh-CN"/>
              </w:rPr>
              <w:t>自合同签订后30日历天内</w:t>
            </w:r>
          </w:p>
        </w:tc>
      </w:tr>
      <w:tr w14:paraId="3F1C7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1276" w:type="dxa"/>
            <w:vAlign w:val="center"/>
          </w:tcPr>
          <w:p w14:paraId="50AF9615">
            <w:pPr>
              <w:pStyle w:val="29"/>
              <w:spacing w:line="276" w:lineRule="auto"/>
              <w:jc w:val="center"/>
              <w:rPr>
                <w:rFonts w:hint="default" w:asciiTheme="minorEastAsia" w:hAnsiTheme="minorEastAsia" w:eastAsiaTheme="minorEastAsia"/>
                <w:color w:val="000000"/>
                <w:sz w:val="24"/>
                <w:szCs w:val="24"/>
                <w:lang w:val="en-US" w:eastAsia="zh-CN"/>
              </w:rPr>
            </w:pPr>
            <w:r>
              <w:rPr>
                <w:rFonts w:hint="eastAsia" w:asciiTheme="minorEastAsia" w:hAnsiTheme="minorEastAsia" w:eastAsiaTheme="minorEastAsia"/>
                <w:color w:val="000000"/>
                <w:sz w:val="24"/>
                <w:szCs w:val="24"/>
                <w:lang w:val="en-US" w:eastAsia="zh-CN"/>
              </w:rPr>
              <w:t>1.3.2</w:t>
            </w:r>
          </w:p>
        </w:tc>
        <w:tc>
          <w:tcPr>
            <w:tcW w:w="2239" w:type="dxa"/>
            <w:vAlign w:val="center"/>
          </w:tcPr>
          <w:p w14:paraId="67A5DA44">
            <w:pPr>
              <w:jc w:val="left"/>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lang w:val="en-US" w:eastAsia="zh-CN"/>
              </w:rPr>
              <w:t>质保期</w:t>
            </w:r>
          </w:p>
        </w:tc>
        <w:tc>
          <w:tcPr>
            <w:tcW w:w="6006" w:type="dxa"/>
            <w:vAlign w:val="center"/>
          </w:tcPr>
          <w:p w14:paraId="6578C7D2">
            <w:pPr>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lang w:val="en-US" w:eastAsia="zh-CN"/>
              </w:rPr>
              <w:t>3年</w:t>
            </w:r>
          </w:p>
        </w:tc>
      </w:tr>
      <w:tr w14:paraId="3EA5F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276" w:type="dxa"/>
            <w:vAlign w:val="center"/>
          </w:tcPr>
          <w:p w14:paraId="5EB287B1">
            <w:pPr>
              <w:pStyle w:val="29"/>
              <w:spacing w:line="276" w:lineRule="auto"/>
              <w:jc w:val="center"/>
              <w:rPr>
                <w:rFonts w:hint="eastAsia"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rPr>
              <w:t>1.3.</w:t>
            </w:r>
            <w:r>
              <w:rPr>
                <w:rFonts w:hint="eastAsia" w:asciiTheme="minorEastAsia" w:hAnsiTheme="minorEastAsia" w:eastAsiaTheme="minorEastAsia"/>
                <w:color w:val="000000"/>
                <w:sz w:val="24"/>
                <w:szCs w:val="24"/>
                <w:lang w:val="en-US" w:eastAsia="zh-CN"/>
              </w:rPr>
              <w:t>3</w:t>
            </w:r>
          </w:p>
        </w:tc>
        <w:tc>
          <w:tcPr>
            <w:tcW w:w="2239" w:type="dxa"/>
            <w:vAlign w:val="center"/>
          </w:tcPr>
          <w:p w14:paraId="40903CA1">
            <w:pPr>
              <w:jc w:val="left"/>
              <w:rPr>
                <w:rFonts w:asciiTheme="minorEastAsia" w:hAnsiTheme="minorEastAsia" w:eastAsiaTheme="minorEastAsia"/>
                <w:sz w:val="24"/>
                <w:highlight w:val="none"/>
              </w:rPr>
            </w:pPr>
            <w:r>
              <w:rPr>
                <w:rFonts w:hint="eastAsia" w:asciiTheme="minorEastAsia" w:hAnsiTheme="minorEastAsia" w:eastAsiaTheme="minorEastAsia"/>
                <w:sz w:val="24"/>
                <w:highlight w:val="none"/>
              </w:rPr>
              <w:t>供货地点</w:t>
            </w:r>
          </w:p>
        </w:tc>
        <w:tc>
          <w:tcPr>
            <w:tcW w:w="6006" w:type="dxa"/>
            <w:vAlign w:val="center"/>
          </w:tcPr>
          <w:p w14:paraId="6A0A0073">
            <w:pPr>
              <w:jc w:val="left"/>
              <w:rPr>
                <w:rFonts w:hint="eastAsia" w:asciiTheme="minorEastAsia" w:hAnsiTheme="minorEastAsia" w:eastAsiaTheme="minorEastAsia"/>
                <w:sz w:val="24"/>
                <w:highlight w:val="none"/>
                <w:lang w:eastAsia="zh-CN"/>
              </w:rPr>
            </w:pPr>
            <w:r>
              <w:rPr>
                <w:rFonts w:hint="eastAsia" w:asciiTheme="minorEastAsia" w:hAnsiTheme="minorEastAsia" w:eastAsiaTheme="minorEastAsia"/>
                <w:sz w:val="24"/>
                <w:highlight w:val="none"/>
                <w:lang w:eastAsia="zh-CN"/>
              </w:rPr>
              <w:t>呼和浩特海关办公楼</w:t>
            </w:r>
          </w:p>
        </w:tc>
      </w:tr>
      <w:tr w14:paraId="0B102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1276" w:type="dxa"/>
            <w:vAlign w:val="center"/>
          </w:tcPr>
          <w:p w14:paraId="2C816655">
            <w:pPr>
              <w:pStyle w:val="29"/>
              <w:spacing w:line="276" w:lineRule="auto"/>
              <w:jc w:val="center"/>
              <w:rPr>
                <w:rFonts w:hint="eastAsia"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rPr>
              <w:t>1.3.</w:t>
            </w:r>
            <w:r>
              <w:rPr>
                <w:rFonts w:hint="eastAsia" w:asciiTheme="minorEastAsia" w:hAnsiTheme="minorEastAsia" w:eastAsiaTheme="minorEastAsia"/>
                <w:color w:val="000000"/>
                <w:sz w:val="24"/>
                <w:szCs w:val="24"/>
                <w:lang w:val="en-US" w:eastAsia="zh-CN"/>
              </w:rPr>
              <w:t>4</w:t>
            </w:r>
          </w:p>
        </w:tc>
        <w:tc>
          <w:tcPr>
            <w:tcW w:w="2239" w:type="dxa"/>
            <w:vAlign w:val="center"/>
          </w:tcPr>
          <w:p w14:paraId="25C3AE1E">
            <w:pPr>
              <w:snapToGrid w:val="0"/>
              <w:spacing w:line="360" w:lineRule="auto"/>
              <w:jc w:val="both"/>
              <w:rPr>
                <w:rFonts w:asciiTheme="minorEastAsia" w:hAnsiTheme="minorEastAsia" w:eastAsiaTheme="minorEastAsia"/>
                <w:sz w:val="24"/>
              </w:rPr>
            </w:pPr>
            <w:r>
              <w:rPr>
                <w:rFonts w:hint="eastAsia" w:ascii="宋体" w:hAnsi="宋体" w:cs="宋体"/>
                <w:color w:val="000000"/>
                <w:sz w:val="24"/>
                <w:lang w:val="zh-CN"/>
              </w:rPr>
              <w:t>投标有效期</w:t>
            </w:r>
          </w:p>
        </w:tc>
        <w:tc>
          <w:tcPr>
            <w:tcW w:w="6006" w:type="dxa"/>
            <w:vAlign w:val="center"/>
          </w:tcPr>
          <w:p w14:paraId="54558C38">
            <w:pPr>
              <w:snapToGrid w:val="0"/>
              <w:spacing w:line="360" w:lineRule="auto"/>
              <w:ind w:right="-105" w:rightChars="-50"/>
              <w:rPr>
                <w:rFonts w:asciiTheme="minorEastAsia" w:hAnsiTheme="minorEastAsia" w:eastAsiaTheme="minorEastAsia"/>
                <w:sz w:val="24"/>
              </w:rPr>
            </w:pPr>
            <w:r>
              <w:rPr>
                <w:rFonts w:hint="eastAsia" w:ascii="宋体" w:hAnsi="宋体"/>
                <w:sz w:val="24"/>
              </w:rPr>
              <w:t>提交</w:t>
            </w:r>
            <w:r>
              <w:rPr>
                <w:rFonts w:hint="eastAsia" w:ascii="宋体" w:hAnsi="宋体"/>
                <w:sz w:val="24"/>
                <w:lang w:eastAsia="zh-CN"/>
              </w:rPr>
              <w:t>投标文件</w:t>
            </w:r>
            <w:r>
              <w:rPr>
                <w:rFonts w:hint="eastAsia" w:ascii="宋体" w:hAnsi="宋体"/>
                <w:sz w:val="24"/>
              </w:rPr>
              <w:t>截止之日起90日历天</w:t>
            </w:r>
          </w:p>
        </w:tc>
      </w:tr>
      <w:tr w14:paraId="062CA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276" w:type="dxa"/>
            <w:vAlign w:val="center"/>
          </w:tcPr>
          <w:p w14:paraId="6C65FBCC">
            <w:pPr>
              <w:pStyle w:val="29"/>
              <w:spacing w:line="276" w:lineRule="auto"/>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1.4.1</w:t>
            </w:r>
          </w:p>
        </w:tc>
        <w:tc>
          <w:tcPr>
            <w:tcW w:w="2239" w:type="dxa"/>
            <w:vAlign w:val="center"/>
          </w:tcPr>
          <w:p w14:paraId="3100AC82">
            <w:pPr>
              <w:pStyle w:val="29"/>
              <w:spacing w:line="276" w:lineRule="auto"/>
              <w:jc w:val="both"/>
              <w:rPr>
                <w:rFonts w:asciiTheme="minorEastAsia" w:hAnsiTheme="minorEastAsia" w:eastAsiaTheme="minorEastAsia"/>
                <w:color w:val="000000"/>
                <w:sz w:val="24"/>
                <w:szCs w:val="24"/>
              </w:rPr>
            </w:pPr>
            <w:r>
              <w:rPr>
                <w:rFonts w:hint="eastAsia" w:asciiTheme="minorEastAsia" w:hAnsiTheme="minorEastAsia" w:eastAsiaTheme="minorEastAsia"/>
                <w:kern w:val="0"/>
                <w:sz w:val="24"/>
                <w:szCs w:val="24"/>
                <w:highlight w:val="none"/>
              </w:rPr>
              <w:t>投标人资格</w:t>
            </w:r>
            <w:r>
              <w:rPr>
                <w:rFonts w:asciiTheme="minorEastAsia" w:hAnsiTheme="minorEastAsia" w:eastAsiaTheme="minorEastAsia"/>
                <w:kern w:val="0"/>
                <w:sz w:val="24"/>
                <w:szCs w:val="24"/>
                <w:highlight w:val="none"/>
              </w:rPr>
              <w:t>条件、能力和信誉</w:t>
            </w:r>
            <w:r>
              <w:rPr>
                <w:rFonts w:hint="eastAsia" w:asciiTheme="minorEastAsia" w:hAnsiTheme="minorEastAsia" w:eastAsiaTheme="minorEastAsia"/>
                <w:kern w:val="0"/>
                <w:sz w:val="24"/>
                <w:szCs w:val="24"/>
                <w:highlight w:val="none"/>
              </w:rPr>
              <w:t>及资格审查</w:t>
            </w:r>
          </w:p>
        </w:tc>
        <w:tc>
          <w:tcPr>
            <w:tcW w:w="6006" w:type="dxa"/>
            <w:vAlign w:val="center"/>
          </w:tcPr>
          <w:p w14:paraId="53DD1D06">
            <w:pPr>
              <w:widowControl/>
              <w:spacing w:line="360" w:lineRule="auto"/>
              <w:rPr>
                <w:rFonts w:hint="eastAsia" w:asciiTheme="minorEastAsia" w:hAnsiTheme="minorEastAsia" w:eastAsiaTheme="minorEastAsia"/>
                <w:kern w:val="0"/>
                <w:sz w:val="24"/>
                <w:highlight w:val="none"/>
              </w:rPr>
            </w:pPr>
            <w:r>
              <w:rPr>
                <w:rFonts w:hint="eastAsia" w:asciiTheme="minorEastAsia" w:hAnsiTheme="minorEastAsia" w:eastAsiaTheme="minorEastAsia"/>
                <w:kern w:val="0"/>
                <w:sz w:val="24"/>
                <w:highlight w:val="none"/>
              </w:rPr>
              <w:t>资格条件：</w:t>
            </w:r>
          </w:p>
          <w:p w14:paraId="3E9BDF5E">
            <w:pPr>
              <w:widowControl/>
              <w:spacing w:line="360" w:lineRule="auto"/>
              <w:rPr>
                <w:rFonts w:hint="eastAsia" w:asciiTheme="minorEastAsia" w:hAnsiTheme="minorEastAsia" w:eastAsiaTheme="minorEastAsia"/>
                <w:kern w:val="0"/>
                <w:sz w:val="24"/>
                <w:highlight w:val="none"/>
                <w:lang w:val="en-US" w:eastAsia="zh-CN"/>
              </w:rPr>
            </w:pPr>
            <w:r>
              <w:rPr>
                <w:rFonts w:hint="eastAsia" w:asciiTheme="minorEastAsia" w:hAnsiTheme="minorEastAsia" w:eastAsiaTheme="minorEastAsia"/>
                <w:kern w:val="0"/>
                <w:sz w:val="24"/>
                <w:highlight w:val="none"/>
                <w:lang w:val="en-US" w:eastAsia="zh-CN"/>
              </w:rPr>
              <w:t>1、投标人须为在中华人民共和国境内依法注册的独立法人，具备独立承担民事责任的能力，具备有效的营业执照；</w:t>
            </w:r>
          </w:p>
          <w:p w14:paraId="66D09CC4">
            <w:pPr>
              <w:widowControl/>
              <w:spacing w:line="360" w:lineRule="auto"/>
              <w:rPr>
                <w:rFonts w:hint="eastAsia" w:asciiTheme="minorEastAsia" w:hAnsiTheme="minorEastAsia" w:eastAsiaTheme="minorEastAsia"/>
                <w:kern w:val="0"/>
                <w:sz w:val="24"/>
                <w:highlight w:val="none"/>
                <w:lang w:val="en-US" w:eastAsia="zh-CN"/>
              </w:rPr>
            </w:pPr>
            <w:r>
              <w:rPr>
                <w:rFonts w:hint="eastAsia" w:asciiTheme="minorEastAsia" w:hAnsiTheme="minorEastAsia" w:eastAsiaTheme="minorEastAsia"/>
                <w:kern w:val="0"/>
                <w:sz w:val="24"/>
                <w:highlight w:val="none"/>
                <w:lang w:val="en-US" w:eastAsia="zh-CN"/>
              </w:rPr>
              <w:t>2、营业执照副本原件、税务登记证副本原件、组织机构代码证副本原件（三证合一投标人仅需提供营业执照副本原件）；</w:t>
            </w:r>
          </w:p>
          <w:p w14:paraId="620201F9">
            <w:pPr>
              <w:widowControl/>
              <w:spacing w:line="360" w:lineRule="auto"/>
              <w:rPr>
                <w:rFonts w:hint="eastAsia" w:asciiTheme="minorEastAsia" w:hAnsiTheme="minorEastAsia" w:eastAsiaTheme="minorEastAsia"/>
                <w:kern w:val="0"/>
                <w:sz w:val="24"/>
                <w:highlight w:val="none"/>
                <w:lang w:val="en-US" w:eastAsia="zh-CN"/>
              </w:rPr>
            </w:pPr>
            <w:r>
              <w:rPr>
                <w:rFonts w:hint="eastAsia" w:asciiTheme="minorEastAsia" w:hAnsiTheme="minorEastAsia" w:eastAsiaTheme="minorEastAsia"/>
                <w:kern w:val="0"/>
                <w:sz w:val="24"/>
                <w:highlight w:val="none"/>
                <w:lang w:val="en-US" w:eastAsia="zh-CN"/>
              </w:rPr>
              <w:t>3、开户许可证原件或基本存款账户信息；</w:t>
            </w:r>
          </w:p>
          <w:p w14:paraId="54456ED7">
            <w:pPr>
              <w:widowControl/>
              <w:spacing w:line="360" w:lineRule="auto"/>
              <w:rPr>
                <w:rFonts w:hint="eastAsia" w:asciiTheme="minorEastAsia" w:hAnsiTheme="minorEastAsia" w:eastAsiaTheme="minorEastAsia"/>
                <w:kern w:val="0"/>
                <w:sz w:val="24"/>
                <w:highlight w:val="none"/>
                <w:lang w:val="en-US" w:eastAsia="zh-CN"/>
              </w:rPr>
            </w:pPr>
            <w:r>
              <w:rPr>
                <w:rFonts w:hint="eastAsia" w:asciiTheme="minorEastAsia" w:hAnsiTheme="minorEastAsia" w:eastAsiaTheme="minorEastAsia"/>
                <w:kern w:val="0"/>
                <w:sz w:val="24"/>
                <w:highlight w:val="none"/>
                <w:lang w:val="en-US" w:eastAsia="zh-CN"/>
              </w:rPr>
              <w:t>4、具有良好的商业信誉和健全的财务会计制度；</w:t>
            </w:r>
          </w:p>
          <w:p w14:paraId="22B8059F">
            <w:pPr>
              <w:widowControl/>
              <w:spacing w:line="360" w:lineRule="auto"/>
              <w:rPr>
                <w:rFonts w:hint="eastAsia" w:asciiTheme="minorEastAsia" w:hAnsiTheme="minorEastAsia" w:eastAsiaTheme="minorEastAsia"/>
                <w:kern w:val="0"/>
                <w:sz w:val="24"/>
                <w:highlight w:val="none"/>
              </w:rPr>
            </w:pPr>
            <w:r>
              <w:rPr>
                <w:rFonts w:hint="eastAsia" w:asciiTheme="minorEastAsia" w:hAnsiTheme="minorEastAsia" w:eastAsiaTheme="minorEastAsia"/>
                <w:kern w:val="0"/>
                <w:sz w:val="24"/>
                <w:highlight w:val="none"/>
                <w:lang w:val="en-US" w:eastAsia="zh-CN"/>
              </w:rPr>
              <w:t>5、具有履行合同所必需的设备和专业技术能力；</w:t>
            </w:r>
          </w:p>
          <w:p w14:paraId="4787A047">
            <w:pPr>
              <w:widowControl/>
              <w:spacing w:line="360" w:lineRule="auto"/>
              <w:rPr>
                <w:rFonts w:hint="eastAsia" w:asciiTheme="minorEastAsia" w:hAnsiTheme="minorEastAsia" w:eastAsiaTheme="minorEastAsia"/>
                <w:kern w:val="0"/>
                <w:sz w:val="24"/>
                <w:highlight w:val="none"/>
              </w:rPr>
            </w:pPr>
            <w:r>
              <w:rPr>
                <w:rFonts w:hint="eastAsia" w:asciiTheme="minorEastAsia" w:hAnsiTheme="minorEastAsia" w:eastAsiaTheme="minorEastAsia"/>
                <w:kern w:val="0"/>
                <w:sz w:val="24"/>
                <w:highlight w:val="none"/>
                <w:lang w:val="en-US" w:eastAsia="zh-CN"/>
              </w:rPr>
              <w:t>6、投标人具有依法缴纳税收和社会保障资金的良好记录；</w:t>
            </w:r>
          </w:p>
          <w:p w14:paraId="483F7ECA">
            <w:pPr>
              <w:widowControl/>
              <w:spacing w:line="360" w:lineRule="auto"/>
              <w:rPr>
                <w:rFonts w:hint="eastAsia" w:asciiTheme="minorEastAsia" w:hAnsiTheme="minorEastAsia" w:eastAsiaTheme="minorEastAsia"/>
                <w:kern w:val="0"/>
                <w:sz w:val="24"/>
                <w:highlight w:val="none"/>
              </w:rPr>
            </w:pPr>
            <w:r>
              <w:rPr>
                <w:rFonts w:hint="eastAsia" w:asciiTheme="minorEastAsia" w:hAnsiTheme="minorEastAsia" w:eastAsiaTheme="minorEastAsia"/>
                <w:kern w:val="0"/>
                <w:sz w:val="24"/>
                <w:highlight w:val="none"/>
                <w:lang w:val="en-US" w:eastAsia="zh-CN"/>
              </w:rPr>
              <w:t>7、投标人参加本次采购活动前3年内，在经营活动中没有重大违法记录；</w:t>
            </w:r>
          </w:p>
          <w:p w14:paraId="6F2C2002">
            <w:pPr>
              <w:widowControl/>
              <w:spacing w:line="360" w:lineRule="auto"/>
              <w:rPr>
                <w:rFonts w:hint="eastAsia" w:asciiTheme="minorEastAsia" w:hAnsiTheme="minorEastAsia" w:eastAsiaTheme="minorEastAsia"/>
                <w:kern w:val="0"/>
                <w:sz w:val="24"/>
                <w:highlight w:val="none"/>
                <w:lang w:val="en-US" w:eastAsia="zh-CN"/>
              </w:rPr>
            </w:pPr>
            <w:r>
              <w:rPr>
                <w:rFonts w:hint="eastAsia" w:asciiTheme="minorEastAsia" w:hAnsiTheme="minorEastAsia" w:eastAsiaTheme="minorEastAsia"/>
                <w:kern w:val="0"/>
                <w:sz w:val="24"/>
                <w:highlight w:val="none"/>
                <w:lang w:val="en-US" w:eastAsia="zh-CN"/>
              </w:rPr>
              <w:t>8、信用要求：投标截止时间前，投标人未被列入“信用中国”、“中国政府采购网”等平台的失信被执行人、重大税收违法失信主体、政府采购严重违法失信行为记录名单；</w:t>
            </w:r>
          </w:p>
          <w:p w14:paraId="7862D8CA">
            <w:pPr>
              <w:widowControl/>
              <w:spacing w:line="360" w:lineRule="auto"/>
              <w:rPr>
                <w:rFonts w:hint="eastAsia" w:asciiTheme="minorEastAsia" w:hAnsiTheme="minorEastAsia" w:eastAsiaTheme="minorEastAsia"/>
                <w:kern w:val="0"/>
                <w:sz w:val="24"/>
                <w:highlight w:val="none"/>
              </w:rPr>
            </w:pPr>
            <w:r>
              <w:rPr>
                <w:rFonts w:hint="eastAsia" w:asciiTheme="minorEastAsia" w:hAnsiTheme="minorEastAsia" w:eastAsiaTheme="minorEastAsia"/>
                <w:kern w:val="0"/>
                <w:sz w:val="24"/>
                <w:highlight w:val="none"/>
              </w:rPr>
              <w:t>本项目不允许联合体投标。</w:t>
            </w:r>
          </w:p>
          <w:p w14:paraId="5B1A7151">
            <w:pPr>
              <w:widowControl/>
              <w:spacing w:line="360" w:lineRule="auto"/>
              <w:rPr>
                <w:rFonts w:hint="eastAsia" w:asciiTheme="minorEastAsia" w:hAnsiTheme="minorEastAsia" w:eastAsiaTheme="minorEastAsia"/>
                <w:kern w:val="0"/>
                <w:sz w:val="24"/>
                <w:highlight w:val="none"/>
              </w:rPr>
            </w:pPr>
            <w:r>
              <w:rPr>
                <w:rFonts w:hint="eastAsia" w:asciiTheme="minorEastAsia" w:hAnsiTheme="minorEastAsia" w:eastAsiaTheme="minorEastAsia"/>
                <w:kern w:val="0"/>
                <w:sz w:val="24"/>
                <w:highlight w:val="none"/>
              </w:rPr>
              <w:t>资格审查方式：资格后审</w:t>
            </w:r>
          </w:p>
          <w:p w14:paraId="08764739">
            <w:pPr>
              <w:widowControl/>
              <w:spacing w:line="360" w:lineRule="auto"/>
              <w:rPr>
                <w:rFonts w:asciiTheme="minorEastAsia" w:hAnsiTheme="minorEastAsia" w:eastAsiaTheme="minorEastAsia"/>
                <w:kern w:val="0"/>
                <w:sz w:val="24"/>
                <w:highlight w:val="none"/>
              </w:rPr>
            </w:pPr>
            <w:r>
              <w:rPr>
                <w:rFonts w:hint="eastAsia" w:asciiTheme="minorEastAsia" w:hAnsiTheme="minorEastAsia" w:eastAsiaTheme="minorEastAsia"/>
                <w:kern w:val="0"/>
                <w:sz w:val="24"/>
                <w:highlight w:val="none"/>
              </w:rPr>
              <w:t>资格审查内容：</w:t>
            </w:r>
          </w:p>
          <w:p w14:paraId="31A02838">
            <w:pPr>
              <w:autoSpaceDE w:val="0"/>
              <w:autoSpaceDN w:val="0"/>
              <w:adjustRightInd w:val="0"/>
              <w:spacing w:line="360" w:lineRule="auto"/>
              <w:jc w:val="left"/>
              <w:rPr>
                <w:rFonts w:ascii="宋体" w:hAnsi="宋体" w:cs="宋体"/>
                <w:sz w:val="24"/>
                <w:highlight w:val="none"/>
              </w:rPr>
            </w:pPr>
            <w:r>
              <w:rPr>
                <w:rFonts w:hint="eastAsia" w:ascii="宋体" w:hAnsi="宋体" w:cs="宋体"/>
                <w:sz w:val="24"/>
                <w:highlight w:val="none"/>
              </w:rPr>
              <w:t>（1）报名人出具经法定代表人签字、公司盖章的“授权委托书”原件（“授权委托书”附法人及被授权人的身份证复印件）；</w:t>
            </w:r>
          </w:p>
          <w:p w14:paraId="144B9A35">
            <w:pPr>
              <w:autoSpaceDE w:val="0"/>
              <w:autoSpaceDN w:val="0"/>
              <w:adjustRightInd w:val="0"/>
              <w:spacing w:line="360" w:lineRule="auto"/>
              <w:jc w:val="left"/>
              <w:rPr>
                <w:rFonts w:hint="eastAsia" w:ascii="宋体" w:hAnsi="宋体" w:eastAsia="宋体" w:cs="宋体"/>
                <w:sz w:val="24"/>
                <w:highlight w:val="none"/>
              </w:rPr>
            </w:pPr>
            <w:r>
              <w:rPr>
                <w:rFonts w:hint="eastAsia" w:ascii="宋体" w:hAnsi="宋体" w:cs="宋体"/>
                <w:sz w:val="24"/>
                <w:highlight w:val="none"/>
              </w:rPr>
              <w:t>（2）营业执照副本原件、税务登记证副本原件、组织机构代码证副本原件（三证合一投标人仅需提供营业执照副本</w:t>
            </w:r>
            <w:r>
              <w:rPr>
                <w:rFonts w:hint="eastAsia" w:ascii="宋体" w:hAnsi="宋体" w:eastAsia="宋体" w:cs="宋体"/>
                <w:sz w:val="24"/>
                <w:highlight w:val="none"/>
              </w:rPr>
              <w:t>原件）；</w:t>
            </w:r>
          </w:p>
          <w:p w14:paraId="6FFFE8A1">
            <w:pPr>
              <w:autoSpaceDE w:val="0"/>
              <w:autoSpaceDN w:val="0"/>
              <w:adjustRightIn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rPr>
              <w:t>（3）开户许可证原件或基本存款账户信息；</w:t>
            </w:r>
          </w:p>
          <w:p w14:paraId="684F99A6">
            <w:pPr>
              <w:autoSpaceDE w:val="0"/>
              <w:autoSpaceDN w:val="0"/>
              <w:adjustRightInd w:val="0"/>
              <w:spacing w:line="360" w:lineRule="auto"/>
              <w:jc w:val="left"/>
              <w:rPr>
                <w:rFonts w:hint="eastAsia" w:asciiTheme="minorEastAsia" w:hAnsiTheme="minorEastAsia" w:eastAsiaTheme="minorEastAsia"/>
                <w:kern w:val="0"/>
                <w:sz w:val="24"/>
                <w:highlight w:val="none"/>
                <w:lang w:val="en-US" w:eastAsia="zh-CN"/>
              </w:rPr>
            </w:pPr>
            <w:r>
              <w:rPr>
                <w:rFonts w:hint="eastAsia" w:ascii="宋体" w:hAnsi="宋体" w:eastAsia="宋体" w:cs="宋体"/>
                <w:sz w:val="24"/>
                <w:highlight w:val="none"/>
                <w:lang w:val="en-US" w:eastAsia="zh-CN"/>
              </w:rPr>
              <w:t>（4）具有良好的商业信誉和健全的财务会计制度</w:t>
            </w:r>
            <w:r>
              <w:rPr>
                <w:rFonts w:hint="eastAsia" w:ascii="宋体" w:hAnsi="宋体" w:cs="宋体"/>
                <w:sz w:val="24"/>
                <w:highlight w:val="none"/>
                <w:lang w:val="en-US" w:eastAsia="zh-CN"/>
              </w:rPr>
              <w:t>（投标人须提供2024年度或2025年度会计师事务所出具的财务审计报告；若投标人为2025年度新设企业，可提交开户银行出具的资信证明，或提供具有良好商业信誉和健全财务会计制度的书面声明）；</w:t>
            </w:r>
          </w:p>
          <w:p w14:paraId="621FEC59">
            <w:pPr>
              <w:autoSpaceDE w:val="0"/>
              <w:autoSpaceDN w:val="0"/>
              <w:adjustRightIn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lang w:val="en-US" w:eastAsia="zh-CN"/>
              </w:rPr>
              <w:t>（5）具有履行合同所必需的设备和专业技术能力（提供书面声明）；</w:t>
            </w:r>
          </w:p>
          <w:p w14:paraId="0E6CC58C">
            <w:pPr>
              <w:autoSpaceDE w:val="0"/>
              <w:autoSpaceDN w:val="0"/>
              <w:adjustRightIn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lang w:val="en-US" w:eastAsia="zh-CN"/>
              </w:rPr>
              <w:t>（6）具有依法缴纳税收和社会保障资金的良好记录（</w:t>
            </w:r>
            <w:r>
              <w:rPr>
                <w:rFonts w:hint="eastAsia" w:ascii="宋体" w:hAnsi="宋体" w:cs="宋体"/>
                <w:sz w:val="24"/>
                <w:highlight w:val="none"/>
                <w:lang w:val="en-US" w:eastAsia="zh-CN"/>
              </w:rPr>
              <w:t>投标人</w:t>
            </w:r>
            <w:r>
              <w:rPr>
                <w:rFonts w:hint="eastAsia" w:ascii="宋体" w:hAnsi="宋体" w:eastAsia="宋体" w:cs="宋体"/>
                <w:sz w:val="24"/>
                <w:highlight w:val="none"/>
                <w:lang w:val="en-US" w:eastAsia="zh-CN"/>
              </w:rPr>
              <w:t>须提供近一年内任意一个月的纳税完税证明及单位社会保险缴费明细作为佐证材料；依法免税、无需缴纳社会保险的投标人，须提供税务、社保主管部门出具的有效免税、免缴证明文件；投标人也可自行出具具备依法缴纳税收和社会保障资金良好记录的书面声明）；</w:t>
            </w:r>
          </w:p>
          <w:p w14:paraId="00121057">
            <w:pPr>
              <w:autoSpaceDE w:val="0"/>
              <w:autoSpaceDN w:val="0"/>
              <w:adjustRightInd w:val="0"/>
              <w:spacing w:line="360" w:lineRule="auto"/>
              <w:jc w:val="left"/>
              <w:rPr>
                <w:rFonts w:hint="eastAsia" w:ascii="宋体" w:hAnsi="宋体" w:eastAsia="宋体" w:cs="宋体"/>
                <w:sz w:val="24"/>
                <w:highlight w:val="none"/>
              </w:rPr>
            </w:pPr>
            <w:r>
              <w:rPr>
                <w:rFonts w:hint="eastAsia" w:ascii="宋体" w:hAnsi="宋体" w:eastAsia="宋体" w:cs="宋体"/>
                <w:sz w:val="24"/>
                <w:highlight w:val="none"/>
                <w:lang w:val="en-US" w:eastAsia="zh-CN"/>
              </w:rPr>
              <w:t>（7）投标人参加本次采购活动前3年内，在经营活动中没有重大违法记录（提供书面声明）；</w:t>
            </w:r>
          </w:p>
          <w:p w14:paraId="3AC1EEC5">
            <w:pPr>
              <w:autoSpaceDE w:val="0"/>
              <w:autoSpaceDN w:val="0"/>
              <w:adjustRightInd w:val="0"/>
              <w:spacing w:line="360" w:lineRule="auto"/>
              <w:jc w:val="left"/>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8）信用要求：投标截止时间前，投标人未被列入“信用中国”网站失信被执行人名单、重大税收违法失信主体、政府采购严重违法失信行为记录名单；未被列入“中国政府采购网”政府采购严重违法失信行为信息记录名单</w:t>
            </w:r>
            <w:r>
              <w:rPr>
                <w:rFonts w:hint="eastAsia" w:ascii="宋体" w:hAnsi="宋体" w:cs="宋体"/>
                <w:sz w:val="24"/>
                <w:highlight w:val="none"/>
                <w:lang w:val="en-US" w:eastAsia="zh-CN"/>
              </w:rPr>
              <w:t>（提供相关信用截图）</w:t>
            </w:r>
            <w:r>
              <w:rPr>
                <w:rFonts w:hint="eastAsia" w:ascii="宋体" w:hAnsi="宋体" w:eastAsia="宋体" w:cs="宋体"/>
                <w:sz w:val="24"/>
                <w:highlight w:val="none"/>
                <w:lang w:val="en-US" w:eastAsia="zh-CN"/>
              </w:rPr>
              <w:t>；</w:t>
            </w:r>
          </w:p>
          <w:p w14:paraId="3C02486F">
            <w:pPr>
              <w:widowControl/>
              <w:spacing w:line="276" w:lineRule="auto"/>
              <w:rPr>
                <w:rFonts w:asciiTheme="minorEastAsia" w:hAnsiTheme="minorEastAsia" w:eastAsiaTheme="minorEastAsia"/>
                <w:kern w:val="0"/>
                <w:sz w:val="24"/>
              </w:rPr>
            </w:pPr>
            <w:r>
              <w:rPr>
                <w:rFonts w:hint="eastAsia" w:asciiTheme="minorEastAsia" w:hAnsiTheme="minorEastAsia" w:eastAsiaTheme="minorEastAsia"/>
                <w:b/>
                <w:kern w:val="0"/>
                <w:sz w:val="24"/>
              </w:rPr>
              <w:t>注：以上内容复印件均需装订在投标文件中。</w:t>
            </w:r>
          </w:p>
        </w:tc>
      </w:tr>
      <w:tr w14:paraId="4838A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1276" w:type="dxa"/>
            <w:vAlign w:val="center"/>
          </w:tcPr>
          <w:p w14:paraId="2AC9FEB7">
            <w:pPr>
              <w:pStyle w:val="29"/>
              <w:spacing w:line="276" w:lineRule="auto"/>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1.4.2</w:t>
            </w:r>
          </w:p>
        </w:tc>
        <w:tc>
          <w:tcPr>
            <w:tcW w:w="2239" w:type="dxa"/>
            <w:vAlign w:val="center"/>
          </w:tcPr>
          <w:p w14:paraId="1C75E14E">
            <w:pPr>
              <w:pStyle w:val="29"/>
              <w:spacing w:line="276" w:lineRule="auto"/>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是否</w:t>
            </w:r>
            <w:r>
              <w:rPr>
                <w:rFonts w:hint="eastAsia" w:asciiTheme="minorEastAsia" w:hAnsiTheme="minorEastAsia" w:eastAsiaTheme="minorEastAsia"/>
                <w:sz w:val="24"/>
                <w:szCs w:val="24"/>
              </w:rPr>
              <w:t>接受联合</w:t>
            </w:r>
            <w:r>
              <w:rPr>
                <w:rFonts w:hint="eastAsia" w:asciiTheme="minorEastAsia" w:hAnsiTheme="minorEastAsia" w:eastAsiaTheme="minorEastAsia"/>
                <w:color w:val="000000"/>
                <w:sz w:val="24"/>
                <w:szCs w:val="24"/>
              </w:rPr>
              <w:t>体</w:t>
            </w:r>
          </w:p>
        </w:tc>
        <w:tc>
          <w:tcPr>
            <w:tcW w:w="6006" w:type="dxa"/>
            <w:vAlign w:val="center"/>
          </w:tcPr>
          <w:p w14:paraId="61A91A3D">
            <w:pPr>
              <w:pStyle w:val="29"/>
              <w:spacing w:line="276" w:lineRule="auto"/>
              <w:rPr>
                <w:rFonts w:asciiTheme="minorEastAsia" w:hAnsiTheme="minorEastAsia" w:eastAsiaTheme="minorEastAsia"/>
                <w:sz w:val="24"/>
                <w:szCs w:val="24"/>
              </w:rPr>
            </w:pPr>
            <w:bookmarkStart w:id="20" w:name="EB338d1710caad422aadcd72056827988f"/>
            <w:bookmarkEnd w:id="20"/>
            <w:r>
              <w:rPr>
                <w:rFonts w:asciiTheme="minorEastAsia" w:hAnsiTheme="minorEastAsia" w:eastAsiaTheme="minorEastAsia"/>
                <w:sz w:val="24"/>
                <w:szCs w:val="24"/>
              </w:rPr>
              <w:fldChar w:fldCharType="begin"/>
            </w:r>
            <w:r>
              <w:rPr>
                <w:rFonts w:hint="eastAsia" w:asciiTheme="minorEastAsia" w:hAnsiTheme="minorEastAsia" w:eastAsiaTheme="minorEastAsia"/>
                <w:sz w:val="24"/>
                <w:szCs w:val="24"/>
              </w:rPr>
              <w:instrText xml:space="preserve">eq \o\ac(□,</w:instrText>
            </w:r>
            <w:r>
              <w:rPr>
                <w:rFonts w:hint="eastAsia" w:asciiTheme="minorEastAsia" w:hAnsiTheme="minorEastAsia" w:eastAsiaTheme="minorEastAsia"/>
                <w:position w:val="2"/>
                <w:sz w:val="24"/>
                <w:szCs w:val="24"/>
              </w:rPr>
              <w:instrText xml:space="preserve">√</w:instrText>
            </w:r>
            <w:r>
              <w:rPr>
                <w:rFonts w:hint="eastAsia" w:asciiTheme="minorEastAsia" w:hAnsiTheme="minorEastAsia" w:eastAsiaTheme="minorEastAsia"/>
                <w:sz w:val="24"/>
                <w:szCs w:val="24"/>
              </w:rPr>
              <w:instrText xml:space="preserve">)</w:instrText>
            </w:r>
            <w:r>
              <w:rPr>
                <w:rFonts w:asciiTheme="minorEastAsia" w:hAnsiTheme="minorEastAsia" w:eastAsiaTheme="minorEastAsia"/>
                <w:sz w:val="24"/>
                <w:szCs w:val="24"/>
              </w:rPr>
              <w:fldChar w:fldCharType="end"/>
            </w:r>
            <w:r>
              <w:rPr>
                <w:rFonts w:hint="eastAsia" w:asciiTheme="minorEastAsia" w:hAnsiTheme="minorEastAsia" w:eastAsiaTheme="minorEastAsia"/>
                <w:sz w:val="24"/>
                <w:szCs w:val="24"/>
              </w:rPr>
              <w:t>不接受</w:t>
            </w:r>
          </w:p>
          <w:p w14:paraId="43EC65B6">
            <w:pPr>
              <w:pStyle w:val="29"/>
              <w:spacing w:line="276" w:lineRule="auto"/>
              <w:rPr>
                <w:rFonts w:asciiTheme="minorEastAsia" w:hAnsiTheme="minorEastAsia" w:eastAsiaTheme="minorEastAsia"/>
                <w:color w:val="000000"/>
                <w:sz w:val="24"/>
                <w:szCs w:val="24"/>
              </w:rPr>
            </w:pPr>
            <w:r>
              <w:rPr>
                <w:rFonts w:hint="eastAsia" w:asciiTheme="minorEastAsia" w:hAnsiTheme="minorEastAsia" w:eastAsiaTheme="minorEastAsia"/>
                <w:sz w:val="24"/>
                <w:szCs w:val="24"/>
              </w:rPr>
              <w:t>□接受</w:t>
            </w:r>
          </w:p>
        </w:tc>
      </w:tr>
      <w:tr w14:paraId="62C6C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276" w:type="dxa"/>
            <w:vAlign w:val="center"/>
          </w:tcPr>
          <w:p w14:paraId="1A1E2F97">
            <w:pPr>
              <w:pStyle w:val="29"/>
              <w:spacing w:line="276" w:lineRule="auto"/>
              <w:jc w:val="center"/>
              <w:rPr>
                <w:rFonts w:asciiTheme="minorEastAsia" w:hAnsiTheme="minorEastAsia" w:eastAsiaTheme="minorEastAsia"/>
                <w:color w:val="000000"/>
                <w:sz w:val="24"/>
                <w:szCs w:val="24"/>
              </w:rPr>
            </w:pPr>
            <w:r>
              <w:rPr>
                <w:rFonts w:asciiTheme="minorEastAsia" w:hAnsiTheme="minorEastAsia" w:eastAsiaTheme="minorEastAsia"/>
                <w:color w:val="000000"/>
                <w:sz w:val="24"/>
                <w:szCs w:val="24"/>
              </w:rPr>
              <w:t>1.4.</w:t>
            </w:r>
            <w:r>
              <w:rPr>
                <w:rFonts w:hint="eastAsia" w:asciiTheme="minorEastAsia" w:hAnsiTheme="minorEastAsia" w:eastAsiaTheme="minorEastAsia"/>
                <w:color w:val="000000"/>
                <w:sz w:val="24"/>
                <w:szCs w:val="24"/>
              </w:rPr>
              <w:t>3</w:t>
            </w:r>
          </w:p>
        </w:tc>
        <w:tc>
          <w:tcPr>
            <w:tcW w:w="2239" w:type="dxa"/>
            <w:vAlign w:val="center"/>
          </w:tcPr>
          <w:p w14:paraId="50FA0ABE">
            <w:pPr>
              <w:pStyle w:val="29"/>
              <w:spacing w:line="276" w:lineRule="auto"/>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资格审查方式</w:t>
            </w:r>
          </w:p>
        </w:tc>
        <w:tc>
          <w:tcPr>
            <w:tcW w:w="6006" w:type="dxa"/>
            <w:vAlign w:val="center"/>
          </w:tcPr>
          <w:p w14:paraId="49EB5B2A">
            <w:pPr>
              <w:pStyle w:val="29"/>
              <w:spacing w:line="276" w:lineRule="auto"/>
              <w:rPr>
                <w:rFonts w:asciiTheme="minorEastAsia" w:hAnsiTheme="minorEastAsia" w:eastAsiaTheme="minorEastAsia"/>
                <w:color w:val="000000"/>
                <w:sz w:val="24"/>
                <w:szCs w:val="24"/>
              </w:rPr>
            </w:pPr>
            <w:r>
              <w:rPr>
                <w:rFonts w:asciiTheme="minorEastAsia" w:hAnsiTheme="minorEastAsia" w:eastAsiaTheme="minorEastAsia"/>
                <w:color w:val="000000"/>
                <w:sz w:val="24"/>
                <w:szCs w:val="24"/>
              </w:rPr>
              <w:t>资格后审</w:t>
            </w:r>
          </w:p>
        </w:tc>
      </w:tr>
      <w:tr w14:paraId="475F0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1276" w:type="dxa"/>
            <w:vAlign w:val="center"/>
          </w:tcPr>
          <w:p w14:paraId="3E3A53A7">
            <w:pPr>
              <w:pStyle w:val="29"/>
              <w:spacing w:line="276" w:lineRule="auto"/>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1.5</w:t>
            </w:r>
          </w:p>
        </w:tc>
        <w:tc>
          <w:tcPr>
            <w:tcW w:w="2239" w:type="dxa"/>
            <w:vAlign w:val="center"/>
          </w:tcPr>
          <w:p w14:paraId="4EED8988">
            <w:pPr>
              <w:pStyle w:val="29"/>
              <w:spacing w:line="276" w:lineRule="auto"/>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踏勘现场</w:t>
            </w:r>
          </w:p>
        </w:tc>
        <w:tc>
          <w:tcPr>
            <w:tcW w:w="6006" w:type="dxa"/>
            <w:vAlign w:val="center"/>
          </w:tcPr>
          <w:p w14:paraId="3D8B60ED">
            <w:pPr>
              <w:pStyle w:val="29"/>
              <w:spacing w:line="276" w:lineRule="auto"/>
              <w:rPr>
                <w:rFonts w:asciiTheme="minorEastAsia" w:hAnsiTheme="minorEastAsia" w:eastAsiaTheme="minorEastAsia"/>
                <w:sz w:val="24"/>
                <w:szCs w:val="24"/>
              </w:rPr>
            </w:pPr>
            <w:bookmarkStart w:id="21" w:name="EBca27caeb85e6440fba6aad4a7b2a8431"/>
            <w:bookmarkEnd w:id="21"/>
            <w:r>
              <w:rPr>
                <w:rFonts w:asciiTheme="minorEastAsia" w:hAnsiTheme="minorEastAsia" w:eastAsiaTheme="minorEastAsia"/>
                <w:sz w:val="24"/>
                <w:szCs w:val="24"/>
              </w:rPr>
              <w:fldChar w:fldCharType="begin"/>
            </w:r>
            <w:r>
              <w:rPr>
                <w:rFonts w:hint="eastAsia" w:asciiTheme="minorEastAsia" w:hAnsiTheme="minorEastAsia" w:eastAsiaTheme="minorEastAsia"/>
                <w:sz w:val="24"/>
                <w:szCs w:val="24"/>
              </w:rPr>
              <w:instrText xml:space="preserve">eq \o\ac(□,</w:instrText>
            </w:r>
            <w:r>
              <w:rPr>
                <w:rFonts w:hint="eastAsia" w:asciiTheme="minorEastAsia" w:hAnsiTheme="minorEastAsia" w:eastAsiaTheme="minorEastAsia"/>
                <w:position w:val="2"/>
                <w:sz w:val="24"/>
                <w:szCs w:val="24"/>
              </w:rPr>
              <w:instrText xml:space="preserve">√</w:instrText>
            </w:r>
            <w:r>
              <w:rPr>
                <w:rFonts w:hint="eastAsia" w:asciiTheme="minorEastAsia" w:hAnsiTheme="minorEastAsia" w:eastAsiaTheme="minorEastAsia"/>
                <w:sz w:val="24"/>
                <w:szCs w:val="24"/>
              </w:rPr>
              <w:instrText xml:space="preserve">)</w:instrText>
            </w:r>
            <w:r>
              <w:rPr>
                <w:rFonts w:asciiTheme="minorEastAsia" w:hAnsiTheme="minorEastAsia" w:eastAsiaTheme="minorEastAsia"/>
                <w:sz w:val="24"/>
                <w:szCs w:val="24"/>
              </w:rPr>
              <w:fldChar w:fldCharType="end"/>
            </w:r>
            <w:r>
              <w:rPr>
                <w:rFonts w:hint="eastAsia" w:asciiTheme="minorEastAsia" w:hAnsiTheme="minorEastAsia" w:eastAsiaTheme="minorEastAsia"/>
                <w:sz w:val="24"/>
                <w:szCs w:val="24"/>
              </w:rPr>
              <w:t>不组织</w:t>
            </w:r>
          </w:p>
          <w:p w14:paraId="5318AB96">
            <w:pPr>
              <w:pStyle w:val="29"/>
              <w:spacing w:line="276" w:lineRule="auto"/>
              <w:rPr>
                <w:rFonts w:asciiTheme="minorEastAsia" w:hAnsiTheme="minorEastAsia" w:eastAsiaTheme="minorEastAsia"/>
                <w:color w:val="000000"/>
                <w:sz w:val="24"/>
                <w:szCs w:val="24"/>
              </w:rPr>
            </w:pPr>
            <w:r>
              <w:rPr>
                <w:rFonts w:hint="eastAsia" w:asciiTheme="minorEastAsia" w:hAnsiTheme="minorEastAsia" w:eastAsiaTheme="minorEastAsia"/>
                <w:sz w:val="24"/>
                <w:szCs w:val="24"/>
              </w:rPr>
              <w:t>□组织</w:t>
            </w:r>
          </w:p>
        </w:tc>
      </w:tr>
      <w:tr w14:paraId="159B8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1276" w:type="dxa"/>
            <w:vAlign w:val="center"/>
          </w:tcPr>
          <w:p w14:paraId="290CAD00">
            <w:pPr>
              <w:pStyle w:val="29"/>
              <w:spacing w:line="276" w:lineRule="auto"/>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1.6</w:t>
            </w:r>
          </w:p>
        </w:tc>
        <w:tc>
          <w:tcPr>
            <w:tcW w:w="2239" w:type="dxa"/>
            <w:vAlign w:val="center"/>
          </w:tcPr>
          <w:p w14:paraId="27EDB975">
            <w:pPr>
              <w:pStyle w:val="29"/>
              <w:spacing w:line="276" w:lineRule="auto"/>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投标预备会</w:t>
            </w:r>
          </w:p>
        </w:tc>
        <w:tc>
          <w:tcPr>
            <w:tcW w:w="6006" w:type="dxa"/>
            <w:vAlign w:val="center"/>
          </w:tcPr>
          <w:p w14:paraId="2978A0E8">
            <w:pPr>
              <w:pStyle w:val="29"/>
              <w:spacing w:line="276" w:lineRule="auto"/>
              <w:rPr>
                <w:rFonts w:asciiTheme="minorEastAsia" w:hAnsiTheme="minorEastAsia" w:eastAsiaTheme="minorEastAsia"/>
                <w:sz w:val="24"/>
                <w:szCs w:val="24"/>
              </w:rPr>
            </w:pPr>
            <w:bookmarkStart w:id="22" w:name="EBa7a5c307f6554db1bb7f7baea2e0e321"/>
            <w:bookmarkEnd w:id="22"/>
            <w:r>
              <w:rPr>
                <w:rFonts w:asciiTheme="minorEastAsia" w:hAnsiTheme="minorEastAsia" w:eastAsiaTheme="minorEastAsia"/>
                <w:sz w:val="24"/>
                <w:szCs w:val="24"/>
              </w:rPr>
              <w:fldChar w:fldCharType="begin"/>
            </w:r>
            <w:r>
              <w:rPr>
                <w:rFonts w:hint="eastAsia" w:asciiTheme="minorEastAsia" w:hAnsiTheme="minorEastAsia" w:eastAsiaTheme="minorEastAsia"/>
                <w:sz w:val="24"/>
                <w:szCs w:val="24"/>
              </w:rPr>
              <w:instrText xml:space="preserve">eq \o\ac(□,</w:instrText>
            </w:r>
            <w:r>
              <w:rPr>
                <w:rFonts w:hint="eastAsia" w:asciiTheme="minorEastAsia" w:hAnsiTheme="minorEastAsia" w:eastAsiaTheme="minorEastAsia"/>
                <w:position w:val="2"/>
                <w:sz w:val="24"/>
                <w:szCs w:val="24"/>
              </w:rPr>
              <w:instrText xml:space="preserve">√</w:instrText>
            </w:r>
            <w:r>
              <w:rPr>
                <w:rFonts w:hint="eastAsia" w:asciiTheme="minorEastAsia" w:hAnsiTheme="minorEastAsia" w:eastAsiaTheme="minorEastAsia"/>
                <w:sz w:val="24"/>
                <w:szCs w:val="24"/>
              </w:rPr>
              <w:instrText xml:space="preserve">)</w:instrText>
            </w:r>
            <w:r>
              <w:rPr>
                <w:rFonts w:asciiTheme="minorEastAsia" w:hAnsiTheme="minorEastAsia" w:eastAsiaTheme="minorEastAsia"/>
                <w:sz w:val="24"/>
                <w:szCs w:val="24"/>
              </w:rPr>
              <w:fldChar w:fldCharType="end"/>
            </w:r>
            <w:r>
              <w:rPr>
                <w:rFonts w:hint="eastAsia" w:asciiTheme="minorEastAsia" w:hAnsiTheme="minorEastAsia" w:eastAsiaTheme="minorEastAsia"/>
                <w:sz w:val="24"/>
                <w:szCs w:val="24"/>
              </w:rPr>
              <w:t>不召开</w:t>
            </w:r>
          </w:p>
          <w:p w14:paraId="5A8A79BE">
            <w:pPr>
              <w:pStyle w:val="29"/>
              <w:spacing w:line="276" w:lineRule="auto"/>
              <w:rPr>
                <w:rFonts w:asciiTheme="minorEastAsia" w:hAnsiTheme="minorEastAsia" w:eastAsiaTheme="minorEastAsia"/>
                <w:color w:val="000000"/>
                <w:sz w:val="24"/>
                <w:szCs w:val="24"/>
              </w:rPr>
            </w:pPr>
            <w:r>
              <w:rPr>
                <w:rFonts w:hint="eastAsia" w:asciiTheme="minorEastAsia" w:hAnsiTheme="minorEastAsia" w:eastAsiaTheme="minorEastAsia"/>
                <w:sz w:val="24"/>
                <w:szCs w:val="24"/>
              </w:rPr>
              <w:t>□召开</w:t>
            </w:r>
          </w:p>
        </w:tc>
      </w:tr>
      <w:tr w14:paraId="1C598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1276" w:type="dxa"/>
            <w:vAlign w:val="center"/>
          </w:tcPr>
          <w:p w14:paraId="2D1BE1A3">
            <w:pPr>
              <w:pStyle w:val="29"/>
              <w:spacing w:line="276" w:lineRule="auto"/>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1.7</w:t>
            </w:r>
          </w:p>
        </w:tc>
        <w:tc>
          <w:tcPr>
            <w:tcW w:w="2239" w:type="dxa"/>
            <w:vAlign w:val="center"/>
          </w:tcPr>
          <w:p w14:paraId="1B803C30">
            <w:pPr>
              <w:pStyle w:val="29"/>
              <w:spacing w:line="276" w:lineRule="auto"/>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偏  离</w:t>
            </w:r>
          </w:p>
        </w:tc>
        <w:tc>
          <w:tcPr>
            <w:tcW w:w="6006" w:type="dxa"/>
            <w:vAlign w:val="center"/>
          </w:tcPr>
          <w:p w14:paraId="21577836">
            <w:pPr>
              <w:pStyle w:val="29"/>
              <w:spacing w:line="276" w:lineRule="auto"/>
              <w:rPr>
                <w:rFonts w:asciiTheme="minorEastAsia" w:hAnsiTheme="minorEastAsia" w:eastAsiaTheme="minorEastAsia"/>
                <w:sz w:val="24"/>
                <w:szCs w:val="24"/>
              </w:rPr>
            </w:pPr>
            <w:bookmarkStart w:id="23" w:name="EBf4b2f6b668c74111870b1f5236ee6584"/>
            <w:bookmarkEnd w:id="23"/>
            <w:r>
              <w:rPr>
                <w:rFonts w:asciiTheme="minorEastAsia" w:hAnsiTheme="minorEastAsia" w:eastAsiaTheme="minorEastAsia"/>
                <w:sz w:val="24"/>
                <w:szCs w:val="24"/>
              </w:rPr>
              <w:t>不允许；</w:t>
            </w:r>
          </w:p>
        </w:tc>
      </w:tr>
      <w:tr w14:paraId="613C0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6" w:type="dxa"/>
            <w:vAlign w:val="center"/>
          </w:tcPr>
          <w:p w14:paraId="1D35E6A8">
            <w:pPr>
              <w:widowControl/>
              <w:spacing w:before="100" w:beforeAutospacing="1" w:after="100" w:afterAutospacing="1" w:line="276" w:lineRule="auto"/>
              <w:jc w:val="center"/>
              <w:rPr>
                <w:rFonts w:asciiTheme="minorEastAsia" w:hAnsiTheme="minorEastAsia" w:eastAsiaTheme="minorEastAsia"/>
                <w:color w:val="000000"/>
                <w:sz w:val="24"/>
              </w:rPr>
            </w:pPr>
            <w:r>
              <w:rPr>
                <w:rFonts w:asciiTheme="minorEastAsia" w:hAnsiTheme="minorEastAsia" w:eastAsiaTheme="minorEastAsia"/>
                <w:color w:val="000000"/>
                <w:sz w:val="24"/>
              </w:rPr>
              <w:t>2.</w:t>
            </w:r>
            <w:r>
              <w:rPr>
                <w:rFonts w:hint="eastAsia" w:asciiTheme="minorEastAsia" w:hAnsiTheme="minorEastAsia" w:eastAsiaTheme="minorEastAsia"/>
                <w:color w:val="000000"/>
                <w:sz w:val="24"/>
              </w:rPr>
              <w:t>1</w:t>
            </w:r>
            <w:r>
              <w:rPr>
                <w:rFonts w:asciiTheme="minorEastAsia" w:hAnsiTheme="minorEastAsia" w:eastAsiaTheme="minorEastAsia"/>
                <w:color w:val="000000"/>
                <w:sz w:val="24"/>
              </w:rPr>
              <w:t>.1</w:t>
            </w:r>
          </w:p>
        </w:tc>
        <w:tc>
          <w:tcPr>
            <w:tcW w:w="2239" w:type="dxa"/>
            <w:vAlign w:val="center"/>
          </w:tcPr>
          <w:p w14:paraId="780E05B1">
            <w:pPr>
              <w:widowControl/>
              <w:tabs>
                <w:tab w:val="left" w:pos="2446"/>
              </w:tabs>
              <w:spacing w:line="276" w:lineRule="auto"/>
              <w:rPr>
                <w:rFonts w:asciiTheme="minorEastAsia" w:hAnsiTheme="minorEastAsia" w:eastAsiaTheme="minorEastAsia"/>
                <w:color w:val="000000"/>
                <w:sz w:val="24"/>
              </w:rPr>
            </w:pPr>
            <w:r>
              <w:rPr>
                <w:rFonts w:hint="eastAsia" w:asciiTheme="minorEastAsia" w:hAnsiTheme="minorEastAsia" w:eastAsiaTheme="minorEastAsia"/>
                <w:color w:val="000000"/>
                <w:sz w:val="24"/>
              </w:rPr>
              <w:t>投标人</w:t>
            </w:r>
            <w:r>
              <w:rPr>
                <w:rFonts w:asciiTheme="minorEastAsia" w:hAnsiTheme="minorEastAsia" w:eastAsiaTheme="minorEastAsia"/>
                <w:color w:val="000000"/>
                <w:sz w:val="24"/>
              </w:rPr>
              <w:t>要求澄清招标文件的截止时间</w:t>
            </w:r>
          </w:p>
        </w:tc>
        <w:tc>
          <w:tcPr>
            <w:tcW w:w="6006" w:type="dxa"/>
            <w:vAlign w:val="center"/>
          </w:tcPr>
          <w:p w14:paraId="48C06CB1">
            <w:pPr>
              <w:widowControl/>
              <w:spacing w:line="276" w:lineRule="auto"/>
              <w:rPr>
                <w:rFonts w:asciiTheme="minorEastAsia" w:hAnsiTheme="minorEastAsia" w:eastAsiaTheme="minorEastAsia"/>
                <w:color w:val="000000"/>
                <w:sz w:val="24"/>
              </w:rPr>
            </w:pPr>
            <w:r>
              <w:rPr>
                <w:rFonts w:hint="eastAsia" w:asciiTheme="minorEastAsia" w:hAnsiTheme="minorEastAsia" w:eastAsiaTheme="minorEastAsia"/>
                <w:color w:val="000000"/>
                <w:sz w:val="24"/>
              </w:rPr>
              <w:t>投标截止时间</w:t>
            </w:r>
            <w:r>
              <w:rPr>
                <w:rFonts w:asciiTheme="minorEastAsia" w:hAnsiTheme="minorEastAsia" w:eastAsiaTheme="minorEastAsia"/>
                <w:color w:val="000000"/>
                <w:sz w:val="24"/>
              </w:rPr>
              <w:t>15</w:t>
            </w:r>
            <w:r>
              <w:rPr>
                <w:rFonts w:hint="eastAsia" w:asciiTheme="minorEastAsia" w:hAnsiTheme="minorEastAsia" w:eastAsiaTheme="minorEastAsia"/>
                <w:color w:val="000000"/>
                <w:sz w:val="24"/>
              </w:rPr>
              <w:t>日前</w:t>
            </w:r>
          </w:p>
        </w:tc>
      </w:tr>
      <w:tr w14:paraId="194BC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1276" w:type="dxa"/>
            <w:vAlign w:val="center"/>
          </w:tcPr>
          <w:p w14:paraId="3CE86C12">
            <w:pPr>
              <w:widowControl/>
              <w:spacing w:before="100" w:beforeAutospacing="1" w:after="100" w:afterAutospacing="1" w:line="276" w:lineRule="auto"/>
              <w:jc w:val="center"/>
              <w:rPr>
                <w:rFonts w:asciiTheme="minorEastAsia" w:hAnsiTheme="minorEastAsia" w:eastAsiaTheme="minorEastAsia"/>
                <w:color w:val="000000"/>
                <w:sz w:val="24"/>
              </w:rPr>
            </w:pPr>
            <w:r>
              <w:rPr>
                <w:rFonts w:asciiTheme="minorEastAsia" w:hAnsiTheme="minorEastAsia" w:eastAsiaTheme="minorEastAsia"/>
                <w:color w:val="000000"/>
                <w:sz w:val="24"/>
              </w:rPr>
              <w:t>2.</w:t>
            </w:r>
            <w:r>
              <w:rPr>
                <w:rFonts w:hint="eastAsia" w:asciiTheme="minorEastAsia" w:hAnsiTheme="minorEastAsia" w:eastAsiaTheme="minorEastAsia"/>
                <w:color w:val="000000"/>
                <w:sz w:val="24"/>
              </w:rPr>
              <w:t>1</w:t>
            </w:r>
            <w:r>
              <w:rPr>
                <w:rFonts w:asciiTheme="minorEastAsia" w:hAnsiTheme="minorEastAsia" w:eastAsiaTheme="minorEastAsia"/>
                <w:color w:val="000000"/>
                <w:sz w:val="24"/>
              </w:rPr>
              <w:t>.2</w:t>
            </w:r>
          </w:p>
        </w:tc>
        <w:tc>
          <w:tcPr>
            <w:tcW w:w="2239" w:type="dxa"/>
            <w:vAlign w:val="center"/>
          </w:tcPr>
          <w:p w14:paraId="50A7FA20">
            <w:pPr>
              <w:widowControl/>
              <w:tabs>
                <w:tab w:val="left" w:pos="2446"/>
              </w:tabs>
              <w:spacing w:line="276" w:lineRule="auto"/>
              <w:rPr>
                <w:rFonts w:asciiTheme="minorEastAsia" w:hAnsiTheme="minorEastAsia" w:eastAsiaTheme="minorEastAsia"/>
                <w:color w:val="000000"/>
                <w:sz w:val="24"/>
                <w:highlight w:val="none"/>
              </w:rPr>
            </w:pPr>
            <w:r>
              <w:rPr>
                <w:rFonts w:hint="eastAsia" w:asciiTheme="minorEastAsia" w:hAnsiTheme="minorEastAsia" w:eastAsiaTheme="minorEastAsia"/>
                <w:color w:val="000000"/>
                <w:sz w:val="24"/>
                <w:highlight w:val="none"/>
              </w:rPr>
              <w:t>投标截止时间</w:t>
            </w:r>
          </w:p>
        </w:tc>
        <w:tc>
          <w:tcPr>
            <w:tcW w:w="6006" w:type="dxa"/>
            <w:vAlign w:val="center"/>
          </w:tcPr>
          <w:p w14:paraId="1AB53C78">
            <w:pPr>
              <w:widowControl/>
              <w:spacing w:line="276" w:lineRule="auto"/>
              <w:rPr>
                <w:rFonts w:asciiTheme="minorEastAsia" w:hAnsiTheme="minorEastAsia" w:eastAsiaTheme="minorEastAsia"/>
                <w:color w:val="000000"/>
                <w:sz w:val="24"/>
                <w:highlight w:val="none"/>
              </w:rPr>
            </w:pPr>
            <w:r>
              <w:rPr>
                <w:rFonts w:hint="eastAsia" w:asciiTheme="minorEastAsia" w:hAnsiTheme="minorEastAsia" w:eastAsiaTheme="minorEastAsia"/>
                <w:color w:val="000000"/>
                <w:sz w:val="24"/>
                <w:highlight w:val="none"/>
              </w:rPr>
              <w:t>202</w:t>
            </w:r>
            <w:r>
              <w:rPr>
                <w:rFonts w:hint="eastAsia" w:asciiTheme="minorEastAsia" w:hAnsiTheme="minorEastAsia" w:eastAsiaTheme="minorEastAsia"/>
                <w:color w:val="000000"/>
                <w:sz w:val="24"/>
                <w:highlight w:val="none"/>
                <w:lang w:val="en-US" w:eastAsia="zh-CN"/>
              </w:rPr>
              <w:t xml:space="preserve">6 </w:t>
            </w:r>
            <w:r>
              <w:rPr>
                <w:rFonts w:hint="eastAsia" w:asciiTheme="minorEastAsia" w:hAnsiTheme="minorEastAsia" w:eastAsiaTheme="minorEastAsia"/>
                <w:color w:val="000000"/>
                <w:sz w:val="24"/>
                <w:highlight w:val="none"/>
              </w:rPr>
              <w:t>年</w:t>
            </w:r>
            <w:r>
              <w:rPr>
                <w:rFonts w:hint="eastAsia" w:asciiTheme="minorEastAsia" w:hAnsiTheme="minorEastAsia" w:eastAsiaTheme="minorEastAsia"/>
                <w:color w:val="000000"/>
                <w:sz w:val="24"/>
                <w:highlight w:val="none"/>
                <w:lang w:val="en-US" w:eastAsia="zh-CN"/>
              </w:rPr>
              <w:t xml:space="preserve"> 08 </w:t>
            </w:r>
            <w:r>
              <w:rPr>
                <w:rFonts w:hint="eastAsia" w:asciiTheme="minorEastAsia" w:hAnsiTheme="minorEastAsia" w:eastAsiaTheme="minorEastAsia"/>
                <w:color w:val="000000"/>
                <w:sz w:val="24"/>
                <w:highlight w:val="none"/>
              </w:rPr>
              <w:t>月</w:t>
            </w:r>
            <w:r>
              <w:rPr>
                <w:rFonts w:hint="eastAsia" w:asciiTheme="minorEastAsia" w:hAnsiTheme="minorEastAsia" w:eastAsiaTheme="minorEastAsia"/>
                <w:color w:val="000000"/>
                <w:sz w:val="24"/>
                <w:highlight w:val="none"/>
                <w:lang w:val="en-US" w:eastAsia="zh-CN"/>
              </w:rPr>
              <w:t xml:space="preserve"> 25 </w:t>
            </w:r>
            <w:r>
              <w:rPr>
                <w:rFonts w:hint="eastAsia" w:asciiTheme="minorEastAsia" w:hAnsiTheme="minorEastAsia" w:eastAsiaTheme="minorEastAsia"/>
                <w:color w:val="000000"/>
                <w:sz w:val="24"/>
                <w:highlight w:val="none"/>
              </w:rPr>
              <w:t>日上午</w:t>
            </w:r>
            <w:r>
              <w:rPr>
                <w:rFonts w:hint="eastAsia" w:asciiTheme="minorEastAsia" w:hAnsiTheme="minorEastAsia" w:eastAsiaTheme="minorEastAsia"/>
                <w:color w:val="000000"/>
                <w:sz w:val="24"/>
                <w:highlight w:val="none"/>
                <w:lang w:val="en-US" w:eastAsia="zh-CN"/>
              </w:rPr>
              <w:t xml:space="preserve"> 09 </w:t>
            </w:r>
            <w:r>
              <w:rPr>
                <w:rFonts w:hint="eastAsia" w:asciiTheme="minorEastAsia" w:hAnsiTheme="minorEastAsia" w:eastAsiaTheme="minorEastAsia"/>
                <w:color w:val="000000"/>
                <w:sz w:val="24"/>
                <w:highlight w:val="none"/>
              </w:rPr>
              <w:t>时</w:t>
            </w:r>
            <w:r>
              <w:rPr>
                <w:rFonts w:hint="eastAsia" w:asciiTheme="minorEastAsia" w:hAnsiTheme="minorEastAsia" w:eastAsiaTheme="minorEastAsia"/>
                <w:color w:val="000000"/>
                <w:sz w:val="24"/>
                <w:highlight w:val="none"/>
                <w:lang w:val="en-US" w:eastAsia="zh-CN"/>
              </w:rPr>
              <w:t xml:space="preserve"> 30 </w:t>
            </w:r>
            <w:r>
              <w:rPr>
                <w:rFonts w:hint="eastAsia" w:asciiTheme="minorEastAsia" w:hAnsiTheme="minorEastAsia" w:eastAsiaTheme="minorEastAsia"/>
                <w:color w:val="000000"/>
                <w:sz w:val="24"/>
                <w:highlight w:val="none"/>
              </w:rPr>
              <w:t>分（北京时间）</w:t>
            </w:r>
          </w:p>
        </w:tc>
      </w:tr>
      <w:tr w14:paraId="233F7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1276" w:type="dxa"/>
            <w:vAlign w:val="center"/>
          </w:tcPr>
          <w:p w14:paraId="7ADB11E4">
            <w:pPr>
              <w:widowControl/>
              <w:spacing w:before="100" w:beforeAutospacing="1" w:after="100" w:afterAutospacing="1" w:line="276" w:lineRule="auto"/>
              <w:jc w:val="center"/>
              <w:rPr>
                <w:rFonts w:asciiTheme="minorEastAsia" w:hAnsiTheme="minorEastAsia" w:eastAsiaTheme="minorEastAsia"/>
                <w:color w:val="000000"/>
                <w:sz w:val="24"/>
              </w:rPr>
            </w:pPr>
            <w:r>
              <w:rPr>
                <w:rFonts w:asciiTheme="minorEastAsia" w:hAnsiTheme="minorEastAsia" w:eastAsiaTheme="minorEastAsia"/>
                <w:color w:val="000000"/>
                <w:sz w:val="24"/>
              </w:rPr>
              <w:t>2.</w:t>
            </w:r>
            <w:r>
              <w:rPr>
                <w:rFonts w:hint="eastAsia" w:asciiTheme="minorEastAsia" w:hAnsiTheme="minorEastAsia" w:eastAsiaTheme="minorEastAsia"/>
                <w:color w:val="000000"/>
                <w:sz w:val="24"/>
              </w:rPr>
              <w:t>1</w:t>
            </w:r>
            <w:r>
              <w:rPr>
                <w:rFonts w:asciiTheme="minorEastAsia" w:hAnsiTheme="minorEastAsia" w:eastAsiaTheme="minorEastAsia"/>
                <w:color w:val="000000"/>
                <w:sz w:val="24"/>
              </w:rPr>
              <w:t>.3</w:t>
            </w:r>
          </w:p>
        </w:tc>
        <w:tc>
          <w:tcPr>
            <w:tcW w:w="2239" w:type="dxa"/>
            <w:vAlign w:val="center"/>
          </w:tcPr>
          <w:p w14:paraId="5B0DD9E3">
            <w:pPr>
              <w:widowControl/>
              <w:tabs>
                <w:tab w:val="left" w:pos="2446"/>
              </w:tabs>
              <w:spacing w:line="276" w:lineRule="auto"/>
              <w:rPr>
                <w:rFonts w:asciiTheme="minorEastAsia" w:hAnsiTheme="minorEastAsia" w:eastAsiaTheme="minorEastAsia"/>
                <w:color w:val="000000"/>
                <w:sz w:val="24"/>
              </w:rPr>
            </w:pPr>
            <w:r>
              <w:rPr>
                <w:rFonts w:hint="eastAsia" w:asciiTheme="minorEastAsia" w:hAnsiTheme="minorEastAsia" w:eastAsiaTheme="minorEastAsia"/>
                <w:color w:val="000000"/>
                <w:sz w:val="24"/>
              </w:rPr>
              <w:t>投标人</w:t>
            </w:r>
            <w:r>
              <w:rPr>
                <w:rFonts w:asciiTheme="minorEastAsia" w:hAnsiTheme="minorEastAsia" w:eastAsiaTheme="minorEastAsia"/>
                <w:color w:val="000000"/>
                <w:sz w:val="24"/>
              </w:rPr>
              <w:t>确认收到招标文件澄清的时间</w:t>
            </w:r>
          </w:p>
        </w:tc>
        <w:tc>
          <w:tcPr>
            <w:tcW w:w="6006" w:type="dxa"/>
            <w:vAlign w:val="center"/>
          </w:tcPr>
          <w:p w14:paraId="0F7C42D5">
            <w:pPr>
              <w:widowControl/>
              <w:spacing w:line="276" w:lineRule="auto"/>
              <w:rPr>
                <w:rFonts w:asciiTheme="minorEastAsia" w:hAnsiTheme="minorEastAsia" w:eastAsiaTheme="minorEastAsia"/>
                <w:color w:val="000000"/>
                <w:sz w:val="24"/>
              </w:rPr>
            </w:pPr>
            <w:r>
              <w:rPr>
                <w:rFonts w:hint="eastAsia" w:asciiTheme="minorEastAsia" w:hAnsiTheme="minorEastAsia" w:eastAsiaTheme="minorEastAsia"/>
                <w:color w:val="000000"/>
                <w:sz w:val="24"/>
              </w:rPr>
              <w:t>澄清文件发出后</w:t>
            </w:r>
            <w:r>
              <w:rPr>
                <w:rFonts w:asciiTheme="minorEastAsia" w:hAnsiTheme="minorEastAsia" w:eastAsiaTheme="minorEastAsia"/>
                <w:color w:val="000000"/>
                <w:sz w:val="24"/>
              </w:rPr>
              <w:t>24</w:t>
            </w:r>
            <w:r>
              <w:rPr>
                <w:rFonts w:hint="eastAsia" w:asciiTheme="minorEastAsia" w:hAnsiTheme="minorEastAsia" w:eastAsiaTheme="minorEastAsia"/>
                <w:color w:val="000000"/>
                <w:sz w:val="24"/>
              </w:rPr>
              <w:t>小时以内</w:t>
            </w:r>
          </w:p>
        </w:tc>
      </w:tr>
      <w:tr w14:paraId="24C06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6" w:type="dxa"/>
            <w:vAlign w:val="center"/>
          </w:tcPr>
          <w:p w14:paraId="20F1A475">
            <w:pPr>
              <w:widowControl/>
              <w:spacing w:before="100" w:beforeAutospacing="1" w:after="100" w:afterAutospacing="1" w:line="276" w:lineRule="auto"/>
              <w:jc w:val="center"/>
              <w:rPr>
                <w:rFonts w:asciiTheme="minorEastAsia" w:hAnsiTheme="minorEastAsia" w:eastAsiaTheme="minorEastAsia"/>
                <w:color w:val="000000"/>
                <w:sz w:val="24"/>
              </w:rPr>
            </w:pPr>
            <w:r>
              <w:rPr>
                <w:rFonts w:asciiTheme="minorEastAsia" w:hAnsiTheme="minorEastAsia" w:eastAsiaTheme="minorEastAsia"/>
                <w:color w:val="000000"/>
                <w:sz w:val="24"/>
              </w:rPr>
              <w:t>2.</w:t>
            </w:r>
            <w:r>
              <w:rPr>
                <w:rFonts w:hint="eastAsia" w:asciiTheme="minorEastAsia" w:hAnsiTheme="minorEastAsia" w:eastAsiaTheme="minorEastAsia"/>
                <w:color w:val="000000"/>
                <w:sz w:val="24"/>
              </w:rPr>
              <w:t>1</w:t>
            </w:r>
            <w:r>
              <w:rPr>
                <w:rFonts w:asciiTheme="minorEastAsia" w:hAnsiTheme="minorEastAsia" w:eastAsiaTheme="minorEastAsia"/>
                <w:color w:val="000000"/>
                <w:sz w:val="24"/>
              </w:rPr>
              <w:t>.</w:t>
            </w:r>
            <w:r>
              <w:rPr>
                <w:rFonts w:hint="eastAsia" w:asciiTheme="minorEastAsia" w:hAnsiTheme="minorEastAsia" w:eastAsiaTheme="minorEastAsia"/>
                <w:color w:val="000000"/>
                <w:sz w:val="24"/>
              </w:rPr>
              <w:t>4</w:t>
            </w:r>
          </w:p>
        </w:tc>
        <w:tc>
          <w:tcPr>
            <w:tcW w:w="2239" w:type="dxa"/>
            <w:vAlign w:val="center"/>
          </w:tcPr>
          <w:p w14:paraId="377185BE">
            <w:pPr>
              <w:widowControl/>
              <w:tabs>
                <w:tab w:val="left" w:pos="2446"/>
              </w:tabs>
              <w:spacing w:line="276" w:lineRule="auto"/>
              <w:rPr>
                <w:rFonts w:asciiTheme="minorEastAsia" w:hAnsiTheme="minorEastAsia" w:eastAsiaTheme="minorEastAsia"/>
                <w:color w:val="000000"/>
                <w:sz w:val="24"/>
              </w:rPr>
            </w:pPr>
            <w:r>
              <w:rPr>
                <w:rFonts w:asciiTheme="minorEastAsia" w:hAnsiTheme="minorEastAsia" w:eastAsiaTheme="minorEastAsia"/>
                <w:color w:val="000000"/>
                <w:sz w:val="24"/>
              </w:rPr>
              <w:t>投标人确认收到招标文件修改的时间</w:t>
            </w:r>
          </w:p>
        </w:tc>
        <w:tc>
          <w:tcPr>
            <w:tcW w:w="6006" w:type="dxa"/>
            <w:vAlign w:val="center"/>
          </w:tcPr>
          <w:p w14:paraId="1C8FE4AE">
            <w:pPr>
              <w:widowControl/>
              <w:spacing w:line="276" w:lineRule="auto"/>
              <w:rPr>
                <w:rFonts w:asciiTheme="minorEastAsia" w:hAnsiTheme="minorEastAsia" w:eastAsiaTheme="minorEastAsia"/>
                <w:color w:val="000000"/>
                <w:sz w:val="24"/>
              </w:rPr>
            </w:pPr>
            <w:r>
              <w:rPr>
                <w:rFonts w:hint="eastAsia" w:asciiTheme="minorEastAsia" w:hAnsiTheme="minorEastAsia" w:eastAsiaTheme="minorEastAsia"/>
                <w:color w:val="000000"/>
                <w:sz w:val="24"/>
              </w:rPr>
              <w:t>修改文件发出后</w:t>
            </w:r>
            <w:r>
              <w:rPr>
                <w:rFonts w:asciiTheme="minorEastAsia" w:hAnsiTheme="minorEastAsia" w:eastAsiaTheme="minorEastAsia"/>
                <w:color w:val="000000"/>
                <w:sz w:val="24"/>
              </w:rPr>
              <w:t>24</w:t>
            </w:r>
            <w:r>
              <w:rPr>
                <w:rFonts w:hint="eastAsia" w:asciiTheme="minorEastAsia" w:hAnsiTheme="minorEastAsia" w:eastAsiaTheme="minorEastAsia"/>
                <w:color w:val="000000"/>
                <w:sz w:val="24"/>
              </w:rPr>
              <w:t>小时以内</w:t>
            </w:r>
          </w:p>
        </w:tc>
      </w:tr>
      <w:tr w14:paraId="66539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6" w:type="dxa"/>
            <w:vAlign w:val="center"/>
          </w:tcPr>
          <w:p w14:paraId="70762D5F">
            <w:pPr>
              <w:spacing w:line="276" w:lineRule="auto"/>
              <w:jc w:val="center"/>
              <w:rPr>
                <w:rFonts w:asciiTheme="minorEastAsia" w:hAnsiTheme="minorEastAsia" w:eastAsiaTheme="minorEastAsia"/>
                <w:color w:val="000000"/>
                <w:sz w:val="24"/>
              </w:rPr>
            </w:pPr>
            <w:r>
              <w:rPr>
                <w:rFonts w:asciiTheme="minorEastAsia" w:hAnsiTheme="minorEastAsia" w:eastAsiaTheme="minorEastAsia"/>
                <w:color w:val="000000"/>
                <w:sz w:val="24"/>
              </w:rPr>
              <w:t>3.1</w:t>
            </w:r>
          </w:p>
        </w:tc>
        <w:tc>
          <w:tcPr>
            <w:tcW w:w="2239" w:type="dxa"/>
            <w:vAlign w:val="center"/>
          </w:tcPr>
          <w:p w14:paraId="669F6509">
            <w:pPr>
              <w:spacing w:line="276" w:lineRule="auto"/>
              <w:rPr>
                <w:rFonts w:asciiTheme="minorEastAsia" w:hAnsiTheme="minorEastAsia" w:eastAsiaTheme="minorEastAsia"/>
                <w:color w:val="000000"/>
                <w:sz w:val="24"/>
              </w:rPr>
            </w:pPr>
            <w:r>
              <w:rPr>
                <w:rFonts w:asciiTheme="minorEastAsia" w:hAnsiTheme="minorEastAsia" w:eastAsiaTheme="minorEastAsia"/>
                <w:color w:val="000000"/>
                <w:sz w:val="24"/>
              </w:rPr>
              <w:t>构成投标文件的其他材料</w:t>
            </w:r>
          </w:p>
        </w:tc>
        <w:tc>
          <w:tcPr>
            <w:tcW w:w="6006" w:type="dxa"/>
            <w:vAlign w:val="center"/>
          </w:tcPr>
          <w:p w14:paraId="23786BE7">
            <w:pPr>
              <w:spacing w:line="276" w:lineRule="auto"/>
              <w:rPr>
                <w:rFonts w:asciiTheme="minorEastAsia" w:hAnsiTheme="minorEastAsia" w:eastAsiaTheme="minorEastAsia"/>
                <w:color w:val="000000"/>
                <w:sz w:val="24"/>
              </w:rPr>
            </w:pPr>
            <w:r>
              <w:rPr>
                <w:rFonts w:asciiTheme="minorEastAsia" w:hAnsiTheme="minorEastAsia" w:eastAsiaTheme="minorEastAsia"/>
                <w:color w:val="000000"/>
                <w:sz w:val="24"/>
              </w:rPr>
              <w:t>与投标文件</w:t>
            </w:r>
            <w:r>
              <w:rPr>
                <w:rFonts w:hint="eastAsia" w:asciiTheme="minorEastAsia" w:hAnsiTheme="minorEastAsia" w:eastAsiaTheme="minorEastAsia"/>
                <w:color w:val="000000"/>
                <w:sz w:val="24"/>
              </w:rPr>
              <w:t>纸质</w:t>
            </w:r>
            <w:r>
              <w:rPr>
                <w:rFonts w:asciiTheme="minorEastAsia" w:hAnsiTheme="minorEastAsia" w:eastAsiaTheme="minorEastAsia"/>
                <w:color w:val="000000"/>
                <w:sz w:val="24"/>
              </w:rPr>
              <w:t>版相同内容的电子版投标文件。</w:t>
            </w:r>
          </w:p>
        </w:tc>
      </w:tr>
      <w:tr w14:paraId="6A917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4" w:hRule="atLeast"/>
          <w:jc w:val="center"/>
        </w:trPr>
        <w:tc>
          <w:tcPr>
            <w:tcW w:w="1276" w:type="dxa"/>
            <w:vAlign w:val="center"/>
          </w:tcPr>
          <w:p w14:paraId="2C9ECF07">
            <w:pPr>
              <w:widowControl/>
              <w:spacing w:before="100" w:beforeAutospacing="1" w:after="100" w:afterAutospacing="1" w:line="276" w:lineRule="auto"/>
              <w:jc w:val="center"/>
              <w:rPr>
                <w:rFonts w:asciiTheme="minorEastAsia" w:hAnsiTheme="minorEastAsia" w:eastAsiaTheme="minorEastAsia"/>
                <w:color w:val="000000"/>
                <w:sz w:val="24"/>
              </w:rPr>
            </w:pPr>
            <w:r>
              <w:rPr>
                <w:rFonts w:asciiTheme="minorEastAsia" w:hAnsiTheme="minorEastAsia" w:eastAsiaTheme="minorEastAsia"/>
                <w:color w:val="000000"/>
                <w:sz w:val="24"/>
              </w:rPr>
              <w:t>3.2</w:t>
            </w:r>
          </w:p>
        </w:tc>
        <w:tc>
          <w:tcPr>
            <w:tcW w:w="2239" w:type="dxa"/>
            <w:vAlign w:val="center"/>
          </w:tcPr>
          <w:p w14:paraId="179D7A7D">
            <w:pPr>
              <w:widowControl/>
              <w:tabs>
                <w:tab w:val="left" w:pos="2446"/>
              </w:tabs>
              <w:spacing w:line="276" w:lineRule="auto"/>
              <w:rPr>
                <w:rFonts w:asciiTheme="minorEastAsia" w:hAnsiTheme="minorEastAsia" w:eastAsiaTheme="minorEastAsia"/>
                <w:color w:val="000000"/>
                <w:sz w:val="24"/>
              </w:rPr>
            </w:pPr>
            <w:r>
              <w:rPr>
                <w:rFonts w:asciiTheme="minorEastAsia" w:hAnsiTheme="minorEastAsia" w:eastAsiaTheme="minorEastAsia"/>
                <w:color w:val="000000"/>
                <w:sz w:val="24"/>
              </w:rPr>
              <w:t>投标报价采用的方式</w:t>
            </w:r>
          </w:p>
        </w:tc>
        <w:tc>
          <w:tcPr>
            <w:tcW w:w="6006" w:type="dxa"/>
            <w:vAlign w:val="center"/>
          </w:tcPr>
          <w:p w14:paraId="22921135">
            <w:pPr>
              <w:topLinePunct/>
              <w:adjustRightInd w:val="0"/>
              <w:snapToGrid w:val="0"/>
              <w:spacing w:line="276" w:lineRule="auto"/>
              <w:rPr>
                <w:rFonts w:asciiTheme="minorEastAsia" w:hAnsiTheme="minorEastAsia" w:eastAsiaTheme="minorEastAsia"/>
                <w:color w:val="000000"/>
                <w:sz w:val="24"/>
              </w:rPr>
            </w:pPr>
            <w:r>
              <w:rPr>
                <w:rFonts w:hint="eastAsia" w:asciiTheme="minorEastAsia" w:hAnsiTheme="minorEastAsia" w:eastAsiaTheme="minorEastAsia"/>
                <w:color w:val="000000"/>
                <w:sz w:val="24"/>
              </w:rPr>
              <w:t>（1）参照有关规定，结合项目</w:t>
            </w:r>
            <w:r>
              <w:rPr>
                <w:rFonts w:asciiTheme="minorEastAsia" w:hAnsiTheme="minorEastAsia" w:eastAsiaTheme="minorEastAsia"/>
                <w:color w:val="000000"/>
                <w:sz w:val="24"/>
              </w:rPr>
              <w:t>实际和</w:t>
            </w:r>
            <w:r>
              <w:rPr>
                <w:rFonts w:hint="eastAsia" w:asciiTheme="minorEastAsia" w:hAnsiTheme="minorEastAsia" w:eastAsiaTheme="minorEastAsia"/>
                <w:color w:val="000000"/>
                <w:sz w:val="24"/>
              </w:rPr>
              <w:t>投标人</w:t>
            </w:r>
            <w:r>
              <w:rPr>
                <w:rFonts w:asciiTheme="minorEastAsia" w:hAnsiTheme="minorEastAsia" w:eastAsiaTheme="minorEastAsia"/>
                <w:color w:val="000000"/>
                <w:sz w:val="24"/>
              </w:rPr>
              <w:t>自身情况自主报价。</w:t>
            </w:r>
            <w:r>
              <w:rPr>
                <w:rFonts w:hint="eastAsia" w:asciiTheme="minorEastAsia" w:hAnsiTheme="minorEastAsia" w:eastAsiaTheme="minorEastAsia"/>
                <w:color w:val="000000"/>
                <w:sz w:val="24"/>
              </w:rPr>
              <w:t>投标报价包括完成本</w:t>
            </w:r>
            <w:r>
              <w:rPr>
                <w:rFonts w:asciiTheme="minorEastAsia" w:hAnsiTheme="minorEastAsia" w:eastAsiaTheme="minorEastAsia"/>
                <w:color w:val="000000"/>
                <w:sz w:val="24"/>
              </w:rPr>
              <w:t>项目招标范围内</w:t>
            </w:r>
            <w:r>
              <w:rPr>
                <w:rFonts w:hint="eastAsia" w:asciiTheme="minorEastAsia" w:hAnsiTheme="minorEastAsia" w:eastAsiaTheme="minorEastAsia"/>
                <w:color w:val="000000"/>
                <w:sz w:val="24"/>
              </w:rPr>
              <w:t>的全部费用（</w:t>
            </w:r>
            <w:bookmarkStart w:id="24" w:name="OLE_LINK69"/>
            <w:bookmarkStart w:id="25" w:name="OLE_LINK70"/>
            <w:r>
              <w:rPr>
                <w:rFonts w:hint="eastAsia" w:asciiTheme="minorEastAsia" w:hAnsiTheme="minorEastAsia" w:eastAsiaTheme="minorEastAsia"/>
                <w:color w:val="000000"/>
                <w:sz w:val="24"/>
              </w:rPr>
              <w:t>包括运费、人工、税金等可能发生的全部费用）。</w:t>
            </w:r>
            <w:bookmarkEnd w:id="24"/>
            <w:bookmarkEnd w:id="25"/>
          </w:p>
          <w:p w14:paraId="04EB5286">
            <w:pPr>
              <w:topLinePunct/>
              <w:adjustRightInd w:val="0"/>
              <w:snapToGrid w:val="0"/>
              <w:spacing w:line="276" w:lineRule="auto"/>
              <w:rPr>
                <w:rFonts w:asciiTheme="minorEastAsia" w:hAnsiTheme="minorEastAsia" w:eastAsiaTheme="minorEastAsia"/>
                <w:color w:val="000000"/>
                <w:sz w:val="24"/>
              </w:rPr>
            </w:pPr>
            <w:r>
              <w:rPr>
                <w:rFonts w:hint="eastAsia" w:asciiTheme="minorEastAsia" w:hAnsiTheme="minorEastAsia" w:eastAsiaTheme="minorEastAsia"/>
                <w:color w:val="000000"/>
                <w:sz w:val="24"/>
              </w:rPr>
              <w:t>（2）投标价格为一次性价格，投标人所报的报价在合同执行过程中是固定不变的，不得以任何理由予以变更。</w:t>
            </w:r>
          </w:p>
        </w:tc>
      </w:tr>
      <w:tr w14:paraId="0F4DE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6" w:type="dxa"/>
            <w:vAlign w:val="center"/>
          </w:tcPr>
          <w:p w14:paraId="55E53862">
            <w:pPr>
              <w:widowControl/>
              <w:spacing w:before="100" w:beforeAutospacing="1" w:after="100" w:afterAutospacing="1" w:line="276" w:lineRule="auto"/>
              <w:jc w:val="center"/>
              <w:rPr>
                <w:rFonts w:asciiTheme="minorEastAsia" w:hAnsiTheme="minorEastAsia" w:eastAsiaTheme="minorEastAsia"/>
                <w:color w:val="000000"/>
                <w:sz w:val="24"/>
              </w:rPr>
            </w:pPr>
            <w:r>
              <w:rPr>
                <w:rFonts w:asciiTheme="minorEastAsia" w:hAnsiTheme="minorEastAsia" w:eastAsiaTheme="minorEastAsia"/>
                <w:color w:val="000000"/>
                <w:sz w:val="24"/>
              </w:rPr>
              <w:t>3.3</w:t>
            </w:r>
          </w:p>
        </w:tc>
        <w:tc>
          <w:tcPr>
            <w:tcW w:w="2239" w:type="dxa"/>
            <w:vAlign w:val="center"/>
          </w:tcPr>
          <w:p w14:paraId="6D6DDE3D">
            <w:pPr>
              <w:widowControl/>
              <w:tabs>
                <w:tab w:val="left" w:pos="2446"/>
              </w:tabs>
              <w:spacing w:line="276" w:lineRule="auto"/>
              <w:rPr>
                <w:rFonts w:asciiTheme="minorEastAsia" w:hAnsiTheme="minorEastAsia" w:eastAsiaTheme="minorEastAsia"/>
                <w:color w:val="000000"/>
                <w:sz w:val="24"/>
              </w:rPr>
            </w:pPr>
            <w:r>
              <w:rPr>
                <w:rFonts w:asciiTheme="minorEastAsia" w:hAnsiTheme="minorEastAsia" w:eastAsiaTheme="minorEastAsia"/>
                <w:color w:val="000000"/>
                <w:sz w:val="24"/>
              </w:rPr>
              <w:t>投标有效期</w:t>
            </w:r>
          </w:p>
        </w:tc>
        <w:tc>
          <w:tcPr>
            <w:tcW w:w="6006" w:type="dxa"/>
            <w:vAlign w:val="center"/>
          </w:tcPr>
          <w:p w14:paraId="0EF03818">
            <w:pPr>
              <w:widowControl/>
              <w:spacing w:line="276" w:lineRule="auto"/>
              <w:rPr>
                <w:rFonts w:asciiTheme="minorEastAsia" w:hAnsiTheme="minorEastAsia" w:eastAsiaTheme="minorEastAsia"/>
                <w:color w:val="000000"/>
                <w:sz w:val="24"/>
              </w:rPr>
            </w:pPr>
            <w:r>
              <w:rPr>
                <w:rFonts w:asciiTheme="minorEastAsia" w:hAnsiTheme="minorEastAsia" w:eastAsiaTheme="minorEastAsia"/>
                <w:color w:val="000000"/>
                <w:sz w:val="24"/>
              </w:rPr>
              <w:t>90日历天（从投标截止之日算起）</w:t>
            </w:r>
          </w:p>
        </w:tc>
      </w:tr>
      <w:tr w14:paraId="07E97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1276" w:type="dxa"/>
            <w:vAlign w:val="center"/>
          </w:tcPr>
          <w:p w14:paraId="4D10AEEC">
            <w:pPr>
              <w:pStyle w:val="29"/>
              <w:spacing w:line="276" w:lineRule="auto"/>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3.4</w:t>
            </w:r>
          </w:p>
        </w:tc>
        <w:tc>
          <w:tcPr>
            <w:tcW w:w="2239" w:type="dxa"/>
            <w:vAlign w:val="center"/>
          </w:tcPr>
          <w:p w14:paraId="03E3E4E1">
            <w:pPr>
              <w:pStyle w:val="29"/>
              <w:spacing w:line="276" w:lineRule="auto"/>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投标保证金</w:t>
            </w:r>
          </w:p>
        </w:tc>
        <w:tc>
          <w:tcPr>
            <w:tcW w:w="6006" w:type="dxa"/>
            <w:vAlign w:val="center"/>
          </w:tcPr>
          <w:p w14:paraId="6811C1B3">
            <w:pPr>
              <w:pStyle w:val="29"/>
              <w:spacing w:line="276" w:lineRule="auto"/>
              <w:rPr>
                <w:rFonts w:asciiTheme="minorEastAsia" w:hAnsiTheme="minorEastAsia" w:eastAsiaTheme="minorEastAsia"/>
                <w:sz w:val="24"/>
                <w:szCs w:val="24"/>
              </w:rPr>
            </w:pPr>
            <w:r>
              <w:rPr>
                <w:rFonts w:hint="eastAsia" w:asciiTheme="minorEastAsia" w:hAnsiTheme="minorEastAsia" w:eastAsiaTheme="minorEastAsia"/>
                <w:sz w:val="24"/>
                <w:szCs w:val="24"/>
              </w:rPr>
              <w:t>投标保证金缴纳要求：（本项目不适用）</w:t>
            </w:r>
          </w:p>
        </w:tc>
      </w:tr>
      <w:tr w14:paraId="01D80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jc w:val="center"/>
        </w:trPr>
        <w:tc>
          <w:tcPr>
            <w:tcW w:w="1276" w:type="dxa"/>
            <w:vAlign w:val="center"/>
          </w:tcPr>
          <w:p w14:paraId="0A71CFC2">
            <w:pPr>
              <w:pStyle w:val="29"/>
              <w:spacing w:line="276" w:lineRule="auto"/>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3.5.1</w:t>
            </w:r>
          </w:p>
        </w:tc>
        <w:tc>
          <w:tcPr>
            <w:tcW w:w="2239" w:type="dxa"/>
            <w:vAlign w:val="center"/>
          </w:tcPr>
          <w:p w14:paraId="6DAAA326">
            <w:pPr>
              <w:pStyle w:val="29"/>
              <w:spacing w:line="276" w:lineRule="auto"/>
              <w:rPr>
                <w:rFonts w:asciiTheme="minorEastAsia" w:hAnsiTheme="minorEastAsia" w:eastAsiaTheme="minorEastAsia"/>
                <w:sz w:val="24"/>
                <w:szCs w:val="24"/>
              </w:rPr>
            </w:pPr>
            <w:r>
              <w:rPr>
                <w:rFonts w:hint="eastAsia" w:asciiTheme="minorEastAsia" w:hAnsiTheme="minorEastAsia" w:eastAsiaTheme="minorEastAsia"/>
                <w:sz w:val="24"/>
                <w:szCs w:val="24"/>
              </w:rPr>
              <w:t>近年财务状况年份要求</w:t>
            </w:r>
          </w:p>
        </w:tc>
        <w:tc>
          <w:tcPr>
            <w:tcW w:w="6006" w:type="dxa"/>
            <w:vAlign w:val="center"/>
          </w:tcPr>
          <w:p w14:paraId="297A4059">
            <w:pPr>
              <w:pStyle w:val="29"/>
              <w:spacing w:line="276" w:lineRule="auto"/>
              <w:rPr>
                <w:rFonts w:asciiTheme="minorEastAsia" w:hAnsiTheme="minorEastAsia" w:eastAsiaTheme="minorEastAsia"/>
                <w:sz w:val="24"/>
                <w:szCs w:val="24"/>
              </w:rPr>
            </w:pPr>
            <w:bookmarkStart w:id="26" w:name="EB20c13a645c7642c2bfab4f4037eb1a3b"/>
            <w:bookmarkEnd w:id="26"/>
            <w:r>
              <w:rPr>
                <w:rFonts w:hint="eastAsia" w:asciiTheme="minorEastAsia" w:hAnsiTheme="minorEastAsia" w:eastAsiaTheme="minorEastAsia"/>
                <w:sz w:val="24"/>
                <w:szCs w:val="24"/>
              </w:rPr>
              <w:t>近三年；</w:t>
            </w:r>
          </w:p>
        </w:tc>
      </w:tr>
      <w:tr w14:paraId="203DB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jc w:val="center"/>
        </w:trPr>
        <w:tc>
          <w:tcPr>
            <w:tcW w:w="1276" w:type="dxa"/>
            <w:vAlign w:val="center"/>
          </w:tcPr>
          <w:p w14:paraId="48822249">
            <w:pPr>
              <w:pStyle w:val="29"/>
              <w:spacing w:line="276" w:lineRule="auto"/>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3.5.2</w:t>
            </w:r>
          </w:p>
        </w:tc>
        <w:tc>
          <w:tcPr>
            <w:tcW w:w="2239" w:type="dxa"/>
            <w:vAlign w:val="center"/>
          </w:tcPr>
          <w:p w14:paraId="623192CB">
            <w:pPr>
              <w:pStyle w:val="29"/>
              <w:spacing w:line="276" w:lineRule="auto"/>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近年完成的类似项目的年份要求</w:t>
            </w:r>
          </w:p>
        </w:tc>
        <w:tc>
          <w:tcPr>
            <w:tcW w:w="6006" w:type="dxa"/>
            <w:vAlign w:val="center"/>
          </w:tcPr>
          <w:p w14:paraId="308FEB5B">
            <w:pPr>
              <w:pStyle w:val="29"/>
              <w:spacing w:line="276" w:lineRule="auto"/>
              <w:rPr>
                <w:rFonts w:asciiTheme="minorEastAsia" w:hAnsiTheme="minorEastAsia" w:eastAsiaTheme="minorEastAsia"/>
                <w:sz w:val="24"/>
                <w:szCs w:val="24"/>
                <w:highlight w:val="none"/>
              </w:rPr>
            </w:pPr>
            <w:bookmarkStart w:id="27" w:name="EB0a4fc0da609544e4b2e3d6b15ded1b99"/>
            <w:bookmarkEnd w:id="27"/>
            <w:r>
              <w:rPr>
                <w:rFonts w:hint="eastAsia" w:asciiTheme="minorEastAsia" w:hAnsiTheme="minorEastAsia" w:eastAsiaTheme="minorEastAsia"/>
                <w:sz w:val="24"/>
                <w:szCs w:val="24"/>
                <w:highlight w:val="none"/>
              </w:rPr>
              <w:t>近三年；（202</w:t>
            </w:r>
            <w:r>
              <w:rPr>
                <w:rFonts w:hint="eastAsia" w:asciiTheme="minorEastAsia" w:hAnsiTheme="minorEastAsia" w:eastAsiaTheme="minorEastAsia"/>
                <w:sz w:val="24"/>
                <w:szCs w:val="24"/>
                <w:highlight w:val="none"/>
                <w:lang w:val="en-US" w:eastAsia="zh-CN"/>
              </w:rPr>
              <w:t>3</w:t>
            </w:r>
            <w:r>
              <w:rPr>
                <w:rFonts w:hint="eastAsia" w:asciiTheme="minorEastAsia" w:hAnsiTheme="minorEastAsia" w:eastAsiaTheme="minorEastAsia"/>
                <w:sz w:val="24"/>
                <w:szCs w:val="24"/>
                <w:highlight w:val="none"/>
              </w:rPr>
              <w:t>年</w:t>
            </w:r>
            <w:r>
              <w:rPr>
                <w:rFonts w:hint="eastAsia" w:asciiTheme="minorEastAsia" w:hAnsiTheme="minorEastAsia" w:eastAsiaTheme="minorEastAsia"/>
                <w:sz w:val="24"/>
                <w:szCs w:val="24"/>
                <w:highlight w:val="none"/>
                <w:lang w:val="en-US" w:eastAsia="zh-CN"/>
              </w:rPr>
              <w:t>7</w:t>
            </w:r>
            <w:r>
              <w:rPr>
                <w:rFonts w:hint="eastAsia" w:asciiTheme="minorEastAsia" w:hAnsiTheme="minorEastAsia" w:eastAsiaTheme="minorEastAsia"/>
                <w:sz w:val="24"/>
                <w:szCs w:val="24"/>
                <w:highlight w:val="none"/>
              </w:rPr>
              <w:t>月</w:t>
            </w:r>
            <w:r>
              <w:rPr>
                <w:rFonts w:asciiTheme="minorEastAsia" w:hAnsiTheme="minorEastAsia" w:eastAsiaTheme="minorEastAsia"/>
                <w:sz w:val="24"/>
                <w:szCs w:val="24"/>
                <w:highlight w:val="none"/>
              </w:rPr>
              <w:t>1</w:t>
            </w:r>
            <w:r>
              <w:rPr>
                <w:rFonts w:hint="eastAsia" w:asciiTheme="minorEastAsia" w:hAnsiTheme="minorEastAsia" w:eastAsiaTheme="minorEastAsia"/>
                <w:sz w:val="24"/>
                <w:szCs w:val="24"/>
                <w:highlight w:val="none"/>
              </w:rPr>
              <w:t>日至今）</w:t>
            </w:r>
          </w:p>
        </w:tc>
      </w:tr>
      <w:tr w14:paraId="6458B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jc w:val="center"/>
        </w:trPr>
        <w:tc>
          <w:tcPr>
            <w:tcW w:w="1276" w:type="dxa"/>
            <w:vAlign w:val="center"/>
          </w:tcPr>
          <w:p w14:paraId="373AD7C8">
            <w:pPr>
              <w:pStyle w:val="29"/>
              <w:spacing w:line="276" w:lineRule="auto"/>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3.5.3</w:t>
            </w:r>
          </w:p>
        </w:tc>
        <w:tc>
          <w:tcPr>
            <w:tcW w:w="2239" w:type="dxa"/>
            <w:vAlign w:val="center"/>
          </w:tcPr>
          <w:p w14:paraId="05EDE4F5">
            <w:pPr>
              <w:pStyle w:val="29"/>
              <w:spacing w:line="276" w:lineRule="auto"/>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近年发生的诉讼及仲裁情况的年份要求</w:t>
            </w:r>
          </w:p>
        </w:tc>
        <w:tc>
          <w:tcPr>
            <w:tcW w:w="6006" w:type="dxa"/>
            <w:vAlign w:val="center"/>
          </w:tcPr>
          <w:p w14:paraId="789F2152">
            <w:pPr>
              <w:pStyle w:val="29"/>
              <w:spacing w:line="276" w:lineRule="auto"/>
              <w:rPr>
                <w:rFonts w:asciiTheme="minorEastAsia" w:hAnsiTheme="minorEastAsia" w:eastAsiaTheme="minorEastAsia"/>
                <w:sz w:val="24"/>
                <w:szCs w:val="24"/>
                <w:highlight w:val="none"/>
              </w:rPr>
            </w:pPr>
            <w:bookmarkStart w:id="28" w:name="EBc54ce0c5d0dc4cf0a3825e3eb92fdc15"/>
            <w:bookmarkEnd w:id="28"/>
            <w:r>
              <w:rPr>
                <w:rFonts w:hint="eastAsia" w:asciiTheme="minorEastAsia" w:hAnsiTheme="minorEastAsia" w:eastAsiaTheme="minorEastAsia"/>
                <w:sz w:val="24"/>
                <w:szCs w:val="24"/>
                <w:highlight w:val="none"/>
              </w:rPr>
              <w:t>近三年；（</w:t>
            </w:r>
            <w:r>
              <w:rPr>
                <w:rFonts w:asciiTheme="minorEastAsia" w:hAnsiTheme="minorEastAsia" w:eastAsiaTheme="minorEastAsia"/>
                <w:sz w:val="24"/>
                <w:szCs w:val="24"/>
                <w:highlight w:val="none"/>
              </w:rPr>
              <w:t>20</w:t>
            </w:r>
            <w:r>
              <w:rPr>
                <w:rFonts w:hint="eastAsia" w:asciiTheme="minorEastAsia" w:hAnsiTheme="minorEastAsia" w:eastAsiaTheme="minorEastAsia"/>
                <w:sz w:val="24"/>
                <w:szCs w:val="24"/>
                <w:highlight w:val="none"/>
              </w:rPr>
              <w:t>2</w:t>
            </w:r>
            <w:r>
              <w:rPr>
                <w:rFonts w:hint="eastAsia" w:asciiTheme="minorEastAsia" w:hAnsiTheme="minorEastAsia" w:eastAsiaTheme="minorEastAsia"/>
                <w:sz w:val="24"/>
                <w:szCs w:val="24"/>
                <w:highlight w:val="none"/>
                <w:lang w:val="en-US" w:eastAsia="zh-CN"/>
              </w:rPr>
              <w:t>3</w:t>
            </w:r>
            <w:r>
              <w:rPr>
                <w:rFonts w:hint="eastAsia" w:asciiTheme="minorEastAsia" w:hAnsiTheme="minorEastAsia" w:eastAsiaTheme="minorEastAsia"/>
                <w:sz w:val="24"/>
                <w:szCs w:val="24"/>
                <w:highlight w:val="none"/>
              </w:rPr>
              <w:t>年</w:t>
            </w:r>
            <w:r>
              <w:rPr>
                <w:rFonts w:hint="eastAsia" w:asciiTheme="minorEastAsia" w:hAnsiTheme="minorEastAsia" w:eastAsiaTheme="minorEastAsia"/>
                <w:sz w:val="24"/>
                <w:szCs w:val="24"/>
                <w:highlight w:val="none"/>
                <w:lang w:val="en-US" w:eastAsia="zh-CN"/>
              </w:rPr>
              <w:t>7</w:t>
            </w:r>
            <w:r>
              <w:rPr>
                <w:rFonts w:hint="eastAsia" w:asciiTheme="minorEastAsia" w:hAnsiTheme="minorEastAsia" w:eastAsiaTheme="minorEastAsia"/>
                <w:sz w:val="24"/>
                <w:szCs w:val="24"/>
                <w:highlight w:val="none"/>
              </w:rPr>
              <w:t>月</w:t>
            </w:r>
            <w:r>
              <w:rPr>
                <w:rFonts w:asciiTheme="minorEastAsia" w:hAnsiTheme="minorEastAsia" w:eastAsiaTheme="minorEastAsia"/>
                <w:sz w:val="24"/>
                <w:szCs w:val="24"/>
                <w:highlight w:val="none"/>
              </w:rPr>
              <w:t>1</w:t>
            </w:r>
            <w:r>
              <w:rPr>
                <w:rFonts w:hint="eastAsia" w:asciiTheme="minorEastAsia" w:hAnsiTheme="minorEastAsia" w:eastAsiaTheme="minorEastAsia"/>
                <w:sz w:val="24"/>
                <w:szCs w:val="24"/>
                <w:highlight w:val="none"/>
              </w:rPr>
              <w:t>日至今）</w:t>
            </w:r>
          </w:p>
        </w:tc>
      </w:tr>
      <w:tr w14:paraId="5B611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1276" w:type="dxa"/>
            <w:vAlign w:val="center"/>
          </w:tcPr>
          <w:p w14:paraId="118573D2">
            <w:pPr>
              <w:pStyle w:val="29"/>
              <w:spacing w:line="276" w:lineRule="auto"/>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3.6</w:t>
            </w:r>
          </w:p>
        </w:tc>
        <w:tc>
          <w:tcPr>
            <w:tcW w:w="2239" w:type="dxa"/>
            <w:vAlign w:val="center"/>
          </w:tcPr>
          <w:p w14:paraId="54B37312">
            <w:pPr>
              <w:pStyle w:val="29"/>
              <w:spacing w:line="276" w:lineRule="auto"/>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是否允许递交备选投标方案</w:t>
            </w:r>
          </w:p>
        </w:tc>
        <w:tc>
          <w:tcPr>
            <w:tcW w:w="6006" w:type="dxa"/>
            <w:vAlign w:val="center"/>
          </w:tcPr>
          <w:p w14:paraId="5B812A9A">
            <w:pPr>
              <w:pStyle w:val="29"/>
              <w:spacing w:line="276" w:lineRule="auto"/>
              <w:jc w:val="left"/>
              <w:rPr>
                <w:rFonts w:asciiTheme="minorEastAsia" w:hAnsiTheme="minorEastAsia" w:eastAsiaTheme="minorEastAsia"/>
                <w:sz w:val="24"/>
                <w:szCs w:val="24"/>
              </w:rPr>
            </w:pPr>
            <w:bookmarkStart w:id="29" w:name="EB5ee3506baeb4427d8ac7511943f3c823"/>
            <w:bookmarkEnd w:id="29"/>
            <w:r>
              <w:rPr>
                <w:rFonts w:asciiTheme="minorEastAsia" w:hAnsiTheme="minorEastAsia" w:eastAsiaTheme="minorEastAsia"/>
                <w:sz w:val="24"/>
                <w:szCs w:val="24"/>
              </w:rPr>
              <w:fldChar w:fldCharType="begin"/>
            </w:r>
            <w:r>
              <w:rPr>
                <w:rFonts w:hint="eastAsia" w:asciiTheme="minorEastAsia" w:hAnsiTheme="minorEastAsia" w:eastAsiaTheme="minorEastAsia"/>
                <w:sz w:val="24"/>
                <w:szCs w:val="24"/>
              </w:rPr>
              <w:instrText xml:space="preserve">eq \o\ac(□,√)</w:instrText>
            </w:r>
            <w:r>
              <w:rPr>
                <w:rFonts w:asciiTheme="minorEastAsia" w:hAnsiTheme="minorEastAsia" w:eastAsiaTheme="minorEastAsia"/>
                <w:sz w:val="24"/>
                <w:szCs w:val="24"/>
              </w:rPr>
              <w:fldChar w:fldCharType="end"/>
            </w:r>
            <w:r>
              <w:rPr>
                <w:rFonts w:hint="eastAsia" w:asciiTheme="minorEastAsia" w:hAnsiTheme="minorEastAsia" w:eastAsiaTheme="minorEastAsia"/>
                <w:sz w:val="24"/>
                <w:szCs w:val="24"/>
              </w:rPr>
              <w:t>不允许</w:t>
            </w:r>
          </w:p>
          <w:p w14:paraId="6ED2B0AD">
            <w:pPr>
              <w:pStyle w:val="29"/>
              <w:spacing w:line="276" w:lineRule="auto"/>
              <w:rPr>
                <w:rFonts w:asciiTheme="minorEastAsia" w:hAnsiTheme="minorEastAsia" w:eastAsiaTheme="minorEastAsia"/>
                <w:color w:val="000000"/>
                <w:sz w:val="24"/>
                <w:szCs w:val="24"/>
              </w:rPr>
            </w:pPr>
            <w:r>
              <w:rPr>
                <w:rFonts w:hint="eastAsia" w:asciiTheme="minorEastAsia" w:hAnsiTheme="minorEastAsia" w:eastAsiaTheme="minorEastAsia"/>
                <w:sz w:val="24"/>
                <w:szCs w:val="24"/>
              </w:rPr>
              <w:t>□允许</w:t>
            </w:r>
          </w:p>
        </w:tc>
      </w:tr>
      <w:tr w14:paraId="13C73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1276" w:type="dxa"/>
            <w:vAlign w:val="center"/>
          </w:tcPr>
          <w:p w14:paraId="4FA2F3EA">
            <w:pPr>
              <w:pStyle w:val="29"/>
              <w:spacing w:line="276" w:lineRule="auto"/>
              <w:jc w:val="center"/>
              <w:rPr>
                <w:rFonts w:asciiTheme="minorEastAsia" w:hAnsiTheme="minorEastAsia" w:eastAsiaTheme="minorEastAsia"/>
                <w:color w:val="000000"/>
                <w:sz w:val="24"/>
                <w:szCs w:val="24"/>
              </w:rPr>
            </w:pPr>
            <w:r>
              <w:rPr>
                <w:rFonts w:asciiTheme="minorEastAsia" w:hAnsiTheme="minorEastAsia" w:eastAsiaTheme="minorEastAsia"/>
                <w:color w:val="000000"/>
                <w:sz w:val="24"/>
                <w:szCs w:val="24"/>
              </w:rPr>
              <w:t>3.7.</w:t>
            </w:r>
            <w:r>
              <w:rPr>
                <w:rFonts w:hint="eastAsia" w:asciiTheme="minorEastAsia" w:hAnsiTheme="minorEastAsia" w:eastAsiaTheme="minorEastAsia"/>
                <w:color w:val="000000"/>
                <w:sz w:val="24"/>
                <w:szCs w:val="24"/>
              </w:rPr>
              <w:t>1</w:t>
            </w:r>
          </w:p>
        </w:tc>
        <w:tc>
          <w:tcPr>
            <w:tcW w:w="2239" w:type="dxa"/>
            <w:vAlign w:val="center"/>
          </w:tcPr>
          <w:p w14:paraId="0DD561CE">
            <w:pPr>
              <w:pStyle w:val="29"/>
              <w:spacing w:line="276" w:lineRule="auto"/>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签字和盖章要求</w:t>
            </w:r>
          </w:p>
        </w:tc>
        <w:tc>
          <w:tcPr>
            <w:tcW w:w="6006" w:type="dxa"/>
            <w:vAlign w:val="center"/>
          </w:tcPr>
          <w:p w14:paraId="3976AAB1">
            <w:pPr>
              <w:pStyle w:val="29"/>
              <w:spacing w:line="276" w:lineRule="auto"/>
              <w:jc w:val="left"/>
              <w:rPr>
                <w:rFonts w:asciiTheme="minorEastAsia" w:hAnsiTheme="minorEastAsia" w:eastAsiaTheme="minorEastAsia"/>
                <w:sz w:val="24"/>
                <w:szCs w:val="24"/>
              </w:rPr>
            </w:pPr>
            <w:r>
              <w:rPr>
                <w:rFonts w:hint="eastAsia" w:asciiTheme="minorEastAsia" w:hAnsiTheme="minorEastAsia" w:eastAsiaTheme="minorEastAsia"/>
                <w:sz w:val="24"/>
                <w:szCs w:val="24"/>
              </w:rPr>
              <w:t>1.纸质投标文件中要求签字、盖章的地方加盖单位公章和法定代表人或授权委托人签字。</w:t>
            </w:r>
          </w:p>
        </w:tc>
      </w:tr>
      <w:tr w14:paraId="1D02B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1276" w:type="dxa"/>
            <w:vAlign w:val="center"/>
          </w:tcPr>
          <w:p w14:paraId="65099EDE">
            <w:pPr>
              <w:pStyle w:val="29"/>
              <w:spacing w:line="276" w:lineRule="auto"/>
              <w:jc w:val="center"/>
              <w:rPr>
                <w:rFonts w:asciiTheme="minorEastAsia" w:hAnsiTheme="minorEastAsia" w:eastAsiaTheme="minorEastAsia"/>
                <w:color w:val="000000"/>
                <w:sz w:val="24"/>
                <w:szCs w:val="24"/>
              </w:rPr>
            </w:pPr>
            <w:r>
              <w:rPr>
                <w:rFonts w:asciiTheme="minorEastAsia" w:hAnsiTheme="minorEastAsia" w:eastAsiaTheme="minorEastAsia"/>
                <w:color w:val="000000"/>
                <w:sz w:val="24"/>
                <w:szCs w:val="24"/>
              </w:rPr>
              <w:t>3.7.</w:t>
            </w:r>
            <w:r>
              <w:rPr>
                <w:rFonts w:hint="eastAsia" w:asciiTheme="minorEastAsia" w:hAnsiTheme="minorEastAsia" w:eastAsiaTheme="minorEastAsia"/>
                <w:color w:val="000000"/>
                <w:sz w:val="24"/>
                <w:szCs w:val="24"/>
              </w:rPr>
              <w:t>2</w:t>
            </w:r>
          </w:p>
        </w:tc>
        <w:tc>
          <w:tcPr>
            <w:tcW w:w="2239" w:type="dxa"/>
            <w:vAlign w:val="center"/>
          </w:tcPr>
          <w:p w14:paraId="5F66E63A">
            <w:pPr>
              <w:pStyle w:val="29"/>
              <w:spacing w:line="276" w:lineRule="auto"/>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投标文件份数</w:t>
            </w:r>
          </w:p>
        </w:tc>
        <w:tc>
          <w:tcPr>
            <w:tcW w:w="6006" w:type="dxa"/>
            <w:vAlign w:val="center"/>
          </w:tcPr>
          <w:p w14:paraId="3148400F">
            <w:pPr>
              <w:pStyle w:val="29"/>
              <w:spacing w:line="276" w:lineRule="auto"/>
              <w:rPr>
                <w:rFonts w:asciiTheme="minorEastAsia" w:hAnsiTheme="minorEastAsia" w:eastAsiaTheme="minorEastAsia"/>
                <w:sz w:val="24"/>
                <w:szCs w:val="24"/>
              </w:rPr>
            </w:pPr>
            <w:r>
              <w:rPr>
                <w:rFonts w:hint="eastAsia" w:asciiTheme="minorEastAsia" w:hAnsiTheme="minorEastAsia" w:eastAsiaTheme="minorEastAsia"/>
                <w:sz w:val="24"/>
                <w:szCs w:val="24"/>
                <w:highlight w:val="none"/>
              </w:rPr>
              <w:t>纸质版</w:t>
            </w:r>
            <w:r>
              <w:rPr>
                <w:rFonts w:asciiTheme="minorEastAsia" w:hAnsiTheme="minorEastAsia" w:eastAsiaTheme="minorEastAsia"/>
                <w:sz w:val="24"/>
                <w:szCs w:val="24"/>
                <w:highlight w:val="none"/>
              </w:rPr>
              <w:t>正本</w:t>
            </w:r>
            <w:r>
              <w:rPr>
                <w:rFonts w:hint="eastAsia" w:asciiTheme="minorEastAsia" w:hAnsiTheme="minorEastAsia" w:eastAsiaTheme="minorEastAsia"/>
                <w:sz w:val="24"/>
                <w:szCs w:val="24"/>
                <w:highlight w:val="none"/>
              </w:rPr>
              <w:t>壹</w:t>
            </w:r>
            <w:r>
              <w:rPr>
                <w:rFonts w:asciiTheme="minorEastAsia" w:hAnsiTheme="minorEastAsia" w:eastAsiaTheme="minorEastAsia"/>
                <w:sz w:val="24"/>
                <w:szCs w:val="24"/>
                <w:highlight w:val="none"/>
              </w:rPr>
              <w:t>份、</w:t>
            </w:r>
            <w:r>
              <w:rPr>
                <w:rFonts w:hint="eastAsia" w:asciiTheme="minorEastAsia" w:hAnsiTheme="minorEastAsia" w:eastAsiaTheme="minorEastAsia"/>
                <w:sz w:val="24"/>
                <w:szCs w:val="24"/>
                <w:highlight w:val="none"/>
              </w:rPr>
              <w:t>纸质版</w:t>
            </w:r>
            <w:r>
              <w:rPr>
                <w:rFonts w:asciiTheme="minorEastAsia" w:hAnsiTheme="minorEastAsia" w:eastAsiaTheme="minorEastAsia"/>
                <w:sz w:val="24"/>
                <w:szCs w:val="24"/>
                <w:highlight w:val="none"/>
              </w:rPr>
              <w:t>副本</w:t>
            </w:r>
            <w:r>
              <w:rPr>
                <w:rFonts w:hint="eastAsia" w:asciiTheme="minorEastAsia" w:hAnsiTheme="minorEastAsia" w:eastAsiaTheme="minorEastAsia"/>
                <w:sz w:val="24"/>
                <w:szCs w:val="24"/>
                <w:highlight w:val="none"/>
                <w:lang w:eastAsia="zh-CN"/>
              </w:rPr>
              <w:t>肆</w:t>
            </w:r>
            <w:r>
              <w:rPr>
                <w:rFonts w:asciiTheme="minorEastAsia" w:hAnsiTheme="minorEastAsia" w:eastAsiaTheme="minorEastAsia"/>
                <w:sz w:val="24"/>
                <w:szCs w:val="24"/>
                <w:highlight w:val="none"/>
              </w:rPr>
              <w:t>份</w:t>
            </w:r>
            <w:r>
              <w:rPr>
                <w:rFonts w:hint="eastAsia" w:asciiTheme="minorEastAsia" w:hAnsiTheme="minorEastAsia" w:eastAsiaTheme="minorEastAsia"/>
                <w:sz w:val="24"/>
                <w:szCs w:val="24"/>
                <w:highlight w:val="none"/>
              </w:rPr>
              <w:t>。</w:t>
            </w:r>
          </w:p>
        </w:tc>
      </w:tr>
      <w:tr w14:paraId="79400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5" w:hRule="atLeast"/>
          <w:jc w:val="center"/>
        </w:trPr>
        <w:tc>
          <w:tcPr>
            <w:tcW w:w="1276" w:type="dxa"/>
            <w:vAlign w:val="center"/>
          </w:tcPr>
          <w:p w14:paraId="550DCCEE">
            <w:pPr>
              <w:pStyle w:val="29"/>
              <w:spacing w:line="276" w:lineRule="auto"/>
              <w:jc w:val="center"/>
              <w:rPr>
                <w:rFonts w:asciiTheme="minorEastAsia" w:hAnsiTheme="minorEastAsia" w:eastAsiaTheme="minorEastAsia"/>
                <w:color w:val="000000"/>
                <w:sz w:val="24"/>
                <w:szCs w:val="24"/>
              </w:rPr>
            </w:pPr>
            <w:r>
              <w:rPr>
                <w:rFonts w:asciiTheme="minorEastAsia" w:hAnsiTheme="minorEastAsia" w:eastAsiaTheme="minorEastAsia"/>
                <w:color w:val="000000"/>
                <w:sz w:val="24"/>
                <w:szCs w:val="24"/>
              </w:rPr>
              <w:t>3.7.</w:t>
            </w:r>
            <w:r>
              <w:rPr>
                <w:rFonts w:hint="eastAsia" w:asciiTheme="minorEastAsia" w:hAnsiTheme="minorEastAsia" w:eastAsiaTheme="minorEastAsia"/>
                <w:color w:val="000000"/>
                <w:sz w:val="24"/>
                <w:szCs w:val="24"/>
              </w:rPr>
              <w:t>3</w:t>
            </w:r>
          </w:p>
        </w:tc>
        <w:tc>
          <w:tcPr>
            <w:tcW w:w="2239" w:type="dxa"/>
            <w:vAlign w:val="center"/>
          </w:tcPr>
          <w:p w14:paraId="6DA6F26C">
            <w:pPr>
              <w:pStyle w:val="29"/>
              <w:spacing w:line="276" w:lineRule="auto"/>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装订要求</w:t>
            </w:r>
          </w:p>
        </w:tc>
        <w:tc>
          <w:tcPr>
            <w:tcW w:w="6006" w:type="dxa"/>
            <w:vAlign w:val="center"/>
          </w:tcPr>
          <w:p w14:paraId="1FCF4A17">
            <w:pPr>
              <w:pStyle w:val="29"/>
              <w:spacing w:line="276" w:lineRule="auto"/>
              <w:jc w:val="left"/>
              <w:rPr>
                <w:rFonts w:asciiTheme="minorEastAsia" w:hAnsiTheme="minorEastAsia" w:eastAsiaTheme="minorEastAsia"/>
                <w:sz w:val="24"/>
                <w:szCs w:val="24"/>
              </w:rPr>
            </w:pPr>
            <w:r>
              <w:rPr>
                <w:rFonts w:hint="eastAsia" w:asciiTheme="minorEastAsia" w:hAnsiTheme="minorEastAsia" w:eastAsiaTheme="minorEastAsia"/>
                <w:sz w:val="24"/>
                <w:szCs w:val="24"/>
              </w:rPr>
              <w:t>1.纸质投标文件按照投标人须知总则规定的投标文件组成内容进行装订，装订应牢固、不易拆散和换页，不得采用活页装订。</w:t>
            </w:r>
          </w:p>
          <w:p w14:paraId="6051334C">
            <w:pPr>
              <w:pStyle w:val="29"/>
              <w:spacing w:line="276" w:lineRule="auto"/>
              <w:jc w:val="left"/>
              <w:rPr>
                <w:rFonts w:asciiTheme="minorEastAsia" w:hAnsiTheme="minorEastAsia" w:eastAsiaTheme="minorEastAsia"/>
                <w:sz w:val="24"/>
                <w:szCs w:val="24"/>
              </w:rPr>
            </w:pPr>
            <w:r>
              <w:rPr>
                <w:rFonts w:hint="eastAsia" w:asciiTheme="minorEastAsia" w:hAnsiTheme="minorEastAsia" w:eastAsiaTheme="minorEastAsia"/>
                <w:sz w:val="24"/>
                <w:szCs w:val="24"/>
              </w:rPr>
              <w:t>2.牢固装订成册是指投标人用线或金属丝等牢固紧密扎紧或书脊涂抹粘合剂，以保证投标文件不至于散开或用简单方法将任何一页在没有任何损坏情况下去除或插入。</w:t>
            </w:r>
          </w:p>
          <w:p w14:paraId="2A771D6E">
            <w:pPr>
              <w:pStyle w:val="29"/>
              <w:spacing w:line="276" w:lineRule="auto"/>
              <w:jc w:val="left"/>
              <w:rPr>
                <w:rFonts w:asciiTheme="minorEastAsia" w:hAnsiTheme="minorEastAsia" w:eastAsiaTheme="minorEastAsia"/>
                <w:sz w:val="24"/>
                <w:szCs w:val="24"/>
              </w:rPr>
            </w:pPr>
            <w:r>
              <w:rPr>
                <w:rFonts w:hint="eastAsia" w:asciiTheme="minorEastAsia" w:hAnsiTheme="minorEastAsia" w:eastAsiaTheme="minorEastAsia"/>
                <w:sz w:val="24"/>
                <w:szCs w:val="24"/>
              </w:rPr>
              <w:t>未按以上要求装订的纸质投标文件不予接收。</w:t>
            </w:r>
          </w:p>
        </w:tc>
      </w:tr>
      <w:tr w14:paraId="20D12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1276" w:type="dxa"/>
            <w:vAlign w:val="center"/>
          </w:tcPr>
          <w:p w14:paraId="3AC48B2C">
            <w:pPr>
              <w:pStyle w:val="29"/>
              <w:spacing w:line="276" w:lineRule="auto"/>
              <w:jc w:val="center"/>
              <w:rPr>
                <w:rFonts w:asciiTheme="minorEastAsia" w:hAnsiTheme="minorEastAsia" w:eastAsiaTheme="minorEastAsia"/>
                <w:color w:val="000000"/>
                <w:sz w:val="24"/>
                <w:szCs w:val="24"/>
              </w:rPr>
            </w:pPr>
            <w:r>
              <w:rPr>
                <w:rFonts w:asciiTheme="minorEastAsia" w:hAnsiTheme="minorEastAsia" w:eastAsiaTheme="minorEastAsia"/>
                <w:color w:val="000000"/>
                <w:sz w:val="24"/>
                <w:szCs w:val="24"/>
              </w:rPr>
              <w:t>4.1.1</w:t>
            </w:r>
          </w:p>
        </w:tc>
        <w:tc>
          <w:tcPr>
            <w:tcW w:w="2239" w:type="dxa"/>
            <w:vAlign w:val="center"/>
          </w:tcPr>
          <w:p w14:paraId="36467794">
            <w:pPr>
              <w:pStyle w:val="29"/>
              <w:spacing w:line="276" w:lineRule="auto"/>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密封要求</w:t>
            </w:r>
          </w:p>
        </w:tc>
        <w:tc>
          <w:tcPr>
            <w:tcW w:w="6006" w:type="dxa"/>
            <w:vAlign w:val="center"/>
          </w:tcPr>
          <w:p w14:paraId="241B2CDE">
            <w:pPr>
              <w:widowControl/>
              <w:spacing w:line="276" w:lineRule="auto"/>
              <w:rPr>
                <w:rFonts w:asciiTheme="minorEastAsia" w:hAnsiTheme="minorEastAsia" w:eastAsiaTheme="minorEastAsia"/>
                <w:kern w:val="0"/>
                <w:sz w:val="24"/>
              </w:rPr>
            </w:pPr>
            <w:r>
              <w:rPr>
                <w:rFonts w:hint="eastAsia" w:asciiTheme="minorEastAsia" w:hAnsiTheme="minorEastAsia" w:eastAsiaTheme="minorEastAsia"/>
                <w:kern w:val="0"/>
                <w:sz w:val="24"/>
              </w:rPr>
              <w:t>1、</w:t>
            </w:r>
            <w:r>
              <w:rPr>
                <w:rFonts w:hint="eastAsia" w:asciiTheme="minorEastAsia" w:hAnsiTheme="minorEastAsia" w:eastAsiaTheme="minorEastAsia"/>
                <w:b/>
                <w:kern w:val="0"/>
                <w:sz w:val="24"/>
              </w:rPr>
              <w:t>开标一览表</w:t>
            </w:r>
            <w:r>
              <w:rPr>
                <w:rFonts w:hint="eastAsia" w:asciiTheme="minorEastAsia" w:hAnsiTheme="minorEastAsia" w:eastAsiaTheme="minorEastAsia"/>
                <w:kern w:val="0"/>
                <w:sz w:val="24"/>
              </w:rPr>
              <w:t>单独密封递交。将开标一览表（须签字并加盖公章）放入单独的密封信封。</w:t>
            </w:r>
          </w:p>
          <w:p w14:paraId="67491E4D">
            <w:pPr>
              <w:widowControl/>
              <w:spacing w:line="276" w:lineRule="auto"/>
              <w:rPr>
                <w:rFonts w:asciiTheme="minorEastAsia" w:hAnsiTheme="minorEastAsia" w:eastAsiaTheme="minorEastAsia"/>
                <w:kern w:val="0"/>
                <w:sz w:val="24"/>
              </w:rPr>
            </w:pPr>
            <w:r>
              <w:rPr>
                <w:rFonts w:hint="eastAsia" w:asciiTheme="minorEastAsia" w:hAnsiTheme="minorEastAsia" w:eastAsiaTheme="minorEastAsia"/>
                <w:kern w:val="0"/>
                <w:sz w:val="24"/>
              </w:rPr>
              <w:t>2、投标文件</w:t>
            </w:r>
            <w:r>
              <w:rPr>
                <w:rFonts w:hint="eastAsia" w:asciiTheme="minorEastAsia" w:hAnsiTheme="minorEastAsia" w:eastAsiaTheme="minorEastAsia"/>
                <w:b/>
                <w:kern w:val="0"/>
                <w:sz w:val="24"/>
              </w:rPr>
              <w:t>电子版</w:t>
            </w:r>
            <w:r>
              <w:rPr>
                <w:rFonts w:hint="eastAsia" w:asciiTheme="minorEastAsia" w:hAnsiTheme="minorEastAsia" w:eastAsiaTheme="minorEastAsia"/>
                <w:kern w:val="0"/>
                <w:sz w:val="24"/>
              </w:rPr>
              <w:t>（U盘1份）密封递交。</w:t>
            </w:r>
          </w:p>
          <w:p w14:paraId="5117F6D4">
            <w:pPr>
              <w:widowControl/>
              <w:spacing w:line="276" w:lineRule="auto"/>
              <w:rPr>
                <w:rFonts w:asciiTheme="minorEastAsia" w:hAnsiTheme="minorEastAsia" w:eastAsiaTheme="minorEastAsia"/>
                <w:kern w:val="0"/>
                <w:sz w:val="24"/>
              </w:rPr>
            </w:pPr>
            <w:r>
              <w:rPr>
                <w:rFonts w:hint="eastAsia" w:asciiTheme="minorEastAsia" w:hAnsiTheme="minorEastAsia" w:eastAsiaTheme="minorEastAsia"/>
                <w:kern w:val="0"/>
                <w:sz w:val="24"/>
              </w:rPr>
              <w:t>3、投标文件</w:t>
            </w:r>
            <w:r>
              <w:rPr>
                <w:rFonts w:hint="eastAsia" w:asciiTheme="minorEastAsia" w:hAnsiTheme="minorEastAsia" w:eastAsiaTheme="minorEastAsia"/>
                <w:b/>
                <w:kern w:val="0"/>
                <w:sz w:val="24"/>
              </w:rPr>
              <w:t>正本及副本</w:t>
            </w:r>
            <w:r>
              <w:rPr>
                <w:rFonts w:hint="eastAsia" w:asciiTheme="minorEastAsia" w:hAnsiTheme="minorEastAsia" w:eastAsiaTheme="minorEastAsia"/>
                <w:kern w:val="0"/>
                <w:sz w:val="24"/>
              </w:rPr>
              <w:t>密封在一个单独的信封内，并注明“正本、副本”字样。</w:t>
            </w:r>
          </w:p>
          <w:p w14:paraId="4A95EACB">
            <w:pPr>
              <w:widowControl/>
              <w:spacing w:line="276" w:lineRule="auto"/>
              <w:rPr>
                <w:rFonts w:asciiTheme="minorEastAsia" w:hAnsiTheme="minorEastAsia" w:eastAsiaTheme="minorEastAsia"/>
                <w:kern w:val="0"/>
                <w:sz w:val="24"/>
              </w:rPr>
            </w:pPr>
            <w:r>
              <w:rPr>
                <w:rFonts w:hint="eastAsia" w:asciiTheme="minorEastAsia" w:hAnsiTheme="minorEastAsia" w:eastAsiaTheme="minorEastAsia"/>
                <w:kern w:val="0"/>
                <w:sz w:val="24"/>
              </w:rPr>
              <w:t>4、</w:t>
            </w:r>
            <w:r>
              <w:rPr>
                <w:rFonts w:hint="eastAsia" w:asciiTheme="minorEastAsia" w:hAnsiTheme="minorEastAsia" w:eastAsiaTheme="minorEastAsia"/>
                <w:b/>
                <w:kern w:val="0"/>
                <w:sz w:val="24"/>
              </w:rPr>
              <w:t>投标时，须将上述三个单独的信封分别递交。</w:t>
            </w:r>
          </w:p>
        </w:tc>
      </w:tr>
      <w:tr w14:paraId="2DC85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1" w:hRule="atLeast"/>
          <w:jc w:val="center"/>
        </w:trPr>
        <w:tc>
          <w:tcPr>
            <w:tcW w:w="1276" w:type="dxa"/>
            <w:vAlign w:val="center"/>
          </w:tcPr>
          <w:p w14:paraId="21FB373A">
            <w:pPr>
              <w:pStyle w:val="29"/>
              <w:spacing w:line="276" w:lineRule="auto"/>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4.1.2</w:t>
            </w:r>
          </w:p>
        </w:tc>
        <w:tc>
          <w:tcPr>
            <w:tcW w:w="2239" w:type="dxa"/>
            <w:vAlign w:val="center"/>
          </w:tcPr>
          <w:p w14:paraId="2ABBFDBE">
            <w:pPr>
              <w:pStyle w:val="29"/>
              <w:spacing w:line="276" w:lineRule="auto"/>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封套上写明</w:t>
            </w:r>
          </w:p>
        </w:tc>
        <w:tc>
          <w:tcPr>
            <w:tcW w:w="6006" w:type="dxa"/>
            <w:vAlign w:val="center"/>
          </w:tcPr>
          <w:p w14:paraId="038782B8">
            <w:pPr>
              <w:pStyle w:val="29"/>
              <w:spacing w:line="276" w:lineRule="auto"/>
              <w:jc w:val="left"/>
              <w:rPr>
                <w:rFonts w:asciiTheme="minorEastAsia" w:hAnsiTheme="minorEastAsia" w:eastAsiaTheme="minorEastAsia"/>
                <w:sz w:val="24"/>
                <w:szCs w:val="24"/>
              </w:rPr>
            </w:pPr>
            <w:r>
              <w:rPr>
                <w:rFonts w:hint="eastAsia" w:asciiTheme="minorEastAsia" w:hAnsiTheme="minorEastAsia" w:eastAsiaTheme="minorEastAsia"/>
                <w:sz w:val="24"/>
                <w:szCs w:val="24"/>
              </w:rPr>
              <w:t>送：内蒙古利贞工程项目管理有限公司</w:t>
            </w:r>
          </w:p>
          <w:p w14:paraId="52569C73">
            <w:pPr>
              <w:pStyle w:val="29"/>
              <w:spacing w:line="276" w:lineRule="auto"/>
              <w:jc w:val="left"/>
              <w:rPr>
                <w:rFonts w:asciiTheme="minorEastAsia" w:hAnsiTheme="minorEastAsia" w:eastAsiaTheme="minorEastAsia"/>
                <w:bCs/>
                <w:sz w:val="24"/>
                <w:szCs w:val="24"/>
              </w:rPr>
            </w:pPr>
            <w:r>
              <w:rPr>
                <w:rFonts w:hint="eastAsia" w:asciiTheme="minorEastAsia" w:hAnsiTheme="minorEastAsia" w:eastAsiaTheme="minorEastAsia"/>
                <w:sz w:val="24"/>
                <w:szCs w:val="24"/>
              </w:rPr>
              <w:t>项目名称：</w:t>
            </w:r>
            <w:r>
              <w:rPr>
                <w:rFonts w:asciiTheme="minorEastAsia" w:hAnsiTheme="minorEastAsia" w:eastAsiaTheme="minorEastAsia"/>
                <w:bCs/>
                <w:sz w:val="24"/>
                <w:szCs w:val="24"/>
              </w:rPr>
              <w:t xml:space="preserve"> </w:t>
            </w:r>
          </w:p>
          <w:p w14:paraId="663906F1">
            <w:pPr>
              <w:pStyle w:val="29"/>
              <w:spacing w:line="276" w:lineRule="auto"/>
              <w:jc w:val="left"/>
              <w:rPr>
                <w:rFonts w:asciiTheme="minorEastAsia" w:hAnsiTheme="minorEastAsia" w:eastAsiaTheme="minorEastAsia"/>
                <w:sz w:val="24"/>
                <w:szCs w:val="24"/>
              </w:rPr>
            </w:pPr>
            <w:r>
              <w:rPr>
                <w:rFonts w:hint="eastAsia" w:asciiTheme="minorEastAsia" w:hAnsiTheme="minorEastAsia" w:eastAsiaTheme="minorEastAsia"/>
                <w:sz w:val="24"/>
                <w:szCs w:val="24"/>
              </w:rPr>
              <w:t>项目编号：</w:t>
            </w:r>
          </w:p>
          <w:p w14:paraId="2BD7016B">
            <w:pPr>
              <w:pStyle w:val="29"/>
              <w:spacing w:line="276" w:lineRule="auto"/>
              <w:jc w:val="left"/>
              <w:rPr>
                <w:rFonts w:asciiTheme="minorEastAsia" w:hAnsiTheme="minorEastAsia" w:eastAsiaTheme="minorEastAsia"/>
                <w:sz w:val="24"/>
                <w:szCs w:val="24"/>
              </w:rPr>
            </w:pPr>
            <w:r>
              <w:rPr>
                <w:rFonts w:hint="eastAsia" w:asciiTheme="minorEastAsia" w:hAnsiTheme="minorEastAsia" w:eastAsiaTheme="minorEastAsia"/>
                <w:sz w:val="24"/>
                <w:szCs w:val="24"/>
              </w:rPr>
              <w:t>投标单位：________________________</w:t>
            </w:r>
          </w:p>
          <w:p w14:paraId="5C41A7E3">
            <w:pPr>
              <w:pStyle w:val="29"/>
              <w:spacing w:line="276" w:lineRule="auto"/>
              <w:rPr>
                <w:rFonts w:asciiTheme="minorEastAsia" w:hAnsiTheme="minorEastAsia" w:eastAsiaTheme="minorEastAsia"/>
                <w:sz w:val="24"/>
                <w:szCs w:val="24"/>
              </w:rPr>
            </w:pPr>
            <w:bookmarkStart w:id="30" w:name="EBa0ee2239688740e58049d1074f4b696d"/>
            <w:bookmarkEnd w:id="30"/>
            <w:r>
              <w:rPr>
                <w:rFonts w:hint="eastAsia" w:asciiTheme="minorEastAsia" w:hAnsiTheme="minorEastAsia" w:eastAsiaTheme="minorEastAsia"/>
                <w:sz w:val="24"/>
                <w:szCs w:val="24"/>
              </w:rPr>
              <w:t>投标文件在  年  月  日  时  分（投标人按开标时间自行填写）前不得开启</w:t>
            </w:r>
          </w:p>
        </w:tc>
      </w:tr>
      <w:tr w14:paraId="02652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9" w:hRule="atLeast"/>
          <w:jc w:val="center"/>
        </w:trPr>
        <w:tc>
          <w:tcPr>
            <w:tcW w:w="1276" w:type="dxa"/>
            <w:vAlign w:val="center"/>
          </w:tcPr>
          <w:p w14:paraId="55C885F2">
            <w:pPr>
              <w:pStyle w:val="29"/>
              <w:spacing w:line="276" w:lineRule="auto"/>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4.1.3</w:t>
            </w:r>
          </w:p>
        </w:tc>
        <w:tc>
          <w:tcPr>
            <w:tcW w:w="2239" w:type="dxa"/>
            <w:vAlign w:val="center"/>
          </w:tcPr>
          <w:p w14:paraId="30D64586">
            <w:pPr>
              <w:pStyle w:val="29"/>
              <w:spacing w:line="276" w:lineRule="auto"/>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是否退还投标文件</w:t>
            </w:r>
          </w:p>
        </w:tc>
        <w:tc>
          <w:tcPr>
            <w:tcW w:w="6006" w:type="dxa"/>
            <w:vAlign w:val="center"/>
          </w:tcPr>
          <w:p w14:paraId="3ACA3185">
            <w:pPr>
              <w:pStyle w:val="29"/>
              <w:spacing w:line="276" w:lineRule="auto"/>
              <w:rPr>
                <w:rFonts w:asciiTheme="minorEastAsia" w:hAnsiTheme="minorEastAsia" w:eastAsiaTheme="minorEastAsia"/>
                <w:sz w:val="24"/>
                <w:szCs w:val="24"/>
              </w:rPr>
            </w:pPr>
            <w:bookmarkStart w:id="31" w:name="EB3afafdbe29c14bdf960af777cf04218b"/>
            <w:bookmarkEnd w:id="31"/>
            <w:r>
              <w:rPr>
                <w:rFonts w:hint="eastAsia" w:asciiTheme="minorEastAsia" w:hAnsiTheme="minorEastAsia" w:eastAsiaTheme="minorEastAsia"/>
                <w:sz w:val="24"/>
                <w:szCs w:val="24"/>
              </w:rPr>
              <w:t>□是</w:t>
            </w:r>
          </w:p>
          <w:p w14:paraId="5FBC2732">
            <w:pPr>
              <w:pStyle w:val="29"/>
              <w:spacing w:line="276" w:lineRule="auto"/>
              <w:rPr>
                <w:rFonts w:asciiTheme="minorEastAsia" w:hAnsiTheme="minorEastAsia" w:eastAsiaTheme="minorEastAsia"/>
                <w:color w:val="000000"/>
                <w:sz w:val="24"/>
                <w:szCs w:val="24"/>
              </w:rPr>
            </w:pPr>
            <w:r>
              <w:rPr>
                <w:rFonts w:asciiTheme="minorEastAsia" w:hAnsiTheme="minorEastAsia" w:eastAsiaTheme="minorEastAsia"/>
                <w:sz w:val="24"/>
                <w:szCs w:val="24"/>
              </w:rPr>
              <w:fldChar w:fldCharType="begin"/>
            </w:r>
            <w:r>
              <w:rPr>
                <w:rFonts w:hint="eastAsia" w:asciiTheme="minorEastAsia" w:hAnsiTheme="minorEastAsia" w:eastAsiaTheme="minorEastAsia"/>
                <w:sz w:val="24"/>
                <w:szCs w:val="24"/>
              </w:rPr>
              <w:instrText xml:space="preserve">eq \o\ac(□,</w:instrText>
            </w:r>
            <w:r>
              <w:rPr>
                <w:rFonts w:hint="eastAsia" w:asciiTheme="minorEastAsia" w:hAnsiTheme="minorEastAsia" w:eastAsiaTheme="minorEastAsia"/>
                <w:position w:val="2"/>
                <w:sz w:val="24"/>
                <w:szCs w:val="24"/>
              </w:rPr>
              <w:instrText xml:space="preserve">√</w:instrText>
            </w:r>
            <w:r>
              <w:rPr>
                <w:rFonts w:hint="eastAsia" w:asciiTheme="minorEastAsia" w:hAnsiTheme="minorEastAsia" w:eastAsiaTheme="minorEastAsia"/>
                <w:sz w:val="24"/>
                <w:szCs w:val="24"/>
              </w:rPr>
              <w:instrText xml:space="preserve">)</w:instrText>
            </w:r>
            <w:r>
              <w:rPr>
                <w:rFonts w:asciiTheme="minorEastAsia" w:hAnsiTheme="minorEastAsia" w:eastAsiaTheme="minorEastAsia"/>
                <w:sz w:val="24"/>
                <w:szCs w:val="24"/>
              </w:rPr>
              <w:fldChar w:fldCharType="end"/>
            </w:r>
            <w:r>
              <w:rPr>
                <w:rFonts w:hint="eastAsia" w:asciiTheme="minorEastAsia" w:hAnsiTheme="minorEastAsia" w:eastAsiaTheme="minorEastAsia"/>
                <w:sz w:val="24"/>
                <w:szCs w:val="24"/>
              </w:rPr>
              <w:t>否</w:t>
            </w:r>
          </w:p>
        </w:tc>
      </w:tr>
      <w:tr w14:paraId="78FE9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9" w:hRule="atLeast"/>
          <w:jc w:val="center"/>
        </w:trPr>
        <w:tc>
          <w:tcPr>
            <w:tcW w:w="1276" w:type="dxa"/>
            <w:vAlign w:val="center"/>
          </w:tcPr>
          <w:p w14:paraId="2B39994E">
            <w:pPr>
              <w:pStyle w:val="29"/>
              <w:spacing w:line="276" w:lineRule="auto"/>
              <w:jc w:val="center"/>
              <w:rPr>
                <w:rFonts w:asciiTheme="minorEastAsia" w:hAnsiTheme="minorEastAsia" w:eastAsiaTheme="minorEastAsia"/>
                <w:color w:val="000000"/>
                <w:sz w:val="24"/>
                <w:szCs w:val="24"/>
              </w:rPr>
            </w:pPr>
            <w:r>
              <w:rPr>
                <w:rFonts w:asciiTheme="minorEastAsia" w:hAnsiTheme="minorEastAsia" w:eastAsiaTheme="minorEastAsia"/>
                <w:color w:val="000000"/>
                <w:sz w:val="24"/>
                <w:szCs w:val="24"/>
              </w:rPr>
              <w:t>5.1</w:t>
            </w:r>
          </w:p>
        </w:tc>
        <w:tc>
          <w:tcPr>
            <w:tcW w:w="2239" w:type="dxa"/>
            <w:vAlign w:val="center"/>
          </w:tcPr>
          <w:p w14:paraId="7E1F584A">
            <w:pPr>
              <w:pStyle w:val="29"/>
              <w:spacing w:line="276" w:lineRule="auto"/>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开标时间和地点</w:t>
            </w:r>
          </w:p>
        </w:tc>
        <w:tc>
          <w:tcPr>
            <w:tcW w:w="6006" w:type="dxa"/>
            <w:vAlign w:val="center"/>
          </w:tcPr>
          <w:p w14:paraId="0BB289FB">
            <w:pPr>
              <w:pStyle w:val="29"/>
              <w:spacing w:line="276" w:lineRule="auto"/>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开标时间：同投标截止时间</w:t>
            </w:r>
          </w:p>
          <w:p w14:paraId="0A476997">
            <w:pPr>
              <w:pStyle w:val="29"/>
              <w:spacing w:line="276" w:lineRule="auto"/>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开标地点：内蒙古利贞工程项目管理有限公司开标室（呼和浩特市赛罕区如意和大街雅世大厦13楼）</w:t>
            </w:r>
          </w:p>
          <w:p w14:paraId="18EAAC6D">
            <w:pPr>
              <w:pStyle w:val="29"/>
              <w:spacing w:line="276" w:lineRule="auto"/>
              <w:jc w:val="left"/>
              <w:rPr>
                <w:rFonts w:asciiTheme="minorEastAsia" w:hAnsiTheme="minorEastAsia" w:eastAsiaTheme="minorEastAsia"/>
                <w:sz w:val="24"/>
                <w:szCs w:val="24"/>
              </w:rPr>
            </w:pPr>
            <w:r>
              <w:rPr>
                <w:rFonts w:hint="eastAsia" w:asciiTheme="minorEastAsia" w:hAnsiTheme="minorEastAsia" w:eastAsiaTheme="minorEastAsia"/>
                <w:b/>
                <w:sz w:val="24"/>
                <w:szCs w:val="24"/>
              </w:rPr>
              <w:t>开标参与人员：参加本项目的授权委托人须携带身份证、授权委托书参加开标会议；</w:t>
            </w:r>
          </w:p>
        </w:tc>
      </w:tr>
      <w:tr w14:paraId="3CB44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1276" w:type="dxa"/>
            <w:vAlign w:val="center"/>
          </w:tcPr>
          <w:p w14:paraId="1F6A8DA2">
            <w:pPr>
              <w:widowControl/>
              <w:spacing w:before="100" w:beforeAutospacing="1" w:after="100" w:afterAutospacing="1" w:line="276" w:lineRule="auto"/>
              <w:jc w:val="center"/>
              <w:rPr>
                <w:rFonts w:asciiTheme="minorEastAsia" w:hAnsiTheme="minorEastAsia" w:eastAsiaTheme="minorEastAsia"/>
                <w:sz w:val="24"/>
              </w:rPr>
            </w:pPr>
            <w:r>
              <w:rPr>
                <w:rFonts w:asciiTheme="minorEastAsia" w:hAnsiTheme="minorEastAsia" w:eastAsiaTheme="minorEastAsia"/>
                <w:sz w:val="24"/>
              </w:rPr>
              <w:t>6.1</w:t>
            </w:r>
          </w:p>
        </w:tc>
        <w:tc>
          <w:tcPr>
            <w:tcW w:w="2239" w:type="dxa"/>
            <w:vAlign w:val="center"/>
          </w:tcPr>
          <w:p w14:paraId="23E42DE9">
            <w:pPr>
              <w:widowControl/>
              <w:tabs>
                <w:tab w:val="left" w:pos="2446"/>
              </w:tabs>
              <w:spacing w:line="276" w:lineRule="auto"/>
              <w:rPr>
                <w:rFonts w:asciiTheme="minorEastAsia" w:hAnsiTheme="minorEastAsia" w:eastAsiaTheme="minorEastAsia"/>
                <w:sz w:val="24"/>
                <w:highlight w:val="none"/>
              </w:rPr>
            </w:pPr>
            <w:r>
              <w:rPr>
                <w:rFonts w:asciiTheme="minorEastAsia" w:hAnsiTheme="minorEastAsia" w:eastAsiaTheme="minorEastAsia"/>
                <w:sz w:val="24"/>
                <w:highlight w:val="none"/>
              </w:rPr>
              <w:t>评标委员会的组建</w:t>
            </w:r>
          </w:p>
        </w:tc>
        <w:tc>
          <w:tcPr>
            <w:tcW w:w="6006" w:type="dxa"/>
            <w:vAlign w:val="center"/>
          </w:tcPr>
          <w:p w14:paraId="4DF893AD">
            <w:pPr>
              <w:spacing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评标委员会构成：5人，</w:t>
            </w:r>
            <w:bookmarkStart w:id="32" w:name="OLE_LINK49"/>
            <w:bookmarkStart w:id="33" w:name="OLE_LINK51"/>
            <w:bookmarkStart w:id="34" w:name="OLE_LINK50"/>
            <w:bookmarkStart w:id="35" w:name="OLE_LINK53"/>
            <w:bookmarkStart w:id="36" w:name="OLE_LINK52"/>
            <w:bookmarkStart w:id="37" w:name="OLE_LINK56"/>
            <w:bookmarkStart w:id="38" w:name="OLE_LINK55"/>
            <w:bookmarkStart w:id="39" w:name="OLE_LINK54"/>
            <w:r>
              <w:rPr>
                <w:rFonts w:hint="eastAsia" w:ascii="宋体" w:hAnsi="宋体" w:eastAsia="宋体" w:cs="宋体"/>
                <w:sz w:val="24"/>
                <w:szCs w:val="24"/>
                <w:highlight w:val="none"/>
                <w:lang w:eastAsia="zh-CN"/>
              </w:rPr>
              <w:t>由采购人代表1人</w:t>
            </w:r>
            <w:r>
              <w:rPr>
                <w:rFonts w:hint="eastAsia" w:ascii="宋体" w:hAnsi="宋体" w:eastAsia="宋体" w:cs="宋体"/>
                <w:sz w:val="24"/>
                <w:szCs w:val="24"/>
                <w:highlight w:val="none"/>
                <w:lang w:val="en-US" w:eastAsia="zh-CN"/>
              </w:rPr>
              <w:t>及</w:t>
            </w:r>
            <w:r>
              <w:rPr>
                <w:rFonts w:hint="eastAsia" w:ascii="宋体" w:hAnsi="宋体" w:eastAsia="宋体" w:cs="宋体"/>
                <w:sz w:val="24"/>
                <w:szCs w:val="24"/>
                <w:highlight w:val="none"/>
                <w:lang w:eastAsia="zh-CN"/>
              </w:rPr>
              <w:t>专家库中随机抽取4名</w:t>
            </w:r>
            <w:r>
              <w:rPr>
                <w:rFonts w:hint="eastAsia" w:ascii="宋体" w:hAnsi="宋体" w:cs="宋体"/>
                <w:sz w:val="24"/>
                <w:szCs w:val="24"/>
                <w:highlight w:val="none"/>
                <w:lang w:eastAsia="zh-CN"/>
              </w:rPr>
              <w:t>评审专家</w:t>
            </w:r>
            <w:r>
              <w:rPr>
                <w:rFonts w:hint="eastAsia" w:ascii="宋体" w:hAnsi="宋体" w:eastAsia="宋体" w:cs="宋体"/>
                <w:sz w:val="24"/>
                <w:szCs w:val="24"/>
                <w:highlight w:val="none"/>
                <w:lang w:eastAsia="zh-CN"/>
              </w:rPr>
              <w:t>组成</w:t>
            </w:r>
            <w:bookmarkEnd w:id="32"/>
            <w:bookmarkEnd w:id="33"/>
            <w:bookmarkEnd w:id="34"/>
            <w:r>
              <w:rPr>
                <w:rFonts w:hint="eastAsia" w:ascii="宋体" w:hAnsi="宋体" w:eastAsia="宋体" w:cs="宋体"/>
                <w:sz w:val="24"/>
                <w:szCs w:val="24"/>
                <w:highlight w:val="none"/>
                <w:lang w:eastAsia="zh-CN"/>
              </w:rPr>
              <w:t>。</w:t>
            </w:r>
            <w:bookmarkEnd w:id="35"/>
            <w:bookmarkEnd w:id="36"/>
            <w:bookmarkEnd w:id="37"/>
            <w:bookmarkEnd w:id="38"/>
            <w:bookmarkEnd w:id="39"/>
          </w:p>
        </w:tc>
      </w:tr>
      <w:tr w14:paraId="029D8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1276" w:type="dxa"/>
            <w:vAlign w:val="center"/>
          </w:tcPr>
          <w:p w14:paraId="7E7B4A15">
            <w:pPr>
              <w:widowControl/>
              <w:spacing w:before="100" w:beforeAutospacing="1" w:after="100" w:afterAutospacing="1" w:line="276" w:lineRule="auto"/>
              <w:jc w:val="center"/>
              <w:rPr>
                <w:rFonts w:asciiTheme="minorEastAsia" w:hAnsiTheme="minorEastAsia" w:eastAsiaTheme="minorEastAsia"/>
                <w:sz w:val="24"/>
              </w:rPr>
            </w:pPr>
            <w:r>
              <w:rPr>
                <w:rFonts w:asciiTheme="minorEastAsia" w:hAnsiTheme="minorEastAsia" w:eastAsiaTheme="minorEastAsia"/>
                <w:sz w:val="24"/>
              </w:rPr>
              <w:t>7.1</w:t>
            </w:r>
          </w:p>
        </w:tc>
        <w:tc>
          <w:tcPr>
            <w:tcW w:w="2239" w:type="dxa"/>
            <w:vAlign w:val="center"/>
          </w:tcPr>
          <w:p w14:paraId="57A6BA4F">
            <w:pPr>
              <w:widowControl/>
              <w:tabs>
                <w:tab w:val="left" w:pos="2446"/>
              </w:tabs>
              <w:spacing w:line="276" w:lineRule="auto"/>
              <w:rPr>
                <w:rFonts w:asciiTheme="minorEastAsia" w:hAnsiTheme="minorEastAsia" w:eastAsiaTheme="minorEastAsia"/>
                <w:sz w:val="24"/>
                <w:highlight w:val="none"/>
              </w:rPr>
            </w:pPr>
            <w:r>
              <w:rPr>
                <w:rFonts w:asciiTheme="minorEastAsia" w:hAnsiTheme="minorEastAsia" w:eastAsiaTheme="minorEastAsia"/>
                <w:sz w:val="24"/>
                <w:highlight w:val="none"/>
              </w:rPr>
              <w:t>是否授权评标委员会确定中标人</w:t>
            </w:r>
          </w:p>
        </w:tc>
        <w:tc>
          <w:tcPr>
            <w:tcW w:w="6006" w:type="dxa"/>
            <w:vAlign w:val="center"/>
          </w:tcPr>
          <w:p w14:paraId="411BA8BF">
            <w:pPr>
              <w:widowControl/>
              <w:spacing w:line="276" w:lineRule="auto"/>
              <w:rPr>
                <w:rFonts w:asciiTheme="minorEastAsia" w:hAnsiTheme="minorEastAsia" w:eastAsiaTheme="minorEastAsia"/>
                <w:sz w:val="24"/>
                <w:highlight w:val="none"/>
              </w:rPr>
            </w:pPr>
            <w:r>
              <w:rPr>
                <w:rFonts w:hint="eastAsia" w:asciiTheme="minorEastAsia" w:hAnsiTheme="minorEastAsia" w:eastAsiaTheme="minorEastAsia"/>
                <w:sz w:val="24"/>
                <w:highlight w:val="none"/>
                <w:lang w:val="en-US" w:eastAsia="zh-CN"/>
              </w:rPr>
              <w:t>是</w:t>
            </w:r>
          </w:p>
        </w:tc>
      </w:tr>
      <w:tr w14:paraId="32995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1276" w:type="dxa"/>
            <w:vAlign w:val="center"/>
          </w:tcPr>
          <w:p w14:paraId="05A40BCE">
            <w:pPr>
              <w:widowControl/>
              <w:spacing w:before="100" w:beforeAutospacing="1" w:after="100" w:afterAutospacing="1" w:line="276" w:lineRule="auto"/>
              <w:jc w:val="center"/>
              <w:rPr>
                <w:rFonts w:asciiTheme="minorEastAsia" w:hAnsiTheme="minorEastAsia" w:eastAsiaTheme="minorEastAsia"/>
                <w:sz w:val="24"/>
              </w:rPr>
            </w:pPr>
            <w:r>
              <w:rPr>
                <w:rFonts w:asciiTheme="minorEastAsia" w:hAnsiTheme="minorEastAsia" w:eastAsiaTheme="minorEastAsia"/>
                <w:sz w:val="24"/>
              </w:rPr>
              <w:t>7.</w:t>
            </w:r>
            <w:r>
              <w:rPr>
                <w:rFonts w:hint="eastAsia" w:asciiTheme="minorEastAsia" w:hAnsiTheme="minorEastAsia" w:eastAsiaTheme="minorEastAsia"/>
                <w:sz w:val="24"/>
              </w:rPr>
              <w:t>2</w:t>
            </w:r>
          </w:p>
        </w:tc>
        <w:tc>
          <w:tcPr>
            <w:tcW w:w="2239" w:type="dxa"/>
            <w:vAlign w:val="center"/>
          </w:tcPr>
          <w:p w14:paraId="3954B77C">
            <w:pPr>
              <w:widowControl/>
              <w:tabs>
                <w:tab w:val="left" w:pos="2446"/>
              </w:tabs>
              <w:spacing w:line="276" w:lineRule="auto"/>
              <w:rPr>
                <w:rFonts w:asciiTheme="minorEastAsia" w:hAnsiTheme="minorEastAsia" w:eastAsiaTheme="minorEastAsia"/>
                <w:sz w:val="24"/>
              </w:rPr>
            </w:pPr>
            <w:r>
              <w:rPr>
                <w:rFonts w:asciiTheme="minorEastAsia" w:hAnsiTheme="minorEastAsia" w:eastAsiaTheme="minorEastAsia"/>
                <w:sz w:val="24"/>
              </w:rPr>
              <w:t>签订合同时间</w:t>
            </w:r>
          </w:p>
        </w:tc>
        <w:tc>
          <w:tcPr>
            <w:tcW w:w="6006" w:type="dxa"/>
            <w:vAlign w:val="center"/>
          </w:tcPr>
          <w:p w14:paraId="74E96F26">
            <w:pPr>
              <w:widowControl/>
              <w:spacing w:line="276" w:lineRule="auto"/>
              <w:rPr>
                <w:rFonts w:asciiTheme="minorEastAsia" w:hAnsiTheme="minorEastAsia" w:eastAsiaTheme="minorEastAsia"/>
                <w:sz w:val="24"/>
              </w:rPr>
            </w:pPr>
            <w:r>
              <w:rPr>
                <w:rFonts w:asciiTheme="minorEastAsia" w:hAnsiTheme="minorEastAsia" w:eastAsiaTheme="minorEastAsia"/>
                <w:sz w:val="24"/>
              </w:rPr>
              <w:t>中标通知书发出30日内</w:t>
            </w:r>
          </w:p>
        </w:tc>
      </w:tr>
      <w:tr w14:paraId="2DEBF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9521" w:type="dxa"/>
            <w:gridSpan w:val="3"/>
            <w:vAlign w:val="center"/>
          </w:tcPr>
          <w:p w14:paraId="208DAC1C">
            <w:pPr>
              <w:widowControl/>
              <w:spacing w:line="276" w:lineRule="auto"/>
              <w:jc w:val="center"/>
              <w:rPr>
                <w:rFonts w:asciiTheme="minorEastAsia" w:hAnsiTheme="minorEastAsia" w:eastAsiaTheme="minorEastAsia"/>
                <w:sz w:val="24"/>
              </w:rPr>
            </w:pPr>
            <w:r>
              <w:rPr>
                <w:rFonts w:hint="eastAsia" w:asciiTheme="minorEastAsia" w:hAnsiTheme="minorEastAsia" w:eastAsiaTheme="minorEastAsia"/>
                <w:sz w:val="24"/>
              </w:rPr>
              <w:t>8、</w:t>
            </w:r>
            <w:r>
              <w:rPr>
                <w:rFonts w:hint="eastAsia" w:asciiTheme="minorEastAsia" w:hAnsiTheme="minorEastAsia" w:eastAsiaTheme="minorEastAsia"/>
                <w:color w:val="000000"/>
                <w:sz w:val="24"/>
              </w:rPr>
              <w:t>需要补充的其他内容</w:t>
            </w:r>
          </w:p>
        </w:tc>
      </w:tr>
      <w:tr w14:paraId="563E1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6" w:hRule="atLeast"/>
          <w:jc w:val="center"/>
        </w:trPr>
        <w:tc>
          <w:tcPr>
            <w:tcW w:w="1276" w:type="dxa"/>
            <w:vAlign w:val="center"/>
          </w:tcPr>
          <w:p w14:paraId="52A00A34">
            <w:pPr>
              <w:spacing w:line="276" w:lineRule="auto"/>
              <w:jc w:val="center"/>
              <w:rPr>
                <w:rFonts w:asciiTheme="minorEastAsia" w:hAnsiTheme="minorEastAsia" w:eastAsiaTheme="minorEastAsia"/>
                <w:kern w:val="0"/>
                <w:sz w:val="24"/>
              </w:rPr>
            </w:pPr>
            <w:r>
              <w:rPr>
                <w:rFonts w:hint="eastAsia" w:asciiTheme="minorEastAsia" w:hAnsiTheme="minorEastAsia" w:eastAsiaTheme="minorEastAsia"/>
                <w:b/>
                <w:kern w:val="0"/>
                <w:sz w:val="24"/>
              </w:rPr>
              <w:t>*8.1</w:t>
            </w:r>
          </w:p>
        </w:tc>
        <w:tc>
          <w:tcPr>
            <w:tcW w:w="2239" w:type="dxa"/>
            <w:vAlign w:val="center"/>
          </w:tcPr>
          <w:p w14:paraId="151FB39C">
            <w:pPr>
              <w:tabs>
                <w:tab w:val="left" w:pos="2446"/>
              </w:tabs>
              <w:spacing w:line="276" w:lineRule="auto"/>
              <w:rPr>
                <w:rFonts w:asciiTheme="minorEastAsia" w:hAnsiTheme="minorEastAsia" w:eastAsiaTheme="minorEastAsia"/>
                <w:sz w:val="24"/>
                <w:highlight w:val="none"/>
              </w:rPr>
            </w:pPr>
            <w:r>
              <w:rPr>
                <w:rFonts w:hint="eastAsia" w:asciiTheme="minorEastAsia" w:hAnsiTheme="minorEastAsia" w:eastAsiaTheme="minorEastAsia"/>
                <w:sz w:val="24"/>
                <w:highlight w:val="none"/>
              </w:rPr>
              <w:t>招标预算</w:t>
            </w:r>
          </w:p>
        </w:tc>
        <w:tc>
          <w:tcPr>
            <w:tcW w:w="6006" w:type="dxa"/>
            <w:vAlign w:val="center"/>
          </w:tcPr>
          <w:p w14:paraId="3E03F376">
            <w:pPr>
              <w:spacing w:line="360" w:lineRule="auto"/>
              <w:rPr>
                <w:rFonts w:asciiTheme="minorEastAsia" w:hAnsiTheme="minorEastAsia" w:eastAsiaTheme="minorEastAsia"/>
                <w:b/>
                <w:bCs/>
                <w:sz w:val="24"/>
                <w:highlight w:val="none"/>
              </w:rPr>
            </w:pPr>
            <w:r>
              <w:rPr>
                <w:rFonts w:hint="eastAsia" w:asciiTheme="minorEastAsia" w:hAnsiTheme="minorEastAsia" w:eastAsiaTheme="minorEastAsia"/>
                <w:b/>
                <w:bCs/>
                <w:sz w:val="24"/>
                <w:highlight w:val="none"/>
              </w:rPr>
              <w:t>1、招标预算：</w:t>
            </w:r>
            <w:r>
              <w:rPr>
                <w:rFonts w:hint="eastAsia" w:asciiTheme="minorEastAsia" w:hAnsiTheme="minorEastAsia" w:eastAsiaTheme="minorEastAsia"/>
                <w:b/>
                <w:bCs/>
                <w:sz w:val="24"/>
                <w:highlight w:val="none"/>
                <w:lang w:eastAsia="zh-CN"/>
              </w:rPr>
              <w:t>伍拾柒万叁仟伍佰肆拾叁圆整</w:t>
            </w:r>
            <w:r>
              <w:rPr>
                <w:rFonts w:hint="eastAsia" w:asciiTheme="minorEastAsia" w:hAnsiTheme="minorEastAsia" w:eastAsiaTheme="minorEastAsia"/>
                <w:b/>
                <w:bCs/>
                <w:sz w:val="24"/>
                <w:highlight w:val="none"/>
              </w:rPr>
              <w:t>（小写</w:t>
            </w:r>
            <w:r>
              <w:rPr>
                <w:rFonts w:hint="eastAsia" w:ascii="仿宋" w:hAnsi="仿宋" w:eastAsia="仿宋" w:cs="仿宋"/>
                <w:b/>
                <w:bCs/>
                <w:sz w:val="24"/>
                <w:szCs w:val="24"/>
                <w:highlight w:val="none"/>
                <w:vertAlign w:val="baseline"/>
                <w:lang w:val="en-US" w:eastAsia="zh-CN"/>
              </w:rPr>
              <w:t>573543.00</w:t>
            </w:r>
            <w:r>
              <w:rPr>
                <w:rFonts w:hint="eastAsia" w:asciiTheme="minorEastAsia" w:hAnsiTheme="minorEastAsia" w:eastAsiaTheme="minorEastAsia"/>
                <w:b/>
                <w:bCs/>
                <w:sz w:val="24"/>
                <w:highlight w:val="none"/>
              </w:rPr>
              <w:t>元）</w:t>
            </w:r>
          </w:p>
          <w:p w14:paraId="1693C08D">
            <w:pPr>
              <w:tabs>
                <w:tab w:val="left" w:pos="2446"/>
              </w:tabs>
              <w:spacing w:line="360" w:lineRule="auto"/>
              <w:rPr>
                <w:rFonts w:asciiTheme="minorEastAsia" w:hAnsiTheme="minorEastAsia" w:eastAsiaTheme="minorEastAsia"/>
                <w:sz w:val="24"/>
                <w:highlight w:val="none"/>
              </w:rPr>
            </w:pPr>
            <w:r>
              <w:rPr>
                <w:rFonts w:hint="eastAsia" w:asciiTheme="minorEastAsia" w:hAnsiTheme="minorEastAsia" w:eastAsiaTheme="minorEastAsia"/>
                <w:b/>
                <w:bCs/>
                <w:sz w:val="24"/>
                <w:highlight w:val="none"/>
              </w:rPr>
              <w:t>2、投标报价超出招标控制价的投标人其投标文件将会被否决。</w:t>
            </w:r>
          </w:p>
        </w:tc>
      </w:tr>
      <w:tr w14:paraId="39CFD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6" w:hRule="atLeast"/>
          <w:jc w:val="center"/>
        </w:trPr>
        <w:tc>
          <w:tcPr>
            <w:tcW w:w="1276" w:type="dxa"/>
            <w:vAlign w:val="center"/>
          </w:tcPr>
          <w:p w14:paraId="7CE85555">
            <w:pPr>
              <w:spacing w:line="276" w:lineRule="auto"/>
              <w:jc w:val="center"/>
              <w:rPr>
                <w:rFonts w:hint="eastAsia" w:asciiTheme="minorEastAsia" w:hAnsiTheme="minorEastAsia" w:eastAsiaTheme="minorEastAsia"/>
                <w:b/>
                <w:kern w:val="0"/>
                <w:sz w:val="24"/>
                <w:highlight w:val="yellow"/>
                <w:lang w:val="en-US" w:eastAsia="zh-CN"/>
              </w:rPr>
            </w:pPr>
            <w:r>
              <w:rPr>
                <w:rFonts w:hint="eastAsia" w:asciiTheme="minorEastAsia" w:hAnsiTheme="minorEastAsia" w:eastAsiaTheme="minorEastAsia"/>
                <w:b/>
                <w:kern w:val="0"/>
                <w:sz w:val="24"/>
                <w:highlight w:val="yellow"/>
              </w:rPr>
              <w:t>*8.</w:t>
            </w:r>
            <w:r>
              <w:rPr>
                <w:rFonts w:hint="eastAsia" w:asciiTheme="minorEastAsia" w:hAnsiTheme="minorEastAsia" w:eastAsiaTheme="minorEastAsia"/>
                <w:b/>
                <w:kern w:val="0"/>
                <w:sz w:val="24"/>
                <w:highlight w:val="yellow"/>
                <w:lang w:val="en-US" w:eastAsia="zh-CN"/>
              </w:rPr>
              <w:t>2</w:t>
            </w:r>
          </w:p>
        </w:tc>
        <w:tc>
          <w:tcPr>
            <w:tcW w:w="2239" w:type="dxa"/>
            <w:vAlign w:val="center"/>
          </w:tcPr>
          <w:p w14:paraId="6A2A1DC1">
            <w:pPr>
              <w:tabs>
                <w:tab w:val="left" w:pos="2446"/>
              </w:tabs>
              <w:spacing w:line="276" w:lineRule="auto"/>
              <w:rPr>
                <w:rFonts w:hint="eastAsia" w:asciiTheme="minorEastAsia" w:hAnsiTheme="minorEastAsia" w:eastAsiaTheme="minorEastAsia"/>
                <w:sz w:val="24"/>
                <w:highlight w:val="yellow"/>
                <w:lang w:eastAsia="zh-CN"/>
              </w:rPr>
            </w:pPr>
            <w:r>
              <w:rPr>
                <w:rFonts w:hint="eastAsia" w:asciiTheme="minorEastAsia" w:hAnsiTheme="minorEastAsia" w:eastAsiaTheme="minorEastAsia"/>
                <w:sz w:val="24"/>
                <w:highlight w:val="yellow"/>
                <w:lang w:eastAsia="zh-CN"/>
              </w:rPr>
              <w:t>招标文件获取方式</w:t>
            </w:r>
          </w:p>
        </w:tc>
        <w:tc>
          <w:tcPr>
            <w:tcW w:w="6006" w:type="dxa"/>
            <w:vAlign w:val="center"/>
          </w:tcPr>
          <w:p w14:paraId="04083BB1">
            <w:pPr>
              <w:spacing w:line="360" w:lineRule="auto"/>
              <w:rPr>
                <w:rFonts w:hint="eastAsia" w:asciiTheme="minorEastAsia" w:hAnsiTheme="minorEastAsia" w:eastAsiaTheme="minorEastAsia"/>
                <w:sz w:val="24"/>
                <w:highlight w:val="yellow"/>
              </w:rPr>
            </w:pPr>
            <w:r>
              <w:rPr>
                <w:rFonts w:hint="eastAsia" w:asciiTheme="minorEastAsia" w:hAnsiTheme="minorEastAsia" w:eastAsiaTheme="minorEastAsia"/>
                <w:b/>
                <w:bCs/>
                <w:sz w:val="24"/>
                <w:highlight w:val="yellow"/>
              </w:rPr>
              <w:t>潜在投标人须在招标代理机构完成报名登记后方可获取有效招标文件。各公告发布平台公示的招标文件及附件仅作信息公开查阅使用，不代表投标人已完成报名登记、不视为发放有效招标文件；投标人通过任何渠道自行获取的招标文件无效，不得作为投标依据。</w:t>
            </w:r>
            <w:r>
              <w:rPr>
                <w:rFonts w:hint="eastAsia" w:asciiTheme="minorEastAsia" w:hAnsiTheme="minorEastAsia" w:eastAsiaTheme="minorEastAsia"/>
                <w:sz w:val="24"/>
                <w:highlight w:val="yellow"/>
              </w:rPr>
              <w:t>未办理报名登记的潜在投标人不具备投标资格，相关后果自行承担。</w:t>
            </w:r>
          </w:p>
        </w:tc>
      </w:tr>
      <w:tr w14:paraId="41F1B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6" w:hRule="atLeast"/>
          <w:jc w:val="center"/>
        </w:trPr>
        <w:tc>
          <w:tcPr>
            <w:tcW w:w="1276" w:type="dxa"/>
            <w:shd w:val="clear" w:color="auto" w:fill="auto"/>
            <w:vAlign w:val="center"/>
          </w:tcPr>
          <w:p w14:paraId="5057D54E">
            <w:pPr>
              <w:spacing w:line="276" w:lineRule="auto"/>
              <w:jc w:val="center"/>
              <w:rPr>
                <w:rFonts w:hint="eastAsia" w:cs="Times New Roman" w:asciiTheme="minorEastAsia" w:hAnsiTheme="minorEastAsia" w:eastAsiaTheme="minorEastAsia"/>
                <w:b/>
                <w:kern w:val="0"/>
                <w:sz w:val="24"/>
                <w:szCs w:val="24"/>
                <w:lang w:val="en-US" w:eastAsia="zh-CN" w:bidi="ar-SA"/>
              </w:rPr>
            </w:pPr>
            <w:r>
              <w:rPr>
                <w:rFonts w:hint="eastAsia" w:asciiTheme="minorEastAsia" w:hAnsiTheme="minorEastAsia" w:eastAsiaTheme="minorEastAsia"/>
                <w:b/>
                <w:kern w:val="0"/>
                <w:sz w:val="24"/>
              </w:rPr>
              <w:t>*8.</w:t>
            </w:r>
            <w:r>
              <w:rPr>
                <w:rFonts w:hint="eastAsia" w:asciiTheme="minorEastAsia" w:hAnsiTheme="minorEastAsia" w:eastAsiaTheme="minorEastAsia"/>
                <w:b/>
                <w:kern w:val="0"/>
                <w:sz w:val="24"/>
                <w:lang w:val="en-US" w:eastAsia="zh-CN"/>
              </w:rPr>
              <w:t>3</w:t>
            </w:r>
          </w:p>
        </w:tc>
        <w:tc>
          <w:tcPr>
            <w:tcW w:w="2239" w:type="dxa"/>
            <w:shd w:val="clear" w:color="auto" w:fill="auto"/>
            <w:vAlign w:val="center"/>
          </w:tcPr>
          <w:p w14:paraId="58653BF1">
            <w:pPr>
              <w:tabs>
                <w:tab w:val="left" w:pos="2446"/>
              </w:tabs>
              <w:spacing w:line="276" w:lineRule="auto"/>
              <w:rPr>
                <w:rFonts w:hint="eastAsia" w:cs="Times New Roman" w:asciiTheme="minorEastAsia" w:hAnsiTheme="minorEastAsia" w:eastAsiaTheme="minorEastAsia"/>
                <w:kern w:val="2"/>
                <w:sz w:val="24"/>
                <w:szCs w:val="24"/>
                <w:highlight w:val="none"/>
                <w:lang w:val="en-US" w:eastAsia="zh-CN" w:bidi="ar-SA"/>
              </w:rPr>
            </w:pPr>
            <w:r>
              <w:rPr>
                <w:rFonts w:ascii="Segoe UI Symbol" w:hAnsi="Segoe UI Symbol" w:eastAsia="Segoe UI Symbol" w:cs="Segoe UI Symbol"/>
                <w:i w:val="0"/>
                <w:iCs w:val="0"/>
                <w:caps w:val="0"/>
                <w:color w:val="1F2329"/>
                <w:spacing w:val="0"/>
                <w:sz w:val="24"/>
                <w:szCs w:val="24"/>
                <w:highlight w:val="none"/>
                <w:shd w:val="clear" w:fill="FFFFFF"/>
              </w:rPr>
              <w:t>采购方式说明</w:t>
            </w:r>
          </w:p>
        </w:tc>
        <w:tc>
          <w:tcPr>
            <w:tcW w:w="6006" w:type="dxa"/>
            <w:shd w:val="clear" w:color="auto" w:fill="auto"/>
            <w:vAlign w:val="center"/>
          </w:tcPr>
          <w:p w14:paraId="57A8EF5A">
            <w:pPr>
              <w:spacing w:line="360" w:lineRule="auto"/>
              <w:rPr>
                <w:rFonts w:hint="eastAsia" w:cs="Times New Roman" w:asciiTheme="minorEastAsia" w:hAnsiTheme="minorEastAsia" w:eastAsiaTheme="minorEastAsia"/>
                <w:kern w:val="2"/>
                <w:sz w:val="24"/>
                <w:szCs w:val="24"/>
                <w:highlight w:val="none"/>
                <w:lang w:val="en-US" w:eastAsia="zh-CN" w:bidi="ar-SA"/>
              </w:rPr>
            </w:pPr>
            <w:r>
              <w:rPr>
                <w:rFonts w:hint="eastAsia" w:asciiTheme="minorEastAsia" w:hAnsiTheme="minorEastAsia" w:eastAsiaTheme="minorEastAsia"/>
                <w:sz w:val="24"/>
                <w:highlight w:val="none"/>
              </w:rPr>
              <w:t>依据《中华人民共和国政府采购法》第二十六条、《政府采购货物和服务招标投标管理办法》（财政部令第87号）相关规定，本项目预算金额57.3543万元，未达到法定公开招标数额标准，依法可选择竞争性磋商、竞争性谈判、询价等非招标采购方式。本项目为海关涉密会议系统改造项目，对设备安全资质、涉密施工管控、系统稳定性、后期运维保障要求较高。为扩大竞争范围，择优遴选具备同类涉密项目实施能力的供应商，保障项目建设质量与信息安全，</w:t>
            </w:r>
            <w:r>
              <w:rPr>
                <w:rFonts w:hint="eastAsia" w:asciiTheme="minorEastAsia" w:hAnsiTheme="minorEastAsia" w:eastAsiaTheme="minorEastAsia"/>
                <w:b/>
                <w:bCs/>
                <w:sz w:val="24"/>
                <w:highlight w:val="none"/>
              </w:rPr>
              <w:t>采购人经研究决策，自愿采用公开招标方式实施本次采购</w:t>
            </w:r>
            <w:r>
              <w:rPr>
                <w:rFonts w:hint="eastAsia" w:asciiTheme="minorEastAsia" w:hAnsiTheme="minorEastAsia" w:eastAsiaTheme="minorEastAsia"/>
                <w:sz w:val="24"/>
                <w:highlight w:val="none"/>
              </w:rPr>
              <w:t>。本次采购全过程严格执行公开招标法定程序，在政府采购法定指定媒体发布招标公告，招标文件发出之日至投标截止之日等标期不少于20日。</w:t>
            </w:r>
          </w:p>
        </w:tc>
      </w:tr>
      <w:tr w14:paraId="544DB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276" w:type="dxa"/>
            <w:vAlign w:val="center"/>
          </w:tcPr>
          <w:p w14:paraId="23E70E54">
            <w:pPr>
              <w:spacing w:line="276" w:lineRule="auto"/>
              <w:jc w:val="center"/>
              <w:rPr>
                <w:rFonts w:asciiTheme="minorEastAsia" w:hAnsiTheme="minorEastAsia" w:eastAsiaTheme="minorEastAsia"/>
                <w:b/>
                <w:kern w:val="0"/>
                <w:sz w:val="24"/>
              </w:rPr>
            </w:pPr>
            <w:r>
              <w:rPr>
                <w:rFonts w:hint="eastAsia" w:asciiTheme="minorEastAsia" w:hAnsiTheme="minorEastAsia" w:eastAsiaTheme="minorEastAsia"/>
                <w:b/>
                <w:kern w:val="0"/>
                <w:sz w:val="24"/>
              </w:rPr>
              <w:t>*8.</w:t>
            </w:r>
            <w:r>
              <w:rPr>
                <w:rFonts w:hint="eastAsia" w:asciiTheme="minorEastAsia" w:hAnsiTheme="minorEastAsia" w:eastAsiaTheme="minorEastAsia"/>
                <w:b/>
                <w:kern w:val="0"/>
                <w:sz w:val="24"/>
                <w:lang w:val="en-US" w:eastAsia="zh-CN"/>
              </w:rPr>
              <w:t>4</w:t>
            </w:r>
            <w:r>
              <w:rPr>
                <w:rFonts w:hint="eastAsia" w:asciiTheme="minorEastAsia" w:hAnsiTheme="minorEastAsia" w:eastAsiaTheme="minorEastAsia"/>
                <w:b/>
                <w:kern w:val="0"/>
                <w:sz w:val="24"/>
              </w:rPr>
              <w:t xml:space="preserve"> </w:t>
            </w:r>
          </w:p>
        </w:tc>
        <w:tc>
          <w:tcPr>
            <w:tcW w:w="8245" w:type="dxa"/>
            <w:gridSpan w:val="2"/>
            <w:vAlign w:val="center"/>
          </w:tcPr>
          <w:p w14:paraId="4AB3F813">
            <w:pPr>
              <w:autoSpaceDE w:val="0"/>
              <w:autoSpaceDN w:val="0"/>
              <w:spacing w:before="1" w:line="360" w:lineRule="auto"/>
              <w:rPr>
                <w:rFonts w:hint="eastAsia" w:ascii="宋体" w:hAnsi="宋体"/>
                <w:b/>
                <w:sz w:val="24"/>
                <w:highlight w:val="none"/>
              </w:rPr>
            </w:pPr>
            <w:r>
              <w:rPr>
                <w:rFonts w:hint="eastAsia" w:ascii="宋体" w:hAnsi="宋体"/>
                <w:b/>
                <w:sz w:val="24"/>
                <w:highlight w:val="none"/>
              </w:rPr>
              <w:t>注：</w:t>
            </w:r>
          </w:p>
          <w:p w14:paraId="565EF639">
            <w:pPr>
              <w:spacing w:line="360" w:lineRule="auto"/>
              <w:rPr>
                <w:rFonts w:hint="eastAsia" w:asciiTheme="minorEastAsia" w:hAnsiTheme="minorEastAsia" w:eastAsiaTheme="minorEastAsia"/>
                <w:b/>
                <w:bCs/>
                <w:sz w:val="24"/>
                <w:highlight w:val="none"/>
              </w:rPr>
            </w:pPr>
            <w:r>
              <w:rPr>
                <w:rFonts w:hint="eastAsia" w:asciiTheme="minorEastAsia" w:hAnsiTheme="minorEastAsia" w:eastAsiaTheme="minorEastAsia"/>
                <w:b/>
                <w:bCs/>
                <w:sz w:val="24"/>
                <w:highlight w:val="none"/>
              </w:rPr>
              <w:t>1、本项目招标代理服务费由中标单位支付，服务费为固定金额 3500 元。</w:t>
            </w:r>
          </w:p>
          <w:p w14:paraId="51777A74">
            <w:pPr>
              <w:spacing w:line="360" w:lineRule="auto"/>
              <w:rPr>
                <w:rFonts w:hint="eastAsia" w:asciiTheme="minorEastAsia" w:hAnsiTheme="minorEastAsia" w:eastAsiaTheme="minorEastAsia"/>
                <w:b/>
                <w:bCs/>
                <w:sz w:val="24"/>
                <w:highlight w:val="none"/>
              </w:rPr>
            </w:pPr>
            <w:r>
              <w:rPr>
                <w:rFonts w:hint="eastAsia" w:asciiTheme="minorEastAsia" w:hAnsiTheme="minorEastAsia" w:eastAsiaTheme="minorEastAsia"/>
                <w:b/>
                <w:bCs/>
                <w:sz w:val="24"/>
                <w:highlight w:val="none"/>
              </w:rPr>
              <w:t>2、支付方式：转账、电汇、银行支票、现金等付款方式直接支付。</w:t>
            </w:r>
          </w:p>
          <w:p w14:paraId="37DBA250">
            <w:pPr>
              <w:spacing w:line="360" w:lineRule="auto"/>
              <w:rPr>
                <w:rFonts w:hint="eastAsia" w:asciiTheme="minorEastAsia" w:hAnsiTheme="minorEastAsia" w:eastAsiaTheme="minorEastAsia"/>
                <w:b/>
                <w:bCs/>
                <w:sz w:val="24"/>
                <w:highlight w:val="none"/>
              </w:rPr>
            </w:pPr>
            <w:r>
              <w:rPr>
                <w:rFonts w:hint="eastAsia" w:asciiTheme="minorEastAsia" w:hAnsiTheme="minorEastAsia" w:eastAsiaTheme="minorEastAsia"/>
                <w:b/>
                <w:bCs/>
                <w:sz w:val="24"/>
                <w:highlight w:val="none"/>
              </w:rPr>
              <w:t>3、评标办法中涉及公司业绩、财务审计报告等商务资信方面的内容均必须在投标文件中装订复印件并加盖公章。</w:t>
            </w:r>
          </w:p>
          <w:p w14:paraId="1EBA1912">
            <w:pPr>
              <w:spacing w:line="360" w:lineRule="auto"/>
              <w:rPr>
                <w:rFonts w:hint="default" w:asciiTheme="minorEastAsia" w:hAnsiTheme="minorEastAsia" w:eastAsiaTheme="minorEastAsia"/>
                <w:b/>
                <w:bCs w:val="0"/>
                <w:sz w:val="24"/>
                <w:highlight w:val="none"/>
                <w:lang w:val="en-US" w:eastAsia="zh-CN"/>
              </w:rPr>
            </w:pPr>
            <w:r>
              <w:rPr>
                <w:rFonts w:hint="eastAsia" w:asciiTheme="minorEastAsia" w:hAnsiTheme="minorEastAsia" w:eastAsiaTheme="minorEastAsia"/>
                <w:b/>
                <w:bCs/>
                <w:sz w:val="24"/>
                <w:highlight w:val="none"/>
                <w:lang w:val="en-US" w:eastAsia="zh-CN"/>
              </w:rPr>
              <w:t>4、</w:t>
            </w:r>
            <w:r>
              <w:rPr>
                <w:rFonts w:hint="eastAsia" w:asciiTheme="minorEastAsia" w:hAnsiTheme="minorEastAsia" w:eastAsiaTheme="minorEastAsia"/>
                <w:b/>
                <w:bCs/>
                <w:sz w:val="24"/>
                <w:highlight w:val="none"/>
                <w:lang w:eastAsia="zh-CN"/>
              </w:rPr>
              <w:t>产品与质量标准：属于国家强制认证目录内的产品必须提供强制性产品认证（3C认证）；核心设备可能需要提供由</w:t>
            </w:r>
            <w:r>
              <w:rPr>
                <w:rFonts w:hint="eastAsia" w:asciiTheme="minorEastAsia" w:hAnsiTheme="minorEastAsia" w:eastAsiaTheme="minorEastAsia"/>
                <w:b/>
                <w:bCs/>
                <w:sz w:val="24"/>
                <w:highlight w:val="none"/>
                <w:lang w:val="en-US" w:eastAsia="zh-CN"/>
              </w:rPr>
              <w:t>CMA</w:t>
            </w:r>
            <w:r>
              <w:rPr>
                <w:rFonts w:hint="eastAsia" w:asciiTheme="minorEastAsia" w:hAnsiTheme="minorEastAsia" w:eastAsiaTheme="minorEastAsia"/>
                <w:b/>
                <w:bCs/>
                <w:sz w:val="24"/>
                <w:highlight w:val="none"/>
                <w:lang w:eastAsia="zh-CN"/>
              </w:rPr>
              <w:t>第三方检测机构出具的检测报告。</w:t>
            </w:r>
          </w:p>
        </w:tc>
      </w:tr>
      <w:bookmarkEnd w:id="17"/>
    </w:tbl>
    <w:p w14:paraId="09EE8031">
      <w:pPr>
        <w:rPr>
          <w:rFonts w:hint="eastAsia" w:ascii="宋体" w:hAnsi="宋体"/>
          <w:b/>
          <w:color w:val="000000" w:themeColor="text1"/>
          <w:sz w:val="24"/>
          <w14:textFill>
            <w14:solidFill>
              <w14:schemeClr w14:val="tx1"/>
            </w14:solidFill>
          </w14:textFill>
        </w:rPr>
      </w:pPr>
      <w:bookmarkStart w:id="40" w:name="OLE_LINK57"/>
      <w:bookmarkStart w:id="41" w:name="OLE_LINK58"/>
    </w:p>
    <w:p w14:paraId="7345C0FD">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1.</w:t>
      </w:r>
      <w:r>
        <w:rPr>
          <w:rFonts w:ascii="宋体" w:hAnsi="宋体"/>
          <w:b/>
          <w:color w:val="000000" w:themeColor="text1"/>
          <w:sz w:val="24"/>
          <w14:textFill>
            <w14:solidFill>
              <w14:schemeClr w14:val="tx1"/>
            </w14:solidFill>
          </w14:textFill>
        </w:rPr>
        <w:t>总则</w:t>
      </w:r>
    </w:p>
    <w:p w14:paraId="7627F84C">
      <w:pPr>
        <w:keepNext w:val="0"/>
        <w:keepLines w:val="0"/>
        <w:pageBreakBefore w:val="0"/>
        <w:widowControl w:val="0"/>
        <w:kinsoku/>
        <w:wordWrap/>
        <w:overflowPunct/>
        <w:topLinePunct w:val="0"/>
        <w:autoSpaceDE/>
        <w:autoSpaceDN/>
        <w:bidi w:val="0"/>
        <w:adjustRightInd/>
        <w:snapToGrid/>
        <w:spacing w:line="360" w:lineRule="auto"/>
        <w:ind w:right="19" w:rightChars="9" w:firstLine="482" w:firstLineChars="200"/>
        <w:jc w:val="left"/>
        <w:textAlignment w:val="auto"/>
        <w:rPr>
          <w:rFonts w:hint="default" w:ascii="宋体" w:hAnsi="宋体"/>
          <w:b/>
          <w:color w:val="000000" w:themeColor="text1"/>
          <w:sz w:val="24"/>
          <w:lang w:val="en-US" w:eastAsia="zh-CN"/>
          <w14:textFill>
            <w14:solidFill>
              <w14:schemeClr w14:val="tx1"/>
            </w14:solidFill>
          </w14:textFill>
        </w:rPr>
      </w:pPr>
      <w:r>
        <w:rPr>
          <w:rFonts w:hint="eastAsia" w:ascii="宋体" w:hAnsi="宋体"/>
          <w:b/>
          <w:color w:val="000000" w:themeColor="text1"/>
          <w:sz w:val="24"/>
          <w:lang w:val="en-US" w:eastAsia="zh-CN"/>
          <w14:textFill>
            <w14:solidFill>
              <w14:schemeClr w14:val="tx1"/>
            </w14:solidFill>
          </w14:textFill>
        </w:rPr>
        <w:t>1.1 项目概况</w:t>
      </w:r>
    </w:p>
    <w:p w14:paraId="649EB3FC">
      <w:pPr>
        <w:tabs>
          <w:tab w:val="left" w:pos="900"/>
        </w:tabs>
        <w:spacing w:line="360" w:lineRule="auto"/>
        <w:ind w:right="19" w:rightChars="9" w:firstLine="480" w:firstLineChars="200"/>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1.1.1根据《中华人民共和国招标投标法》等有关法律、法规和规章的规定，本招标项目已具备招标条件，现对本项目进行招标。</w:t>
      </w:r>
    </w:p>
    <w:p w14:paraId="7939E07C">
      <w:pPr>
        <w:tabs>
          <w:tab w:val="left" w:pos="900"/>
        </w:tabs>
        <w:spacing w:line="360" w:lineRule="auto"/>
        <w:ind w:right="19" w:rightChars="9" w:firstLine="480" w:firstLineChars="200"/>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1.1.2本次招标按照“中华人民共和国招标投标法”规定，遵循公开、公平、公正及诚实信用的原则。</w:t>
      </w:r>
    </w:p>
    <w:p w14:paraId="140D8E8F">
      <w:pPr>
        <w:tabs>
          <w:tab w:val="left" w:pos="900"/>
        </w:tabs>
        <w:spacing w:line="360" w:lineRule="auto"/>
        <w:ind w:right="19" w:rightChars="9" w:firstLine="480" w:firstLineChars="200"/>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1.1.</w:t>
      </w:r>
      <w:r>
        <w:rPr>
          <w:rFonts w:hint="eastAsia" w:ascii="宋体" w:hAnsi="宋体"/>
          <w:color w:val="000000" w:themeColor="text1"/>
          <w:sz w:val="24"/>
          <w:lang w:val="en-US" w:eastAsia="zh-CN"/>
          <w14:textFill>
            <w14:solidFill>
              <w14:schemeClr w14:val="tx1"/>
            </w14:solidFill>
          </w14:textFill>
        </w:rPr>
        <w:t>3</w:t>
      </w:r>
      <w:r>
        <w:rPr>
          <w:rFonts w:hint="eastAsia" w:ascii="宋体" w:hAnsi="宋体"/>
          <w:color w:val="000000" w:themeColor="text1"/>
          <w:sz w:val="24"/>
          <w14:textFill>
            <w14:solidFill>
              <w14:schemeClr w14:val="tx1"/>
            </w14:solidFill>
          </w14:textFill>
        </w:rPr>
        <w:t>本采购项目采购人：见投标人须知前附表。</w:t>
      </w:r>
    </w:p>
    <w:p w14:paraId="6E713363">
      <w:pPr>
        <w:tabs>
          <w:tab w:val="left" w:pos="900"/>
        </w:tabs>
        <w:spacing w:line="360" w:lineRule="auto"/>
        <w:ind w:right="19" w:rightChars="9" w:firstLine="480" w:firstLineChars="200"/>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1.1.</w:t>
      </w:r>
      <w:r>
        <w:rPr>
          <w:rFonts w:hint="eastAsia" w:ascii="宋体" w:hAnsi="宋体"/>
          <w:color w:val="000000" w:themeColor="text1"/>
          <w:sz w:val="24"/>
          <w:lang w:val="en-US" w:eastAsia="zh-CN"/>
          <w14:textFill>
            <w14:solidFill>
              <w14:schemeClr w14:val="tx1"/>
            </w14:solidFill>
          </w14:textFill>
        </w:rPr>
        <w:t>4</w:t>
      </w:r>
      <w:r>
        <w:rPr>
          <w:rFonts w:hint="eastAsia" w:ascii="宋体" w:hAnsi="宋体"/>
          <w:color w:val="000000" w:themeColor="text1"/>
          <w:sz w:val="24"/>
          <w14:textFill>
            <w14:solidFill>
              <w14:schemeClr w14:val="tx1"/>
            </w14:solidFill>
          </w14:textFill>
        </w:rPr>
        <w:t>本项目采购代理机构：见投标人须知前附表。</w:t>
      </w:r>
    </w:p>
    <w:p w14:paraId="3830A47B">
      <w:pPr>
        <w:tabs>
          <w:tab w:val="left" w:pos="900"/>
        </w:tabs>
        <w:spacing w:line="360" w:lineRule="auto"/>
        <w:ind w:right="19" w:rightChars="9" w:firstLine="480" w:firstLineChars="200"/>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1.1.</w:t>
      </w:r>
      <w:r>
        <w:rPr>
          <w:rFonts w:hint="eastAsia" w:ascii="宋体" w:hAnsi="宋体"/>
          <w:color w:val="000000" w:themeColor="text1"/>
          <w:sz w:val="24"/>
          <w:lang w:val="en-US" w:eastAsia="zh-CN"/>
          <w14:textFill>
            <w14:solidFill>
              <w14:schemeClr w14:val="tx1"/>
            </w14:solidFill>
          </w14:textFill>
        </w:rPr>
        <w:t>5</w:t>
      </w:r>
      <w:r>
        <w:rPr>
          <w:rFonts w:hint="eastAsia" w:ascii="宋体" w:hAnsi="宋体"/>
          <w:color w:val="000000" w:themeColor="text1"/>
          <w:sz w:val="24"/>
          <w14:textFill>
            <w14:solidFill>
              <w14:schemeClr w14:val="tx1"/>
            </w14:solidFill>
          </w14:textFill>
        </w:rPr>
        <w:t>本招标项目名称：见投标人须知前附表。</w:t>
      </w:r>
    </w:p>
    <w:p w14:paraId="5744B41C">
      <w:pPr>
        <w:tabs>
          <w:tab w:val="left" w:pos="900"/>
        </w:tabs>
        <w:spacing w:line="360" w:lineRule="auto"/>
        <w:ind w:right="19" w:rightChars="9" w:firstLine="480" w:firstLineChars="200"/>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1.1.</w:t>
      </w:r>
      <w:r>
        <w:rPr>
          <w:rFonts w:hint="eastAsia" w:ascii="宋体" w:hAnsi="宋体"/>
          <w:color w:val="000000" w:themeColor="text1"/>
          <w:sz w:val="24"/>
          <w:lang w:val="en-US" w:eastAsia="zh-CN"/>
          <w14:textFill>
            <w14:solidFill>
              <w14:schemeClr w14:val="tx1"/>
            </w14:solidFill>
          </w14:textFill>
        </w:rPr>
        <w:t>6</w:t>
      </w:r>
      <w:r>
        <w:rPr>
          <w:rFonts w:hint="eastAsia" w:ascii="宋体" w:hAnsi="宋体"/>
          <w:color w:val="000000" w:themeColor="text1"/>
          <w:sz w:val="24"/>
          <w14:textFill>
            <w14:solidFill>
              <w14:schemeClr w14:val="tx1"/>
            </w14:solidFill>
          </w14:textFill>
        </w:rPr>
        <w:t>本项目建设地点：见投标人须知前附表。</w:t>
      </w:r>
    </w:p>
    <w:p w14:paraId="069FF97A">
      <w:pPr>
        <w:tabs>
          <w:tab w:val="left" w:pos="900"/>
        </w:tabs>
        <w:spacing w:line="360" w:lineRule="auto"/>
        <w:ind w:right="19" w:rightChars="9" w:firstLine="480" w:firstLineChars="200"/>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1.1.</w:t>
      </w:r>
      <w:r>
        <w:rPr>
          <w:rFonts w:hint="eastAsia" w:ascii="宋体" w:hAnsi="宋体"/>
          <w:color w:val="000000" w:themeColor="text1"/>
          <w:sz w:val="24"/>
          <w:lang w:val="en-US" w:eastAsia="zh-CN"/>
          <w14:textFill>
            <w14:solidFill>
              <w14:schemeClr w14:val="tx1"/>
            </w14:solidFill>
          </w14:textFill>
        </w:rPr>
        <w:t>7</w:t>
      </w:r>
      <w:r>
        <w:rPr>
          <w:rFonts w:hint="eastAsia" w:ascii="宋体" w:hAnsi="宋体"/>
          <w:color w:val="000000" w:themeColor="text1"/>
          <w:sz w:val="24"/>
          <w14:textFill>
            <w14:solidFill>
              <w14:schemeClr w14:val="tx1"/>
            </w14:solidFill>
          </w14:textFill>
        </w:rPr>
        <w:t>本项目采购分包情况：见投标人须知前附表。</w:t>
      </w:r>
    </w:p>
    <w:p w14:paraId="4CC40A0D">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1.2 资金来源和落实情况</w:t>
      </w:r>
    </w:p>
    <w:p w14:paraId="7EE56385">
      <w:pPr>
        <w:tabs>
          <w:tab w:val="left" w:pos="900"/>
        </w:tabs>
        <w:spacing w:line="360" w:lineRule="auto"/>
        <w:ind w:right="19" w:rightChars="9" w:firstLine="480" w:firstLineChars="200"/>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1.2.1本采购项目的资金来源：见投标人须知前附表。</w:t>
      </w:r>
    </w:p>
    <w:p w14:paraId="1835F68F">
      <w:pPr>
        <w:tabs>
          <w:tab w:val="left" w:pos="900"/>
        </w:tabs>
        <w:spacing w:line="360" w:lineRule="auto"/>
        <w:ind w:right="19" w:rightChars="9" w:firstLine="480" w:firstLineChars="200"/>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1.2.2本采购项目的资金落实情况：见投标人须知前附表。</w:t>
      </w:r>
    </w:p>
    <w:p w14:paraId="743B741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1.3 招标范围</w:t>
      </w:r>
    </w:p>
    <w:p w14:paraId="4DB9A0C3">
      <w:pPr>
        <w:tabs>
          <w:tab w:val="left" w:pos="900"/>
        </w:tabs>
        <w:spacing w:line="360" w:lineRule="auto"/>
        <w:ind w:right="19" w:rightChars="9" w:firstLine="480" w:firstLineChars="200"/>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1.3.1本次采购范围：见投标人须知前附表。</w:t>
      </w:r>
    </w:p>
    <w:p w14:paraId="0C573785">
      <w:pPr>
        <w:tabs>
          <w:tab w:val="left" w:pos="900"/>
        </w:tabs>
        <w:spacing w:line="360" w:lineRule="auto"/>
        <w:ind w:right="19" w:rightChars="9" w:firstLine="480" w:firstLineChars="200"/>
        <w:jc w:val="left"/>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1.3.2供货及供货地点：见投标人须知前附表。</w:t>
      </w:r>
    </w:p>
    <w:p w14:paraId="78BA607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1.4 投标人资格要求</w:t>
      </w:r>
    </w:p>
    <w:p w14:paraId="2F9231A8">
      <w:pPr>
        <w:tabs>
          <w:tab w:val="left" w:pos="900"/>
        </w:tabs>
        <w:spacing w:line="360" w:lineRule="auto"/>
        <w:ind w:right="19" w:rightChars="9" w:firstLine="480" w:firstLineChars="200"/>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1.4.1详见投标人须知前附表。</w:t>
      </w:r>
    </w:p>
    <w:p w14:paraId="3A77C962">
      <w:pPr>
        <w:spacing w:line="360" w:lineRule="auto"/>
        <w:ind w:right="19" w:rightChars="9" w:firstLine="480" w:firstLineChars="200"/>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1.4.2</w:t>
      </w:r>
      <w:r>
        <w:rPr>
          <w:rFonts w:hint="eastAsia" w:ascii="宋体" w:hAnsi="宋体"/>
          <w:color w:val="000000" w:themeColor="text1"/>
          <w:sz w:val="24"/>
          <w14:textFill>
            <w14:solidFill>
              <w14:schemeClr w14:val="tx1"/>
            </w14:solidFill>
          </w14:textFill>
        </w:rPr>
        <w:t>本项目不</w:t>
      </w:r>
      <w:r>
        <w:rPr>
          <w:rFonts w:ascii="宋体" w:hAnsi="宋体"/>
          <w:color w:val="000000" w:themeColor="text1"/>
          <w:sz w:val="24"/>
          <w14:textFill>
            <w14:solidFill>
              <w14:schemeClr w14:val="tx1"/>
            </w14:solidFill>
          </w14:textFill>
        </w:rPr>
        <w:t>接受联合体投标。</w:t>
      </w:r>
    </w:p>
    <w:p w14:paraId="1BE7F85E">
      <w:pPr>
        <w:spacing w:line="360" w:lineRule="auto"/>
        <w:ind w:right="19" w:rightChars="9" w:firstLine="480" w:firstLineChars="200"/>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1.4.3投标人不得存在下列情形之一：</w:t>
      </w:r>
    </w:p>
    <w:p w14:paraId="0B6AA874">
      <w:pPr>
        <w:spacing w:line="360" w:lineRule="auto"/>
        <w:ind w:right="19" w:rightChars="9" w:firstLine="360" w:firstLineChars="150"/>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（1）为</w:t>
      </w:r>
      <w:r>
        <w:rPr>
          <w:rFonts w:hint="eastAsia" w:ascii="宋体" w:hAnsi="宋体"/>
          <w:color w:val="000000" w:themeColor="text1"/>
          <w:sz w:val="24"/>
          <w14:textFill>
            <w14:solidFill>
              <w14:schemeClr w14:val="tx1"/>
            </w14:solidFill>
          </w14:textFill>
        </w:rPr>
        <w:t>采购</w:t>
      </w:r>
      <w:r>
        <w:rPr>
          <w:rFonts w:ascii="宋体" w:hAnsi="宋体"/>
          <w:color w:val="000000" w:themeColor="text1"/>
          <w:sz w:val="24"/>
          <w14:textFill>
            <w14:solidFill>
              <w14:schemeClr w14:val="tx1"/>
            </w14:solidFill>
          </w14:textFill>
        </w:rPr>
        <w:t>人不具有独立法人资格的附属机构（单位）；</w:t>
      </w:r>
    </w:p>
    <w:p w14:paraId="4969F619">
      <w:pPr>
        <w:spacing w:line="360" w:lineRule="auto"/>
        <w:ind w:right="19" w:rightChars="9" w:firstLine="360" w:firstLineChars="150"/>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2</w:t>
      </w:r>
      <w:r>
        <w:rPr>
          <w:rFonts w:ascii="宋体" w:hAnsi="宋体"/>
          <w:color w:val="000000" w:themeColor="text1"/>
          <w:sz w:val="24"/>
          <w14:textFill>
            <w14:solidFill>
              <w14:schemeClr w14:val="tx1"/>
            </w14:solidFill>
          </w14:textFill>
        </w:rPr>
        <w:t>）为本项目提供招标代理服务的；</w:t>
      </w:r>
    </w:p>
    <w:p w14:paraId="4D1FD2DF">
      <w:pPr>
        <w:spacing w:line="360" w:lineRule="auto"/>
        <w:ind w:right="19" w:rightChars="9" w:firstLine="360" w:firstLineChars="150"/>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3</w:t>
      </w:r>
      <w:r>
        <w:rPr>
          <w:rFonts w:ascii="宋体" w:hAnsi="宋体"/>
          <w:color w:val="000000" w:themeColor="text1"/>
          <w:sz w:val="24"/>
          <w14:textFill>
            <w14:solidFill>
              <w14:schemeClr w14:val="tx1"/>
            </w14:solidFill>
          </w14:textFill>
        </w:rPr>
        <w:t>）被责令停业的；</w:t>
      </w:r>
    </w:p>
    <w:p w14:paraId="2FAA467C">
      <w:pPr>
        <w:spacing w:line="360" w:lineRule="auto"/>
        <w:ind w:right="19" w:rightChars="9" w:firstLine="360" w:firstLineChars="150"/>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4</w:t>
      </w:r>
      <w:r>
        <w:rPr>
          <w:rFonts w:ascii="宋体" w:hAnsi="宋体"/>
          <w:color w:val="000000" w:themeColor="text1"/>
          <w:sz w:val="24"/>
          <w14:textFill>
            <w14:solidFill>
              <w14:schemeClr w14:val="tx1"/>
            </w14:solidFill>
          </w14:textFill>
        </w:rPr>
        <w:t>）被暂停或取消投标资格的；</w:t>
      </w:r>
    </w:p>
    <w:p w14:paraId="0C0F8B61">
      <w:pPr>
        <w:spacing w:line="360" w:lineRule="auto"/>
        <w:ind w:right="19" w:rightChars="9" w:firstLine="360" w:firstLineChars="150"/>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5</w:t>
      </w:r>
      <w:r>
        <w:rPr>
          <w:rFonts w:ascii="宋体" w:hAnsi="宋体"/>
          <w:color w:val="000000" w:themeColor="text1"/>
          <w:sz w:val="24"/>
          <w14:textFill>
            <w14:solidFill>
              <w14:schemeClr w14:val="tx1"/>
            </w14:solidFill>
          </w14:textFill>
        </w:rPr>
        <w:t>）财产被接管或冻结的</w:t>
      </w:r>
      <w:r>
        <w:rPr>
          <w:rFonts w:hint="eastAsia" w:ascii="宋体" w:hAnsi="宋体"/>
          <w:color w:val="000000" w:themeColor="text1"/>
          <w:sz w:val="24"/>
          <w14:textFill>
            <w14:solidFill>
              <w14:schemeClr w14:val="tx1"/>
            </w14:solidFill>
          </w14:textFill>
        </w:rPr>
        <w:t>。</w:t>
      </w:r>
    </w:p>
    <w:p w14:paraId="481D1B1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1.5 费用承担</w:t>
      </w:r>
    </w:p>
    <w:p w14:paraId="0F57C21A">
      <w:pPr>
        <w:spacing w:line="360" w:lineRule="auto"/>
        <w:ind w:right="19" w:rightChars="9" w:firstLine="480" w:firstLineChars="200"/>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投标人准备和参加投标活动发生的费用自理。</w:t>
      </w:r>
    </w:p>
    <w:p w14:paraId="7511B7C9">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宋体" w:hAnsi="宋体"/>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t>1.6 保密</w:t>
      </w:r>
    </w:p>
    <w:p w14:paraId="37DB9F55">
      <w:pPr>
        <w:spacing w:line="360" w:lineRule="auto"/>
        <w:ind w:right="19" w:rightChars="9" w:firstLine="480" w:firstLineChars="200"/>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参与招标投标活动的各方应对招标文件和投标文件中的商业和技术等秘密保密，违者应对由此造成的后果承担法律责任。</w:t>
      </w:r>
    </w:p>
    <w:p w14:paraId="4945A580">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宋体" w:hAnsi="宋体"/>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t>1.7</w:t>
      </w:r>
      <w:r>
        <w:rPr>
          <w:rFonts w:hint="eastAsia" w:ascii="宋体" w:hAnsi="宋体"/>
          <w:b/>
          <w:color w:val="000000" w:themeColor="text1"/>
          <w:sz w:val="24"/>
          <w:lang w:val="en-US" w:eastAsia="zh-CN"/>
          <w14:textFill>
            <w14:solidFill>
              <w14:schemeClr w14:val="tx1"/>
            </w14:solidFill>
          </w14:textFill>
        </w:rPr>
        <w:t xml:space="preserve"> </w:t>
      </w:r>
      <w:r>
        <w:rPr>
          <w:rFonts w:ascii="宋体" w:hAnsi="宋体"/>
          <w:b/>
          <w:color w:val="000000" w:themeColor="text1"/>
          <w:sz w:val="24"/>
          <w14:textFill>
            <w14:solidFill>
              <w14:schemeClr w14:val="tx1"/>
            </w14:solidFill>
          </w14:textFill>
        </w:rPr>
        <w:t>语言文字</w:t>
      </w:r>
    </w:p>
    <w:p w14:paraId="6AAB8E6A">
      <w:pPr>
        <w:spacing w:line="360" w:lineRule="auto"/>
        <w:ind w:right="19" w:rightChars="9" w:firstLine="480" w:firstLineChars="200"/>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除专用术语外，与招标文件有关的语言均使用中文。必要时专用术语应附有中文注释。</w:t>
      </w:r>
    </w:p>
    <w:p w14:paraId="366FECE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宋体" w:hAns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t>1.8</w:t>
      </w:r>
      <w:r>
        <w:rPr>
          <w:rFonts w:hint="eastAsia" w:ascii="宋体" w:hAnsi="宋体"/>
          <w:b/>
          <w:color w:val="000000" w:themeColor="text1"/>
          <w:sz w:val="24"/>
          <w:lang w:val="en-US" w:eastAsia="zh-CN"/>
          <w14:textFill>
            <w14:solidFill>
              <w14:schemeClr w14:val="tx1"/>
            </w14:solidFill>
          </w14:textFill>
        </w:rPr>
        <w:t xml:space="preserve"> </w:t>
      </w:r>
      <w:r>
        <w:rPr>
          <w:rFonts w:ascii="宋体" w:hAnsi="宋体"/>
          <w:b/>
          <w:color w:val="000000" w:themeColor="text1"/>
          <w:sz w:val="24"/>
          <w14:textFill>
            <w14:solidFill>
              <w14:schemeClr w14:val="tx1"/>
            </w14:solidFill>
          </w14:textFill>
        </w:rPr>
        <w:t>计量单位</w:t>
      </w:r>
    </w:p>
    <w:p w14:paraId="42925F50">
      <w:pPr>
        <w:spacing w:line="360" w:lineRule="auto"/>
        <w:ind w:right="19" w:rightChars="9" w:firstLine="480" w:firstLineChars="200"/>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所有计量均采用中华人民共和国法定计量单位。</w:t>
      </w:r>
    </w:p>
    <w:p w14:paraId="3A6C310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宋体" w:hAns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t xml:space="preserve">1.9 </w:t>
      </w:r>
      <w:r>
        <w:rPr>
          <w:rFonts w:hint="eastAsia" w:ascii="宋体" w:hAnsi="宋体"/>
          <w:b/>
          <w:color w:val="000000" w:themeColor="text1"/>
          <w:sz w:val="24"/>
          <w14:textFill>
            <w14:solidFill>
              <w14:schemeClr w14:val="tx1"/>
            </w14:solidFill>
          </w14:textFill>
        </w:rPr>
        <w:t>踏勘</w:t>
      </w:r>
      <w:r>
        <w:rPr>
          <w:rFonts w:ascii="宋体" w:hAnsi="宋体"/>
          <w:b/>
          <w:color w:val="000000" w:themeColor="text1"/>
          <w:sz w:val="24"/>
          <w14:textFill>
            <w14:solidFill>
              <w14:schemeClr w14:val="tx1"/>
            </w14:solidFill>
          </w14:textFill>
        </w:rPr>
        <w:t>现场</w:t>
      </w:r>
    </w:p>
    <w:p w14:paraId="57B53C64">
      <w:pPr>
        <w:spacing w:line="360" w:lineRule="auto"/>
        <w:ind w:left="2" w:right="19" w:rightChars="9" w:firstLine="540" w:firstLineChars="225"/>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1.9.1投标人须知前附表规定组织踏勘现场的，</w:t>
      </w:r>
      <w:r>
        <w:rPr>
          <w:rFonts w:hint="eastAsia" w:ascii="宋体" w:hAnsi="宋体"/>
          <w:color w:val="000000" w:themeColor="text1"/>
          <w:sz w:val="24"/>
          <w14:textFill>
            <w14:solidFill>
              <w14:schemeClr w14:val="tx1"/>
            </w14:solidFill>
          </w14:textFill>
        </w:rPr>
        <w:t>采购</w:t>
      </w:r>
      <w:r>
        <w:rPr>
          <w:rFonts w:ascii="宋体" w:hAnsi="宋体"/>
          <w:color w:val="000000" w:themeColor="text1"/>
          <w:sz w:val="24"/>
          <w14:textFill>
            <w14:solidFill>
              <w14:schemeClr w14:val="tx1"/>
            </w14:solidFill>
          </w14:textFill>
        </w:rPr>
        <w:t>人按投标人须知前附表规定的时间、地点组织投标人踏勘项目现场。</w:t>
      </w:r>
    </w:p>
    <w:p w14:paraId="509F8194">
      <w:pPr>
        <w:spacing w:line="360" w:lineRule="auto"/>
        <w:ind w:left="2" w:right="19" w:rightChars="9" w:firstLine="540" w:firstLineChars="225"/>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1.9.2投标人踏勘现场发生的费用自理。</w:t>
      </w:r>
    </w:p>
    <w:p w14:paraId="7BE0869B">
      <w:pPr>
        <w:spacing w:line="360" w:lineRule="auto"/>
        <w:ind w:left="2" w:right="19" w:rightChars="9" w:firstLine="540" w:firstLineChars="225"/>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1.9.3除</w:t>
      </w:r>
      <w:r>
        <w:rPr>
          <w:rFonts w:hint="eastAsia" w:ascii="宋体" w:hAnsi="宋体"/>
          <w:color w:val="000000" w:themeColor="text1"/>
          <w:sz w:val="24"/>
          <w14:textFill>
            <w14:solidFill>
              <w14:schemeClr w14:val="tx1"/>
            </w14:solidFill>
          </w14:textFill>
        </w:rPr>
        <w:t>采购</w:t>
      </w:r>
      <w:r>
        <w:rPr>
          <w:rFonts w:ascii="宋体" w:hAnsi="宋体"/>
          <w:color w:val="000000" w:themeColor="text1"/>
          <w:sz w:val="24"/>
          <w14:textFill>
            <w14:solidFill>
              <w14:schemeClr w14:val="tx1"/>
            </w14:solidFill>
          </w14:textFill>
        </w:rPr>
        <w:t>人的原因外，投标人自行负责在踏勘现场中所发生的人员伤亡和财产损失。</w:t>
      </w:r>
    </w:p>
    <w:p w14:paraId="5A817D8B">
      <w:pPr>
        <w:spacing w:line="360" w:lineRule="auto"/>
        <w:ind w:left="2" w:right="19" w:rightChars="9" w:firstLine="540" w:firstLineChars="225"/>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1.9.4采购人在踏勘现场中介绍的工程场地和相关的周边环境情况，投标人在编制投标文件时参考，采购人不对投标人据此作出的判断和决策负责。</w:t>
      </w:r>
    </w:p>
    <w:p w14:paraId="5DEE185D">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宋体" w:hAns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t>1.10</w:t>
      </w:r>
      <w:r>
        <w:rPr>
          <w:rFonts w:hint="eastAsia" w:ascii="宋体" w:hAnsi="宋体"/>
          <w:b/>
          <w:color w:val="000000" w:themeColor="text1"/>
          <w:sz w:val="24"/>
          <w:lang w:val="en-US" w:eastAsia="zh-CN"/>
          <w14:textFill>
            <w14:solidFill>
              <w14:schemeClr w14:val="tx1"/>
            </w14:solidFill>
          </w14:textFill>
        </w:rPr>
        <w:t xml:space="preserve"> </w:t>
      </w:r>
      <w:r>
        <w:rPr>
          <w:rFonts w:ascii="宋体" w:hAnsi="宋体"/>
          <w:b/>
          <w:color w:val="000000" w:themeColor="text1"/>
          <w:sz w:val="24"/>
          <w14:textFill>
            <w14:solidFill>
              <w14:schemeClr w14:val="tx1"/>
            </w14:solidFill>
          </w14:textFill>
        </w:rPr>
        <w:t>投标预备会</w:t>
      </w:r>
    </w:p>
    <w:p w14:paraId="2014751C">
      <w:pPr>
        <w:spacing w:line="360" w:lineRule="auto"/>
        <w:ind w:left="2" w:right="19" w:rightChars="9" w:firstLine="540" w:firstLineChars="225"/>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1.10.1投标人须知前附表规定召开投标预备会的，采购人按投标人须知前附表规定的时间和地点召开投标预备会，澄清投标人提出的问题。</w:t>
      </w:r>
    </w:p>
    <w:p w14:paraId="305689F3">
      <w:pPr>
        <w:spacing w:line="360" w:lineRule="auto"/>
        <w:ind w:left="2" w:right="19" w:rightChars="9" w:firstLine="540" w:firstLineChars="225"/>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1.10.2投标人应在投标人须知前附表规定的时间前，以书面形式将提出的问题送达采购人，以便采购人在会议期间澄清。</w:t>
      </w:r>
    </w:p>
    <w:p w14:paraId="637800B8">
      <w:pPr>
        <w:spacing w:line="360" w:lineRule="auto"/>
        <w:ind w:left="2" w:right="19" w:rightChars="9" w:firstLine="540" w:firstLineChars="225"/>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1.10.3采购人在投标人须知前附表规定的时间内，将对投标人所提问题的澄清，以书面形式通知所有购买招标文件的投标人。该澄清内容为招标文件的组成部分。</w:t>
      </w:r>
    </w:p>
    <w:p w14:paraId="6B360F5E">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宋体" w:hAns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t>1.11</w:t>
      </w:r>
      <w:r>
        <w:rPr>
          <w:rFonts w:hint="eastAsia" w:ascii="宋体" w:hAnsi="宋体"/>
          <w:b/>
          <w:color w:val="000000" w:themeColor="text1"/>
          <w:sz w:val="24"/>
          <w:lang w:val="en-US" w:eastAsia="zh-CN"/>
          <w14:textFill>
            <w14:solidFill>
              <w14:schemeClr w14:val="tx1"/>
            </w14:solidFill>
          </w14:textFill>
        </w:rPr>
        <w:t xml:space="preserve"> </w:t>
      </w:r>
      <w:r>
        <w:rPr>
          <w:rFonts w:hint="eastAsia" w:ascii="宋体" w:hAnsi="宋体"/>
          <w:b/>
          <w:color w:val="000000" w:themeColor="text1"/>
          <w:sz w:val="24"/>
          <w14:textFill>
            <w14:solidFill>
              <w14:schemeClr w14:val="tx1"/>
            </w14:solidFill>
          </w14:textFill>
        </w:rPr>
        <w:t>分包</w:t>
      </w:r>
    </w:p>
    <w:p w14:paraId="63CB2412">
      <w:pPr>
        <w:tabs>
          <w:tab w:val="left" w:pos="720"/>
          <w:tab w:val="left" w:pos="900"/>
        </w:tabs>
        <w:spacing w:line="360" w:lineRule="auto"/>
        <w:ind w:right="19" w:rightChars="9" w:firstLine="477" w:firstLineChars="199"/>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本项目严禁转包和违规分包，且不得再次分包。</w:t>
      </w:r>
    </w:p>
    <w:p w14:paraId="085E497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宋体" w:hAns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t>1.12</w:t>
      </w:r>
      <w:r>
        <w:rPr>
          <w:rFonts w:hint="eastAsia" w:ascii="宋体" w:hAnsi="宋体"/>
          <w:b/>
          <w:color w:val="000000" w:themeColor="text1"/>
          <w:sz w:val="24"/>
          <w:lang w:val="en-US" w:eastAsia="zh-CN"/>
          <w14:textFill>
            <w14:solidFill>
              <w14:schemeClr w14:val="tx1"/>
            </w14:solidFill>
          </w14:textFill>
        </w:rPr>
        <w:t xml:space="preserve"> </w:t>
      </w:r>
      <w:r>
        <w:rPr>
          <w:rFonts w:hint="eastAsia" w:ascii="宋体" w:hAnsi="宋体"/>
          <w:b/>
          <w:color w:val="000000" w:themeColor="text1"/>
          <w:sz w:val="24"/>
          <w14:textFill>
            <w14:solidFill>
              <w14:schemeClr w14:val="tx1"/>
            </w14:solidFill>
          </w14:textFill>
        </w:rPr>
        <w:t>偏离</w:t>
      </w:r>
    </w:p>
    <w:p w14:paraId="24FD2585">
      <w:pPr>
        <w:tabs>
          <w:tab w:val="left" w:pos="720"/>
          <w:tab w:val="left" w:pos="900"/>
        </w:tabs>
        <w:spacing w:line="360" w:lineRule="auto"/>
        <w:ind w:left="2" w:right="19" w:rightChars="9" w:firstLine="480" w:firstLineChars="200"/>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见投标人须知前附表</w:t>
      </w:r>
    </w:p>
    <w:p w14:paraId="296FE118">
      <w:pPr>
        <w:tabs>
          <w:tab w:val="left" w:pos="720"/>
          <w:tab w:val="left" w:pos="900"/>
        </w:tabs>
        <w:spacing w:line="360" w:lineRule="auto"/>
        <w:ind w:left="2" w:right="19" w:rightChars="9" w:firstLine="480" w:firstLineChars="200"/>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1.12.1投标文件中的下列情况属于重大偏离：</w:t>
      </w:r>
    </w:p>
    <w:p w14:paraId="0CAB15C2">
      <w:pPr>
        <w:tabs>
          <w:tab w:val="left" w:pos="720"/>
          <w:tab w:val="left" w:pos="900"/>
        </w:tabs>
        <w:spacing w:line="360" w:lineRule="auto"/>
        <w:ind w:left="2" w:right="19" w:rightChars="9" w:firstLine="480" w:firstLineChars="200"/>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（1）未按招标文件的要求提供投标担保或者所提供的投标担保有瑕疵；</w:t>
      </w:r>
    </w:p>
    <w:p w14:paraId="4F7DBCBF">
      <w:pPr>
        <w:tabs>
          <w:tab w:val="left" w:pos="720"/>
          <w:tab w:val="left" w:pos="900"/>
        </w:tabs>
        <w:spacing w:line="360" w:lineRule="auto"/>
        <w:ind w:left="2" w:right="19" w:rightChars="9" w:firstLine="480" w:firstLineChars="200"/>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（2）投标文件无投标人授权代表签字和加盖公章；</w:t>
      </w:r>
    </w:p>
    <w:p w14:paraId="2D660FA0">
      <w:pPr>
        <w:tabs>
          <w:tab w:val="left" w:pos="720"/>
          <w:tab w:val="left" w:pos="900"/>
        </w:tabs>
        <w:spacing w:line="360" w:lineRule="auto"/>
        <w:ind w:left="2" w:right="19" w:rightChars="9" w:firstLine="480" w:firstLineChars="200"/>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（3）投标文件载明的招标项目完成期限超过招标文件规定的时限；</w:t>
      </w:r>
    </w:p>
    <w:p w14:paraId="4A94ADBF">
      <w:pPr>
        <w:tabs>
          <w:tab w:val="left" w:pos="720"/>
          <w:tab w:val="left" w:pos="900"/>
        </w:tabs>
        <w:spacing w:line="360" w:lineRule="auto"/>
        <w:ind w:left="2" w:right="19" w:rightChars="9" w:firstLine="480" w:firstLineChars="200"/>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（4）明显不符合技术规格、技术标准的要求；</w:t>
      </w:r>
    </w:p>
    <w:p w14:paraId="3D7B8166">
      <w:pPr>
        <w:tabs>
          <w:tab w:val="left" w:pos="720"/>
          <w:tab w:val="left" w:pos="900"/>
        </w:tabs>
        <w:spacing w:line="360" w:lineRule="auto"/>
        <w:ind w:left="2" w:right="19" w:rightChars="9" w:firstLine="480" w:firstLineChars="200"/>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（5）投标人不接受招标文件规定的风险划分原则，提出新的风险划分原则；</w:t>
      </w:r>
    </w:p>
    <w:p w14:paraId="3EFF1B44">
      <w:pPr>
        <w:tabs>
          <w:tab w:val="left" w:pos="720"/>
          <w:tab w:val="left" w:pos="900"/>
        </w:tabs>
        <w:spacing w:line="360" w:lineRule="auto"/>
        <w:ind w:left="2" w:right="19" w:rightChars="9" w:firstLine="480" w:firstLineChars="200"/>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（6）投标人增加业主的责任范围，或者减少投标人义务；</w:t>
      </w:r>
    </w:p>
    <w:p w14:paraId="19201A6E">
      <w:pPr>
        <w:tabs>
          <w:tab w:val="left" w:pos="720"/>
          <w:tab w:val="left" w:pos="900"/>
        </w:tabs>
        <w:spacing w:line="360" w:lineRule="auto"/>
        <w:ind w:left="2" w:right="19" w:rightChars="9" w:firstLine="480" w:firstLineChars="200"/>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（7）投标人提出不同的</w:t>
      </w:r>
      <w:r>
        <w:rPr>
          <w:rFonts w:hint="eastAsia" w:ascii="宋体" w:hAnsi="宋体"/>
          <w:color w:val="000000" w:themeColor="text1"/>
          <w:sz w:val="24"/>
          <w14:textFill>
            <w14:solidFill>
              <w14:schemeClr w14:val="tx1"/>
            </w14:solidFill>
          </w14:textFill>
        </w:rPr>
        <w:t>项目</w:t>
      </w:r>
      <w:r>
        <w:rPr>
          <w:rFonts w:ascii="宋体" w:hAnsi="宋体"/>
          <w:color w:val="000000" w:themeColor="text1"/>
          <w:sz w:val="24"/>
          <w14:textFill>
            <w14:solidFill>
              <w14:schemeClr w14:val="tx1"/>
            </w14:solidFill>
          </w14:textFill>
        </w:rPr>
        <w:t>验收、计量、支付办法；</w:t>
      </w:r>
    </w:p>
    <w:p w14:paraId="27EDEF2C">
      <w:pPr>
        <w:tabs>
          <w:tab w:val="left" w:pos="720"/>
          <w:tab w:val="left" w:pos="900"/>
        </w:tabs>
        <w:spacing w:line="360" w:lineRule="auto"/>
        <w:ind w:left="2" w:right="19" w:rightChars="9" w:firstLine="480" w:firstLineChars="200"/>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（8）投标人对合同纠纷、事故处理办法提出异议；</w:t>
      </w:r>
    </w:p>
    <w:p w14:paraId="1EEBF728">
      <w:pPr>
        <w:tabs>
          <w:tab w:val="left" w:pos="720"/>
          <w:tab w:val="left" w:pos="900"/>
        </w:tabs>
        <w:spacing w:line="360" w:lineRule="auto"/>
        <w:ind w:left="2" w:right="19" w:rightChars="9" w:firstLine="480" w:firstLineChars="200"/>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（9）投标人在投标活动中含有欺诈行为；</w:t>
      </w:r>
    </w:p>
    <w:p w14:paraId="60DCFBD7">
      <w:pPr>
        <w:tabs>
          <w:tab w:val="left" w:pos="720"/>
          <w:tab w:val="left" w:pos="900"/>
        </w:tabs>
        <w:spacing w:line="360" w:lineRule="auto"/>
        <w:ind w:left="2" w:right="19" w:rightChars="9" w:firstLine="480" w:firstLineChars="200"/>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（10）投标人对合同条款有重要保留；</w:t>
      </w:r>
    </w:p>
    <w:p w14:paraId="5EF060C8">
      <w:pPr>
        <w:tabs>
          <w:tab w:val="left" w:pos="720"/>
          <w:tab w:val="left" w:pos="900"/>
        </w:tabs>
        <w:spacing w:line="360" w:lineRule="auto"/>
        <w:ind w:left="2" w:right="19" w:rightChars="9" w:firstLine="480" w:firstLineChars="200"/>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（1</w:t>
      </w:r>
      <w:r>
        <w:rPr>
          <w:rFonts w:hint="eastAsia" w:ascii="宋体" w:hAnsi="宋体"/>
          <w:color w:val="000000" w:themeColor="text1"/>
          <w:sz w:val="24"/>
          <w14:textFill>
            <w14:solidFill>
              <w14:schemeClr w14:val="tx1"/>
            </w14:solidFill>
          </w14:textFill>
        </w:rPr>
        <w:t>1</w:t>
      </w:r>
      <w:r>
        <w:rPr>
          <w:rFonts w:ascii="宋体" w:hAnsi="宋体"/>
          <w:color w:val="000000" w:themeColor="text1"/>
          <w:sz w:val="24"/>
          <w14:textFill>
            <w14:solidFill>
              <w14:schemeClr w14:val="tx1"/>
            </w14:solidFill>
          </w14:textFill>
        </w:rPr>
        <w:t>）投标人未按招标文件中给出的投标报价表格进行投标报价；</w:t>
      </w:r>
    </w:p>
    <w:p w14:paraId="337856C5">
      <w:pPr>
        <w:tabs>
          <w:tab w:val="left" w:pos="720"/>
          <w:tab w:val="left" w:pos="900"/>
        </w:tabs>
        <w:spacing w:line="360" w:lineRule="auto"/>
        <w:ind w:left="2" w:right="19" w:rightChars="9" w:firstLine="480" w:firstLineChars="200"/>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（1</w:t>
      </w:r>
      <w:r>
        <w:rPr>
          <w:rFonts w:hint="eastAsia" w:ascii="宋体" w:hAnsi="宋体"/>
          <w:color w:val="000000" w:themeColor="text1"/>
          <w:sz w:val="24"/>
          <w14:textFill>
            <w14:solidFill>
              <w14:schemeClr w14:val="tx1"/>
            </w14:solidFill>
          </w14:textFill>
        </w:rPr>
        <w:t>2</w:t>
      </w:r>
      <w:r>
        <w:rPr>
          <w:rFonts w:ascii="宋体" w:hAnsi="宋体"/>
          <w:color w:val="000000" w:themeColor="text1"/>
          <w:sz w:val="24"/>
          <w14:textFill>
            <w14:solidFill>
              <w14:schemeClr w14:val="tx1"/>
            </w14:solidFill>
          </w14:textFill>
        </w:rPr>
        <w:t>）投标人最终投标报价超过招标控制价的；</w:t>
      </w:r>
    </w:p>
    <w:p w14:paraId="037DAB4A">
      <w:pPr>
        <w:tabs>
          <w:tab w:val="left" w:pos="720"/>
          <w:tab w:val="left" w:pos="900"/>
        </w:tabs>
        <w:spacing w:line="360" w:lineRule="auto"/>
        <w:ind w:left="2" w:right="19" w:rightChars="9" w:firstLine="480" w:firstLineChars="200"/>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（1</w:t>
      </w:r>
      <w:r>
        <w:rPr>
          <w:rFonts w:hint="eastAsia" w:ascii="宋体" w:hAnsi="宋体"/>
          <w:color w:val="000000" w:themeColor="text1"/>
          <w:sz w:val="24"/>
          <w14:textFill>
            <w14:solidFill>
              <w14:schemeClr w14:val="tx1"/>
            </w14:solidFill>
          </w14:textFill>
        </w:rPr>
        <w:t>3</w:t>
      </w:r>
      <w:r>
        <w:rPr>
          <w:rFonts w:ascii="宋体" w:hAnsi="宋体"/>
          <w:color w:val="000000" w:themeColor="text1"/>
          <w:sz w:val="24"/>
          <w14:textFill>
            <w14:solidFill>
              <w14:schemeClr w14:val="tx1"/>
            </w14:solidFill>
          </w14:textFill>
        </w:rPr>
        <w:t>）投标文件</w:t>
      </w:r>
      <w:r>
        <w:rPr>
          <w:rFonts w:hint="eastAsia" w:ascii="宋体" w:hAnsi="宋体"/>
          <w:color w:val="000000" w:themeColor="text1"/>
          <w:sz w:val="24"/>
          <w14:textFill>
            <w14:solidFill>
              <w14:schemeClr w14:val="tx1"/>
            </w14:solidFill>
          </w14:textFill>
        </w:rPr>
        <w:t>未对招标文件要求的商务、技术条款作出实质性响应的。</w:t>
      </w:r>
    </w:p>
    <w:p w14:paraId="28DB7CD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宋体" w:hAns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t>2</w:t>
      </w:r>
      <w:r>
        <w:rPr>
          <w:rFonts w:hint="eastAsia" w:ascii="宋体" w:hAnsi="宋体"/>
          <w:b/>
          <w:color w:val="000000" w:themeColor="text1"/>
          <w:sz w:val="24"/>
          <w:lang w:val="en-US" w:eastAsia="zh-CN"/>
          <w14:textFill>
            <w14:solidFill>
              <w14:schemeClr w14:val="tx1"/>
            </w14:solidFill>
          </w14:textFill>
        </w:rPr>
        <w:t>.</w:t>
      </w:r>
      <w:r>
        <w:rPr>
          <w:rFonts w:ascii="宋体" w:hAnsi="宋体"/>
          <w:b/>
          <w:color w:val="000000" w:themeColor="text1"/>
          <w:sz w:val="24"/>
          <w14:textFill>
            <w14:solidFill>
              <w14:schemeClr w14:val="tx1"/>
            </w14:solidFill>
          </w14:textFill>
        </w:rPr>
        <w:t>招标文件</w:t>
      </w:r>
    </w:p>
    <w:p w14:paraId="6C220B5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宋体" w:hAns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t>2.1</w:t>
      </w:r>
      <w:r>
        <w:rPr>
          <w:rFonts w:hint="eastAsia" w:ascii="宋体" w:hAnsi="宋体"/>
          <w:b/>
          <w:color w:val="000000" w:themeColor="text1"/>
          <w:sz w:val="24"/>
          <w:lang w:val="en-US" w:eastAsia="zh-CN"/>
          <w14:textFill>
            <w14:solidFill>
              <w14:schemeClr w14:val="tx1"/>
            </w14:solidFill>
          </w14:textFill>
        </w:rPr>
        <w:t xml:space="preserve"> </w:t>
      </w:r>
      <w:r>
        <w:rPr>
          <w:rFonts w:ascii="宋体" w:hAnsi="宋体"/>
          <w:b/>
          <w:color w:val="000000" w:themeColor="text1"/>
          <w:sz w:val="24"/>
          <w14:textFill>
            <w14:solidFill>
              <w14:schemeClr w14:val="tx1"/>
            </w14:solidFill>
          </w14:textFill>
        </w:rPr>
        <w:t>招标文件的组成</w:t>
      </w:r>
    </w:p>
    <w:p w14:paraId="6393F68B">
      <w:pPr>
        <w:tabs>
          <w:tab w:val="left" w:pos="720"/>
          <w:tab w:val="left" w:pos="900"/>
        </w:tabs>
        <w:spacing w:line="360" w:lineRule="auto"/>
        <w:ind w:right="19" w:rightChars="9" w:firstLine="480"/>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本招标文件包括：</w:t>
      </w:r>
    </w:p>
    <w:p w14:paraId="3967A724">
      <w:pPr>
        <w:tabs>
          <w:tab w:val="left" w:pos="720"/>
          <w:tab w:val="left" w:pos="900"/>
        </w:tabs>
        <w:spacing w:line="360" w:lineRule="auto"/>
        <w:ind w:right="19" w:rightChars="9" w:firstLine="480" w:firstLineChars="200"/>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（1）招标公告；</w:t>
      </w:r>
    </w:p>
    <w:p w14:paraId="1977D9C1">
      <w:pPr>
        <w:tabs>
          <w:tab w:val="left" w:pos="720"/>
          <w:tab w:val="left" w:pos="900"/>
        </w:tabs>
        <w:spacing w:line="360" w:lineRule="auto"/>
        <w:ind w:right="19" w:rightChars="9" w:firstLine="480" w:firstLineChars="200"/>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（2）投标须知；</w:t>
      </w:r>
    </w:p>
    <w:p w14:paraId="7212E3E4">
      <w:pPr>
        <w:tabs>
          <w:tab w:val="left" w:pos="720"/>
          <w:tab w:val="left" w:pos="900"/>
        </w:tabs>
        <w:spacing w:line="360" w:lineRule="auto"/>
        <w:ind w:right="19" w:rightChars="9" w:firstLine="480" w:firstLineChars="200"/>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（3）</w:t>
      </w:r>
      <w:r>
        <w:rPr>
          <w:rFonts w:hint="eastAsia" w:ascii="宋体" w:hAnsi="宋体"/>
          <w:color w:val="000000" w:themeColor="text1"/>
          <w:sz w:val="24"/>
          <w14:textFill>
            <w14:solidFill>
              <w14:schemeClr w14:val="tx1"/>
            </w14:solidFill>
          </w14:textFill>
        </w:rPr>
        <w:t>采购需求</w:t>
      </w:r>
      <w:r>
        <w:rPr>
          <w:rFonts w:ascii="宋体" w:hAnsi="宋体"/>
          <w:color w:val="000000" w:themeColor="text1"/>
          <w:sz w:val="24"/>
          <w14:textFill>
            <w14:solidFill>
              <w14:schemeClr w14:val="tx1"/>
            </w14:solidFill>
          </w14:textFill>
        </w:rPr>
        <w:t>及技术要求；</w:t>
      </w:r>
    </w:p>
    <w:p w14:paraId="741FA8F0">
      <w:pPr>
        <w:tabs>
          <w:tab w:val="left" w:pos="720"/>
          <w:tab w:val="left" w:pos="900"/>
        </w:tabs>
        <w:spacing w:line="360" w:lineRule="auto"/>
        <w:ind w:right="19" w:rightChars="9" w:firstLine="480" w:firstLineChars="200"/>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（4）合同条款及合同格式；</w:t>
      </w:r>
    </w:p>
    <w:p w14:paraId="6F8DF1F4">
      <w:pPr>
        <w:tabs>
          <w:tab w:val="left" w:pos="720"/>
          <w:tab w:val="left" w:pos="900"/>
        </w:tabs>
        <w:spacing w:line="360" w:lineRule="auto"/>
        <w:ind w:right="19" w:rightChars="9" w:firstLine="480" w:firstLineChars="200"/>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5</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评标办法</w:t>
      </w:r>
      <w:r>
        <w:rPr>
          <w:rFonts w:ascii="宋体" w:hAnsi="宋体"/>
          <w:color w:val="000000" w:themeColor="text1"/>
          <w:sz w:val="24"/>
          <w14:textFill>
            <w14:solidFill>
              <w14:schemeClr w14:val="tx1"/>
            </w14:solidFill>
          </w14:textFill>
        </w:rPr>
        <w:t>；</w:t>
      </w:r>
    </w:p>
    <w:p w14:paraId="2D725187">
      <w:pPr>
        <w:tabs>
          <w:tab w:val="left" w:pos="720"/>
          <w:tab w:val="left" w:pos="900"/>
        </w:tabs>
        <w:spacing w:line="360" w:lineRule="auto"/>
        <w:ind w:right="19" w:rightChars="9" w:firstLine="480" w:firstLineChars="200"/>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6</w:t>
      </w:r>
      <w:r>
        <w:rPr>
          <w:rFonts w:ascii="宋体" w:hAnsi="宋体"/>
          <w:color w:val="000000" w:themeColor="text1"/>
          <w:sz w:val="24"/>
          <w14:textFill>
            <w14:solidFill>
              <w14:schemeClr w14:val="tx1"/>
            </w14:solidFill>
          </w14:textFill>
        </w:rPr>
        <w:t>）投标文件格式；</w:t>
      </w:r>
    </w:p>
    <w:p w14:paraId="08732DC1">
      <w:pPr>
        <w:tabs>
          <w:tab w:val="left" w:pos="720"/>
          <w:tab w:val="left" w:pos="900"/>
        </w:tabs>
        <w:spacing w:line="360" w:lineRule="auto"/>
        <w:ind w:right="19" w:rightChars="9" w:firstLine="360" w:firstLineChars="150"/>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根据本章对招标文件所作的澄清、修改，构成招标文件的组成部分。</w:t>
      </w:r>
    </w:p>
    <w:p w14:paraId="3DEA8FC8">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宋体" w:hAns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t>2.2</w:t>
      </w:r>
      <w:r>
        <w:rPr>
          <w:rFonts w:hint="eastAsia" w:ascii="宋体" w:hAnsi="宋体"/>
          <w:b/>
          <w:color w:val="000000" w:themeColor="text1"/>
          <w:sz w:val="24"/>
          <w:lang w:val="en-US" w:eastAsia="zh-CN"/>
          <w14:textFill>
            <w14:solidFill>
              <w14:schemeClr w14:val="tx1"/>
            </w14:solidFill>
          </w14:textFill>
        </w:rPr>
        <w:t xml:space="preserve"> </w:t>
      </w:r>
      <w:r>
        <w:rPr>
          <w:rFonts w:ascii="宋体" w:hAnsi="宋体"/>
          <w:b/>
          <w:color w:val="000000" w:themeColor="text1"/>
          <w:sz w:val="24"/>
          <w14:textFill>
            <w14:solidFill>
              <w14:schemeClr w14:val="tx1"/>
            </w14:solidFill>
          </w14:textFill>
        </w:rPr>
        <w:t>招标</w:t>
      </w:r>
      <w:r>
        <w:rPr>
          <w:rFonts w:hint="eastAsia" w:ascii="宋体" w:hAnsi="宋体"/>
          <w:b/>
          <w:color w:val="000000" w:themeColor="text1"/>
          <w:sz w:val="24"/>
          <w14:textFill>
            <w14:solidFill>
              <w14:schemeClr w14:val="tx1"/>
            </w14:solidFill>
          </w14:textFill>
        </w:rPr>
        <w:t>文件</w:t>
      </w:r>
      <w:r>
        <w:rPr>
          <w:rFonts w:ascii="宋体" w:hAnsi="宋体"/>
          <w:b/>
          <w:color w:val="000000" w:themeColor="text1"/>
          <w:sz w:val="24"/>
          <w14:textFill>
            <w14:solidFill>
              <w14:schemeClr w14:val="tx1"/>
            </w14:solidFill>
          </w14:textFill>
        </w:rPr>
        <w:t>的澄清</w:t>
      </w:r>
    </w:p>
    <w:p w14:paraId="13B6EE77">
      <w:pPr>
        <w:tabs>
          <w:tab w:val="left" w:pos="720"/>
          <w:tab w:val="left" w:pos="900"/>
        </w:tabs>
        <w:spacing w:line="360" w:lineRule="auto"/>
        <w:ind w:right="19" w:rightChars="9" w:firstLine="480" w:firstLineChars="200"/>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2.2.1投标人应仔细阅读和检查招标文件的全部内容。如发现缺页或附件不全，应及时向采购人提出，以便补齐。如有疑问，应在投标人须知前附表规定的时间前以书面的形式（包括信函、电报、传真等可以有形地表现所载内容的形式，下同），要求采购人对招标文件予以澄清。</w:t>
      </w:r>
    </w:p>
    <w:p w14:paraId="0F4B336A">
      <w:pPr>
        <w:tabs>
          <w:tab w:val="left" w:pos="720"/>
          <w:tab w:val="left" w:pos="900"/>
        </w:tabs>
        <w:spacing w:line="360" w:lineRule="auto"/>
        <w:ind w:right="19" w:rightChars="9" w:firstLine="480" w:firstLineChars="200"/>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2.2.2招标文件的澄清将在投标人须知前附表规定的</w:t>
      </w:r>
      <w:r>
        <w:rPr>
          <w:rFonts w:hint="eastAsia" w:ascii="宋体" w:hAnsi="宋体"/>
          <w:color w:val="000000" w:themeColor="text1"/>
          <w:sz w:val="24"/>
          <w14:textFill>
            <w14:solidFill>
              <w14:schemeClr w14:val="tx1"/>
            </w14:solidFill>
          </w14:textFill>
        </w:rPr>
        <w:t>投标截止时间</w:t>
      </w:r>
      <w:r>
        <w:rPr>
          <w:rFonts w:ascii="宋体" w:hAnsi="宋体"/>
          <w:color w:val="000000" w:themeColor="text1"/>
          <w:sz w:val="24"/>
          <w14:textFill>
            <w14:solidFill>
              <w14:schemeClr w14:val="tx1"/>
            </w14:solidFill>
          </w14:textFill>
        </w:rPr>
        <w:t>1</w:t>
      </w:r>
      <w:r>
        <w:rPr>
          <w:rFonts w:hint="eastAsia" w:ascii="宋体" w:hAnsi="宋体"/>
          <w:color w:val="000000" w:themeColor="text1"/>
          <w:sz w:val="24"/>
          <w14:textFill>
            <w14:solidFill>
              <w14:schemeClr w14:val="tx1"/>
            </w14:solidFill>
          </w14:textFill>
        </w:rPr>
        <w:t>0日前</w:t>
      </w:r>
      <w:r>
        <w:rPr>
          <w:rFonts w:ascii="宋体" w:hAnsi="宋体"/>
          <w:color w:val="000000" w:themeColor="text1"/>
          <w:sz w:val="24"/>
          <w14:textFill>
            <w14:solidFill>
              <w14:schemeClr w14:val="tx1"/>
            </w14:solidFill>
          </w14:textFill>
        </w:rPr>
        <w:t>以书面形式发给所有购买招标文件的投标人，但不指明澄清问题的来源。如果澄清发出的时间</w:t>
      </w:r>
      <w:r>
        <w:rPr>
          <w:rFonts w:hint="eastAsia" w:ascii="宋体" w:hAnsi="宋体"/>
          <w:color w:val="000000" w:themeColor="text1"/>
          <w:sz w:val="24"/>
          <w14:textFill>
            <w14:solidFill>
              <w14:schemeClr w14:val="tx1"/>
            </w14:solidFill>
          </w14:textFill>
        </w:rPr>
        <w:t>距投标截止时间不足</w:t>
      </w:r>
      <w:r>
        <w:rPr>
          <w:rFonts w:ascii="宋体" w:hAnsi="宋体"/>
          <w:color w:val="000000" w:themeColor="text1"/>
          <w:sz w:val="24"/>
          <w14:textFill>
            <w14:solidFill>
              <w14:schemeClr w14:val="tx1"/>
            </w14:solidFill>
          </w14:textFill>
        </w:rPr>
        <w:t>1</w:t>
      </w:r>
      <w:r>
        <w:rPr>
          <w:rFonts w:hint="eastAsia" w:ascii="宋体" w:hAnsi="宋体"/>
          <w:color w:val="000000" w:themeColor="text1"/>
          <w:sz w:val="24"/>
          <w14:textFill>
            <w14:solidFill>
              <w14:schemeClr w14:val="tx1"/>
            </w14:solidFill>
          </w14:textFill>
        </w:rPr>
        <w:t>0日的</w:t>
      </w:r>
      <w:r>
        <w:rPr>
          <w:rFonts w:ascii="宋体" w:hAnsi="宋体"/>
          <w:color w:val="000000" w:themeColor="text1"/>
          <w:sz w:val="24"/>
          <w14:textFill>
            <w14:solidFill>
              <w14:schemeClr w14:val="tx1"/>
            </w14:solidFill>
          </w14:textFill>
        </w:rPr>
        <w:t>，相应延长投标截止时间。</w:t>
      </w:r>
    </w:p>
    <w:p w14:paraId="0E438758">
      <w:pPr>
        <w:tabs>
          <w:tab w:val="left" w:pos="720"/>
          <w:tab w:val="left" w:pos="900"/>
        </w:tabs>
        <w:spacing w:line="360" w:lineRule="auto"/>
        <w:ind w:left="2" w:right="19" w:rightChars="9" w:firstLine="477" w:firstLineChars="199"/>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2.2.3投标人在收到澄清后，应在投标人须知前附表规定的时间内以书面形式通知采购人，确认已收到该澄清。</w:t>
      </w:r>
    </w:p>
    <w:p w14:paraId="1019C041">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宋体" w:hAnsi="宋体"/>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t>2.3</w:t>
      </w:r>
      <w:r>
        <w:rPr>
          <w:rFonts w:hint="eastAsia" w:ascii="宋体" w:hAnsi="宋体"/>
          <w:b/>
          <w:color w:val="000000" w:themeColor="text1"/>
          <w:sz w:val="24"/>
          <w:lang w:val="en-US" w:eastAsia="zh-CN"/>
          <w14:textFill>
            <w14:solidFill>
              <w14:schemeClr w14:val="tx1"/>
            </w14:solidFill>
          </w14:textFill>
        </w:rPr>
        <w:t xml:space="preserve"> </w:t>
      </w:r>
      <w:r>
        <w:rPr>
          <w:rFonts w:ascii="宋体" w:hAnsi="宋体"/>
          <w:b/>
          <w:color w:val="000000" w:themeColor="text1"/>
          <w:sz w:val="24"/>
          <w14:textFill>
            <w14:solidFill>
              <w14:schemeClr w14:val="tx1"/>
            </w14:solidFill>
          </w14:textFill>
        </w:rPr>
        <w:t>招标</w:t>
      </w:r>
      <w:r>
        <w:rPr>
          <w:rFonts w:hint="eastAsia" w:ascii="宋体" w:hAnsi="宋体"/>
          <w:b/>
          <w:color w:val="000000" w:themeColor="text1"/>
          <w:sz w:val="24"/>
          <w14:textFill>
            <w14:solidFill>
              <w14:schemeClr w14:val="tx1"/>
            </w14:solidFill>
          </w14:textFill>
        </w:rPr>
        <w:t>文件</w:t>
      </w:r>
      <w:r>
        <w:rPr>
          <w:rFonts w:ascii="宋体" w:hAnsi="宋体"/>
          <w:b/>
          <w:color w:val="000000" w:themeColor="text1"/>
          <w:sz w:val="24"/>
          <w14:textFill>
            <w14:solidFill>
              <w14:schemeClr w14:val="tx1"/>
            </w14:solidFill>
          </w14:textFill>
        </w:rPr>
        <w:t>的修改</w:t>
      </w:r>
    </w:p>
    <w:p w14:paraId="3FD85410">
      <w:pPr>
        <w:tabs>
          <w:tab w:val="left" w:pos="720"/>
          <w:tab w:val="left" w:pos="900"/>
        </w:tabs>
        <w:spacing w:line="360" w:lineRule="auto"/>
        <w:ind w:right="19" w:rightChars="9" w:firstLine="480"/>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2.3.1在</w:t>
      </w:r>
      <w:r>
        <w:rPr>
          <w:rFonts w:hint="eastAsia" w:ascii="宋体" w:hAnsi="宋体"/>
          <w:color w:val="000000" w:themeColor="text1"/>
          <w:sz w:val="24"/>
          <w14:textFill>
            <w14:solidFill>
              <w14:schemeClr w14:val="tx1"/>
            </w14:solidFill>
          </w14:textFill>
        </w:rPr>
        <w:t>投标截止时间</w:t>
      </w:r>
      <w:r>
        <w:rPr>
          <w:rFonts w:ascii="宋体" w:hAnsi="宋体"/>
          <w:color w:val="000000" w:themeColor="text1"/>
          <w:sz w:val="24"/>
          <w14:textFill>
            <w14:solidFill>
              <w14:schemeClr w14:val="tx1"/>
            </w14:solidFill>
          </w14:textFill>
        </w:rPr>
        <w:t>1</w:t>
      </w:r>
      <w:r>
        <w:rPr>
          <w:rFonts w:hint="eastAsia" w:ascii="宋体" w:hAnsi="宋体"/>
          <w:color w:val="000000" w:themeColor="text1"/>
          <w:sz w:val="24"/>
          <w14:textFill>
            <w14:solidFill>
              <w14:schemeClr w14:val="tx1"/>
            </w14:solidFill>
          </w14:textFill>
        </w:rPr>
        <w:t>0日前</w:t>
      </w:r>
      <w:r>
        <w:rPr>
          <w:rFonts w:ascii="宋体" w:hAnsi="宋体"/>
          <w:color w:val="000000" w:themeColor="text1"/>
          <w:sz w:val="24"/>
          <w14:textFill>
            <w14:solidFill>
              <w14:schemeClr w14:val="tx1"/>
            </w14:solidFill>
          </w14:textFill>
        </w:rPr>
        <w:t>，采购人可以书面形式修改招标文件，并通知所有已购买招标文件的投标人。如果修改招标文件的时间</w:t>
      </w:r>
      <w:r>
        <w:rPr>
          <w:rFonts w:hint="eastAsia" w:ascii="宋体" w:hAnsi="宋体"/>
          <w:color w:val="000000" w:themeColor="text1"/>
          <w:sz w:val="24"/>
          <w14:textFill>
            <w14:solidFill>
              <w14:schemeClr w14:val="tx1"/>
            </w14:solidFill>
          </w14:textFill>
        </w:rPr>
        <w:t>距投标截止时间不足</w:t>
      </w:r>
      <w:r>
        <w:rPr>
          <w:rFonts w:ascii="宋体" w:hAnsi="宋体"/>
          <w:color w:val="000000" w:themeColor="text1"/>
          <w:sz w:val="24"/>
          <w14:textFill>
            <w14:solidFill>
              <w14:schemeClr w14:val="tx1"/>
            </w14:solidFill>
          </w14:textFill>
        </w:rPr>
        <w:t>1</w:t>
      </w:r>
      <w:r>
        <w:rPr>
          <w:rFonts w:hint="eastAsia" w:ascii="宋体" w:hAnsi="宋体"/>
          <w:color w:val="000000" w:themeColor="text1"/>
          <w:sz w:val="24"/>
          <w14:textFill>
            <w14:solidFill>
              <w14:schemeClr w14:val="tx1"/>
            </w14:solidFill>
          </w14:textFill>
        </w:rPr>
        <w:t>0日的</w:t>
      </w:r>
      <w:r>
        <w:rPr>
          <w:rFonts w:ascii="宋体" w:hAnsi="宋体"/>
          <w:color w:val="000000" w:themeColor="text1"/>
          <w:sz w:val="24"/>
          <w14:textFill>
            <w14:solidFill>
              <w14:schemeClr w14:val="tx1"/>
            </w14:solidFill>
          </w14:textFill>
        </w:rPr>
        <w:t>，相应延长投标截止时间。</w:t>
      </w:r>
    </w:p>
    <w:p w14:paraId="15144DF0">
      <w:pPr>
        <w:tabs>
          <w:tab w:val="left" w:pos="720"/>
          <w:tab w:val="left" w:pos="900"/>
        </w:tabs>
        <w:spacing w:line="360" w:lineRule="auto"/>
        <w:ind w:left="2" w:leftChars="1" w:right="19" w:rightChars="9" w:firstLine="480" w:firstLineChars="200"/>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2.3.2投标人收到修改内容后，应在投标人须知前附表规定的时间内以书面形式通知采购人，确定已收到该修改。</w:t>
      </w:r>
    </w:p>
    <w:p w14:paraId="63CF4835">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宋体" w:hAns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t>3.投标</w:t>
      </w:r>
      <w:r>
        <w:rPr>
          <w:rFonts w:hint="eastAsia" w:ascii="宋体" w:hAnsi="宋体"/>
          <w:b/>
          <w:color w:val="000000" w:themeColor="text1"/>
          <w:sz w:val="24"/>
          <w14:textFill>
            <w14:solidFill>
              <w14:schemeClr w14:val="tx1"/>
            </w14:solidFill>
          </w14:textFill>
        </w:rPr>
        <w:t>文件</w:t>
      </w:r>
    </w:p>
    <w:p w14:paraId="28E77226">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宋体" w:hAns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t>3.1</w:t>
      </w:r>
      <w:r>
        <w:rPr>
          <w:rFonts w:hint="eastAsia" w:ascii="宋体" w:hAnsi="宋体"/>
          <w:b/>
          <w:color w:val="000000" w:themeColor="text1"/>
          <w:sz w:val="24"/>
          <w:lang w:val="en-US" w:eastAsia="zh-CN"/>
          <w14:textFill>
            <w14:solidFill>
              <w14:schemeClr w14:val="tx1"/>
            </w14:solidFill>
          </w14:textFill>
        </w:rPr>
        <w:t xml:space="preserve"> </w:t>
      </w:r>
      <w:r>
        <w:rPr>
          <w:rFonts w:ascii="宋体" w:hAnsi="宋体"/>
          <w:b/>
          <w:color w:val="000000" w:themeColor="text1"/>
          <w:sz w:val="24"/>
          <w14:textFill>
            <w14:solidFill>
              <w14:schemeClr w14:val="tx1"/>
            </w14:solidFill>
          </w14:textFill>
        </w:rPr>
        <w:t>投标</w:t>
      </w:r>
      <w:r>
        <w:rPr>
          <w:rFonts w:hint="eastAsia" w:ascii="宋体" w:hAnsi="宋体"/>
          <w:b/>
          <w:color w:val="000000" w:themeColor="text1"/>
          <w:sz w:val="24"/>
          <w14:textFill>
            <w14:solidFill>
              <w14:schemeClr w14:val="tx1"/>
            </w14:solidFill>
          </w14:textFill>
        </w:rPr>
        <w:t>文件</w:t>
      </w:r>
      <w:r>
        <w:rPr>
          <w:rFonts w:ascii="宋体" w:hAnsi="宋体"/>
          <w:b/>
          <w:color w:val="000000" w:themeColor="text1"/>
          <w:sz w:val="24"/>
          <w14:textFill>
            <w14:solidFill>
              <w14:schemeClr w14:val="tx1"/>
            </w14:solidFill>
          </w14:textFill>
        </w:rPr>
        <w:t>的组成</w:t>
      </w:r>
    </w:p>
    <w:p w14:paraId="65B598DB">
      <w:pPr>
        <w:tabs>
          <w:tab w:val="left" w:pos="720"/>
          <w:tab w:val="left" w:pos="900"/>
        </w:tabs>
        <w:spacing w:line="360" w:lineRule="auto"/>
        <w:ind w:left="2" w:leftChars="1" w:right="19" w:rightChars="9" w:firstLine="480" w:firstLineChars="200"/>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3.1.1投标文件应包括下列内容：</w:t>
      </w:r>
    </w:p>
    <w:p w14:paraId="45704F48">
      <w:pPr>
        <w:tabs>
          <w:tab w:val="left" w:pos="720"/>
          <w:tab w:val="left" w:pos="900"/>
        </w:tabs>
        <w:spacing w:line="360" w:lineRule="auto"/>
        <w:ind w:left="2" w:leftChars="1" w:right="19" w:rightChars="9" w:firstLine="480" w:firstLineChars="200"/>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（1）投标承诺书；</w:t>
      </w:r>
    </w:p>
    <w:p w14:paraId="68203A36">
      <w:pPr>
        <w:tabs>
          <w:tab w:val="left" w:pos="720"/>
          <w:tab w:val="left" w:pos="900"/>
        </w:tabs>
        <w:spacing w:line="360" w:lineRule="auto"/>
        <w:ind w:left="2" w:leftChars="1" w:right="19" w:rightChars="9" w:firstLine="480" w:firstLineChars="200"/>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（2）开标一览表；</w:t>
      </w:r>
    </w:p>
    <w:p w14:paraId="44E134B9">
      <w:pPr>
        <w:tabs>
          <w:tab w:val="left" w:pos="720"/>
          <w:tab w:val="left" w:pos="900"/>
        </w:tabs>
        <w:spacing w:line="360" w:lineRule="auto"/>
        <w:ind w:left="2" w:leftChars="1" w:right="19" w:rightChars="9" w:firstLine="480" w:firstLineChars="200"/>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（3）分项报价表；</w:t>
      </w:r>
    </w:p>
    <w:p w14:paraId="2EFEC435">
      <w:pPr>
        <w:tabs>
          <w:tab w:val="left" w:pos="720"/>
          <w:tab w:val="left" w:pos="900"/>
        </w:tabs>
        <w:spacing w:line="360" w:lineRule="auto"/>
        <w:ind w:left="2" w:leftChars="1" w:right="19" w:rightChars="9" w:firstLine="480" w:firstLineChars="200"/>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（4）法定代表人身份证明；</w:t>
      </w:r>
    </w:p>
    <w:p w14:paraId="1E2B4EA4">
      <w:pPr>
        <w:tabs>
          <w:tab w:val="left" w:pos="720"/>
          <w:tab w:val="left" w:pos="900"/>
        </w:tabs>
        <w:spacing w:line="360" w:lineRule="auto"/>
        <w:ind w:left="2" w:leftChars="1" w:right="19" w:rightChars="9" w:firstLine="480" w:firstLineChars="200"/>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（5）授权委托书； </w:t>
      </w:r>
    </w:p>
    <w:p w14:paraId="1CDBBA1E">
      <w:pPr>
        <w:tabs>
          <w:tab w:val="left" w:pos="720"/>
          <w:tab w:val="left" w:pos="900"/>
        </w:tabs>
        <w:spacing w:line="360" w:lineRule="auto"/>
        <w:ind w:left="2" w:leftChars="1" w:right="19" w:rightChars="9" w:firstLine="480" w:firstLineChars="200"/>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（6）服务方案；</w:t>
      </w:r>
    </w:p>
    <w:p w14:paraId="4F6D5383">
      <w:pPr>
        <w:tabs>
          <w:tab w:val="left" w:pos="720"/>
          <w:tab w:val="left" w:pos="900"/>
        </w:tabs>
        <w:spacing w:line="360" w:lineRule="auto"/>
        <w:ind w:left="2" w:leftChars="1" w:right="19" w:rightChars="9" w:firstLine="480" w:firstLineChars="200"/>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（7）计划参加本项目服务人员一览表；</w:t>
      </w:r>
    </w:p>
    <w:p w14:paraId="2F09AEDB">
      <w:pPr>
        <w:tabs>
          <w:tab w:val="left" w:pos="720"/>
          <w:tab w:val="left" w:pos="900"/>
        </w:tabs>
        <w:spacing w:line="360" w:lineRule="auto"/>
        <w:ind w:left="2" w:leftChars="1" w:right="19" w:rightChars="9" w:firstLine="480" w:firstLineChars="200"/>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（8）投标人业绩情况表；</w:t>
      </w:r>
    </w:p>
    <w:p w14:paraId="104233A9">
      <w:pPr>
        <w:tabs>
          <w:tab w:val="left" w:pos="720"/>
          <w:tab w:val="left" w:pos="900"/>
        </w:tabs>
        <w:spacing w:line="360" w:lineRule="auto"/>
        <w:ind w:right="19" w:rightChars="9" w:firstLine="480" w:firstLineChars="200"/>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（9）技术规格响应表；</w:t>
      </w:r>
    </w:p>
    <w:p w14:paraId="362A71F0">
      <w:pPr>
        <w:tabs>
          <w:tab w:val="left" w:pos="720"/>
          <w:tab w:val="left" w:pos="900"/>
        </w:tabs>
        <w:spacing w:line="360" w:lineRule="auto"/>
        <w:ind w:right="19" w:rightChars="9" w:firstLine="480" w:firstLineChars="200"/>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（10）各类证明材料。</w:t>
      </w:r>
    </w:p>
    <w:p w14:paraId="4C73DDB5">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3</w:t>
      </w:r>
      <w:r>
        <w:rPr>
          <w:rFonts w:ascii="宋体" w:hAnsi="宋体"/>
          <w:b/>
          <w:color w:val="000000" w:themeColor="text1"/>
          <w:sz w:val="24"/>
          <w14:textFill>
            <w14:solidFill>
              <w14:schemeClr w14:val="tx1"/>
            </w14:solidFill>
          </w14:textFill>
        </w:rPr>
        <w:t>.2 投标</w:t>
      </w:r>
      <w:r>
        <w:rPr>
          <w:rFonts w:hint="eastAsia" w:ascii="宋体" w:hAnsi="宋体"/>
          <w:b/>
          <w:color w:val="000000" w:themeColor="text1"/>
          <w:sz w:val="24"/>
          <w14:textFill>
            <w14:solidFill>
              <w14:schemeClr w14:val="tx1"/>
            </w14:solidFill>
          </w14:textFill>
        </w:rPr>
        <w:t>报价</w:t>
      </w:r>
    </w:p>
    <w:p w14:paraId="058C7961">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宋体" w:hAnsi="宋体"/>
          <w:b/>
          <w:bCs/>
          <w:color w:val="000000" w:themeColor="text1"/>
          <w:sz w:val="24"/>
          <w14:textFill>
            <w14:solidFill>
              <w14:schemeClr w14:val="tx1"/>
            </w14:solidFill>
          </w14:textFill>
        </w:rPr>
      </w:pPr>
      <w:r>
        <w:rPr>
          <w:rFonts w:ascii="宋体" w:hAnsi="宋体"/>
          <w:b/>
          <w:bCs/>
          <w:color w:val="000000" w:themeColor="text1"/>
          <w:sz w:val="24"/>
          <w14:textFill>
            <w14:solidFill>
              <w14:schemeClr w14:val="tx1"/>
            </w14:solidFill>
          </w14:textFill>
        </w:rPr>
        <w:t>3.2.1</w:t>
      </w:r>
      <w:r>
        <w:rPr>
          <w:rFonts w:hint="eastAsia" w:ascii="宋体" w:hAnsi="宋体"/>
          <w:b/>
          <w:color w:val="000000" w:themeColor="text1"/>
          <w:sz w:val="24"/>
          <w14:textFill>
            <w14:solidFill>
              <w14:schemeClr w14:val="tx1"/>
            </w14:solidFill>
          </w14:textFill>
        </w:rPr>
        <w:t>计价</w:t>
      </w:r>
      <w:r>
        <w:rPr>
          <w:rFonts w:hint="eastAsia" w:ascii="宋体" w:hAnsi="宋体"/>
          <w:b/>
          <w:bCs/>
          <w:color w:val="000000" w:themeColor="text1"/>
          <w:sz w:val="24"/>
          <w14:textFill>
            <w14:solidFill>
              <w14:schemeClr w14:val="tx1"/>
            </w14:solidFill>
          </w14:textFill>
        </w:rPr>
        <w:t>原则</w:t>
      </w:r>
    </w:p>
    <w:p w14:paraId="4712381F">
      <w:pPr>
        <w:tabs>
          <w:tab w:val="left" w:pos="720"/>
          <w:tab w:val="left" w:pos="900"/>
        </w:tabs>
        <w:spacing w:line="360" w:lineRule="auto"/>
        <w:ind w:right="19" w:rightChars="9" w:firstLine="470" w:firstLineChars="196"/>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投标人在编制投标文件时应根据招标文件、答疑文件(如有)、国家有关价格政策，根据企业自身实力、技术力量和管理水平，考虑风险因素，让利、优惠后在不违反国家有关法律、法规的情况下竞报承担本次服务的费用。</w:t>
      </w:r>
    </w:p>
    <w:p w14:paraId="1575AB67">
      <w:pPr>
        <w:tabs>
          <w:tab w:val="left" w:pos="720"/>
          <w:tab w:val="left" w:pos="900"/>
        </w:tabs>
        <w:spacing w:line="360" w:lineRule="auto"/>
        <w:ind w:right="19" w:rightChars="9" w:firstLine="470" w:firstLineChars="196"/>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(2)投标人应充分了解本项目任何足以影响报价的情况，任何因忽视或误解而导致的索赔或增加费用申请将不被批准。</w:t>
      </w:r>
    </w:p>
    <w:p w14:paraId="1AD4CBFB">
      <w:pPr>
        <w:tabs>
          <w:tab w:val="left" w:pos="720"/>
          <w:tab w:val="left" w:pos="900"/>
        </w:tabs>
        <w:spacing w:line="360" w:lineRule="auto"/>
        <w:ind w:right="19" w:rightChars="9" w:firstLine="48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(3)其他未说明的问题在合同中约定。</w:t>
      </w:r>
    </w:p>
    <w:p w14:paraId="0D2B5F32">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宋体" w:hAns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t>3.3 投标有效期</w:t>
      </w:r>
    </w:p>
    <w:p w14:paraId="24A2CDF5">
      <w:pPr>
        <w:tabs>
          <w:tab w:val="left" w:pos="720"/>
          <w:tab w:val="left" w:pos="900"/>
        </w:tabs>
        <w:spacing w:line="360" w:lineRule="auto"/>
        <w:ind w:left="2" w:right="19" w:rightChars="9" w:firstLine="597" w:firstLineChars="249"/>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3.3.1在投标人须知前附表规定的投标有效期内，投标人不得要求撤销或修改其投标文件。</w:t>
      </w:r>
    </w:p>
    <w:p w14:paraId="1E28A87B">
      <w:pPr>
        <w:tabs>
          <w:tab w:val="left" w:pos="720"/>
          <w:tab w:val="left" w:pos="900"/>
        </w:tabs>
        <w:spacing w:line="360" w:lineRule="auto"/>
        <w:ind w:left="2" w:right="19" w:rightChars="9" w:firstLine="540" w:firstLineChars="225"/>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3.3.2出现特殊情况需要延长投标有效期的，采购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14:paraId="5E51E66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宋体" w:hAns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t>3.4</w:t>
      </w:r>
      <w:r>
        <w:rPr>
          <w:rFonts w:hint="eastAsia" w:ascii="宋体" w:hAnsi="宋体"/>
          <w:b/>
          <w:color w:val="000000" w:themeColor="text1"/>
          <w:sz w:val="24"/>
          <w:lang w:val="en-US" w:eastAsia="zh-CN"/>
          <w14:textFill>
            <w14:solidFill>
              <w14:schemeClr w14:val="tx1"/>
            </w14:solidFill>
          </w14:textFill>
        </w:rPr>
        <w:t xml:space="preserve"> </w:t>
      </w:r>
      <w:r>
        <w:rPr>
          <w:rFonts w:ascii="宋体" w:hAnsi="宋体"/>
          <w:b/>
          <w:color w:val="000000" w:themeColor="text1"/>
          <w:sz w:val="24"/>
          <w14:textFill>
            <w14:solidFill>
              <w14:schemeClr w14:val="tx1"/>
            </w14:solidFill>
          </w14:textFill>
        </w:rPr>
        <w:t>投标保证金（本项目不适用）</w:t>
      </w:r>
    </w:p>
    <w:p w14:paraId="1B06F059">
      <w:pPr>
        <w:tabs>
          <w:tab w:val="left" w:pos="0"/>
          <w:tab w:val="left" w:pos="720"/>
        </w:tabs>
        <w:spacing w:line="360" w:lineRule="auto"/>
        <w:ind w:left="1" w:right="19" w:rightChars="9" w:firstLine="540" w:firstLineChars="225"/>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3.4.1投标人在递交投标文件的同时，应按投标人须知前附表规定的金额、担保形式和 “投标文件格式”规定的投标保证金格式递交投标保证金，并作为其投标文件组成部分。</w:t>
      </w:r>
    </w:p>
    <w:p w14:paraId="0B3EBCC8">
      <w:pPr>
        <w:tabs>
          <w:tab w:val="left" w:pos="720"/>
          <w:tab w:val="left" w:pos="900"/>
        </w:tabs>
        <w:spacing w:line="360" w:lineRule="auto"/>
        <w:ind w:right="19" w:rightChars="9" w:firstLine="540" w:firstLineChars="225"/>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3.4.2投标人不按本章要求提交投标保证金的，其投标文件作</w:t>
      </w:r>
      <w:r>
        <w:rPr>
          <w:rFonts w:hint="eastAsia" w:ascii="宋体" w:hAnsi="宋体"/>
          <w:color w:val="000000" w:themeColor="text1"/>
          <w:sz w:val="24"/>
          <w14:textFill>
            <w14:solidFill>
              <w14:schemeClr w14:val="tx1"/>
            </w14:solidFill>
          </w14:textFill>
        </w:rPr>
        <w:t>否决其投标处理</w:t>
      </w:r>
      <w:r>
        <w:rPr>
          <w:rFonts w:ascii="宋体" w:hAnsi="宋体"/>
          <w:color w:val="000000" w:themeColor="text1"/>
          <w:sz w:val="24"/>
          <w14:textFill>
            <w14:solidFill>
              <w14:schemeClr w14:val="tx1"/>
            </w14:solidFill>
          </w14:textFill>
        </w:rPr>
        <w:t>。</w:t>
      </w:r>
    </w:p>
    <w:p w14:paraId="25136D44">
      <w:pPr>
        <w:tabs>
          <w:tab w:val="left" w:pos="720"/>
          <w:tab w:val="left" w:pos="900"/>
        </w:tabs>
        <w:spacing w:line="360" w:lineRule="auto"/>
        <w:ind w:left="1" w:right="19" w:rightChars="9" w:firstLine="477" w:firstLineChars="199"/>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3.4.3采购人与中标人签订合同后5</w:t>
      </w:r>
      <w:r>
        <w:rPr>
          <w:rFonts w:hint="eastAsia" w:ascii="宋体" w:hAnsi="宋体"/>
          <w:color w:val="000000" w:themeColor="text1"/>
          <w:sz w:val="24"/>
          <w14:textFill>
            <w14:solidFill>
              <w14:schemeClr w14:val="tx1"/>
            </w14:solidFill>
          </w14:textFill>
        </w:rPr>
        <w:t>工作</w:t>
      </w:r>
      <w:r>
        <w:rPr>
          <w:rFonts w:ascii="宋体" w:hAnsi="宋体"/>
          <w:color w:val="000000" w:themeColor="text1"/>
          <w:sz w:val="24"/>
          <w14:textFill>
            <w14:solidFill>
              <w14:schemeClr w14:val="tx1"/>
            </w14:solidFill>
          </w14:textFill>
        </w:rPr>
        <w:t>日内，向未中标的投标人和中标人退还投标保证金。</w:t>
      </w:r>
    </w:p>
    <w:p w14:paraId="3E599772">
      <w:pPr>
        <w:tabs>
          <w:tab w:val="left" w:pos="720"/>
          <w:tab w:val="left" w:pos="900"/>
        </w:tabs>
        <w:spacing w:line="360" w:lineRule="auto"/>
        <w:ind w:right="19" w:rightChars="9" w:firstLine="480"/>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3.4.4有下列情形之一的，投标保证金将不予退还；</w:t>
      </w:r>
    </w:p>
    <w:p w14:paraId="74818DA4">
      <w:pPr>
        <w:tabs>
          <w:tab w:val="left" w:pos="720"/>
          <w:tab w:val="left" w:pos="900"/>
        </w:tabs>
        <w:spacing w:line="360" w:lineRule="auto"/>
        <w:ind w:right="19" w:rightChars="9" w:firstLine="480"/>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（1）投标人在规定的投标有效期内撤销或修改其投标文件；</w:t>
      </w:r>
    </w:p>
    <w:p w14:paraId="5F55B832">
      <w:pPr>
        <w:tabs>
          <w:tab w:val="left" w:pos="720"/>
          <w:tab w:val="left" w:pos="900"/>
        </w:tabs>
        <w:spacing w:line="360" w:lineRule="auto"/>
        <w:ind w:left="2" w:right="19" w:rightChars="9" w:firstLine="477" w:firstLineChars="199"/>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（2）中标人在收到中标通知后，无正当理由拒签合同协议书或未按招标文件规定提交履约担保。</w:t>
      </w:r>
    </w:p>
    <w:p w14:paraId="15833F70">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宋体" w:hAns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t>3.5</w:t>
      </w:r>
      <w:r>
        <w:rPr>
          <w:rFonts w:hint="eastAsia" w:ascii="宋体" w:hAnsi="宋体"/>
          <w:b/>
          <w:color w:val="000000" w:themeColor="text1"/>
          <w:sz w:val="24"/>
          <w:lang w:val="en-US" w:eastAsia="zh-CN"/>
          <w14:textFill>
            <w14:solidFill>
              <w14:schemeClr w14:val="tx1"/>
            </w14:solidFill>
          </w14:textFill>
        </w:rPr>
        <w:t xml:space="preserve"> </w:t>
      </w:r>
      <w:r>
        <w:rPr>
          <w:rFonts w:ascii="宋体" w:hAnsi="宋体"/>
          <w:b/>
          <w:color w:val="000000" w:themeColor="text1"/>
          <w:sz w:val="24"/>
          <w14:textFill>
            <w14:solidFill>
              <w14:schemeClr w14:val="tx1"/>
            </w14:solidFill>
          </w14:textFill>
        </w:rPr>
        <w:t>企业资格审查资料</w:t>
      </w:r>
    </w:p>
    <w:p w14:paraId="69C5C309">
      <w:pPr>
        <w:tabs>
          <w:tab w:val="left" w:pos="720"/>
          <w:tab w:val="left" w:pos="900"/>
        </w:tabs>
        <w:spacing w:line="360" w:lineRule="auto"/>
        <w:ind w:left="2" w:right="19" w:rightChars="9" w:firstLine="480" w:firstLineChars="200"/>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3.5.1“投标人基本情况表”应附投标人营业执照副本</w:t>
      </w:r>
      <w:r>
        <w:rPr>
          <w:rFonts w:hint="eastAsia" w:ascii="宋体" w:hAnsi="宋体"/>
          <w:color w:val="000000" w:themeColor="text1"/>
          <w:sz w:val="24"/>
          <w14:textFill>
            <w14:solidFill>
              <w14:schemeClr w14:val="tx1"/>
            </w14:solidFill>
          </w14:textFill>
        </w:rPr>
        <w:t>、</w:t>
      </w:r>
      <w:r>
        <w:rPr>
          <w:rFonts w:ascii="宋体" w:hAnsi="宋体"/>
          <w:color w:val="000000" w:themeColor="text1"/>
          <w:sz w:val="24"/>
          <w14:textFill>
            <w14:solidFill>
              <w14:schemeClr w14:val="tx1"/>
            </w14:solidFill>
          </w14:textFill>
        </w:rPr>
        <w:t>组织机构代码</w:t>
      </w:r>
      <w:r>
        <w:rPr>
          <w:rFonts w:hint="eastAsia" w:ascii="宋体" w:hAnsi="宋体"/>
          <w:color w:val="000000" w:themeColor="text1"/>
          <w:sz w:val="24"/>
          <w14:textFill>
            <w14:solidFill>
              <w14:schemeClr w14:val="tx1"/>
            </w14:solidFill>
          </w14:textFill>
        </w:rPr>
        <w:t>证</w:t>
      </w:r>
      <w:r>
        <w:rPr>
          <w:rFonts w:ascii="宋体" w:hAnsi="宋体"/>
          <w:color w:val="000000" w:themeColor="text1"/>
          <w:sz w:val="24"/>
          <w14:textFill>
            <w14:solidFill>
              <w14:schemeClr w14:val="tx1"/>
            </w14:solidFill>
          </w14:textFill>
        </w:rPr>
        <w:t>、税务登记证的证明材料、资质证书副本</w:t>
      </w:r>
      <w:r>
        <w:rPr>
          <w:rFonts w:hint="eastAsia" w:ascii="宋体" w:hAnsi="宋体"/>
          <w:color w:val="000000" w:themeColor="text1"/>
          <w:sz w:val="24"/>
          <w14:textFill>
            <w14:solidFill>
              <w14:schemeClr w14:val="tx1"/>
            </w14:solidFill>
          </w14:textFill>
        </w:rPr>
        <w:t>（如有）、投标授权书（如有）等</w:t>
      </w:r>
      <w:r>
        <w:rPr>
          <w:rFonts w:ascii="宋体" w:hAnsi="宋体"/>
          <w:color w:val="000000" w:themeColor="text1"/>
          <w:sz w:val="24"/>
          <w14:textFill>
            <w14:solidFill>
              <w14:schemeClr w14:val="tx1"/>
            </w14:solidFill>
          </w14:textFill>
        </w:rPr>
        <w:t>的复印件。</w:t>
      </w:r>
    </w:p>
    <w:p w14:paraId="4C04473A">
      <w:pPr>
        <w:tabs>
          <w:tab w:val="left" w:pos="720"/>
          <w:tab w:val="left" w:pos="900"/>
        </w:tabs>
        <w:spacing w:line="360" w:lineRule="auto"/>
        <w:ind w:left="2" w:right="19" w:rightChars="9" w:firstLine="477" w:firstLineChars="199"/>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3.5.</w:t>
      </w:r>
      <w:r>
        <w:rPr>
          <w:rFonts w:hint="eastAsia" w:ascii="宋体" w:hAnsi="宋体"/>
          <w:color w:val="000000" w:themeColor="text1"/>
          <w:sz w:val="24"/>
          <w14:textFill>
            <w14:solidFill>
              <w14:schemeClr w14:val="tx1"/>
            </w14:solidFill>
          </w14:textFill>
        </w:rPr>
        <w:t>2</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投标类似业绩</w:t>
      </w:r>
      <w:r>
        <w:rPr>
          <w:rFonts w:ascii="宋体" w:hAnsi="宋体"/>
          <w:color w:val="000000" w:themeColor="text1"/>
          <w:sz w:val="24"/>
          <w14:textFill>
            <w14:solidFill>
              <w14:schemeClr w14:val="tx1"/>
            </w14:solidFill>
          </w14:textFill>
        </w:rPr>
        <w:t>”应附合同协议书或中标通知书的复印件，具体年份要求见投标人须知前附表。每张表格只填写一个项目，并表明序号。</w:t>
      </w:r>
    </w:p>
    <w:p w14:paraId="56A5859B">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宋体" w:hAns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t>3.6</w:t>
      </w:r>
      <w:r>
        <w:rPr>
          <w:rFonts w:hint="eastAsia" w:ascii="宋体" w:hAnsi="宋体"/>
          <w:b/>
          <w:color w:val="000000" w:themeColor="text1"/>
          <w:sz w:val="24"/>
          <w:lang w:val="en-US" w:eastAsia="zh-CN"/>
          <w14:textFill>
            <w14:solidFill>
              <w14:schemeClr w14:val="tx1"/>
            </w14:solidFill>
          </w14:textFill>
        </w:rPr>
        <w:t xml:space="preserve"> </w:t>
      </w:r>
      <w:r>
        <w:rPr>
          <w:rFonts w:ascii="宋体" w:hAnsi="宋体"/>
          <w:b/>
          <w:color w:val="000000" w:themeColor="text1"/>
          <w:sz w:val="24"/>
          <w14:textFill>
            <w14:solidFill>
              <w14:schemeClr w14:val="tx1"/>
            </w14:solidFill>
          </w14:textFill>
        </w:rPr>
        <w:t>备选</w:t>
      </w:r>
      <w:r>
        <w:rPr>
          <w:rFonts w:hint="eastAsia" w:ascii="宋体" w:hAnsi="宋体"/>
          <w:b/>
          <w:color w:val="000000" w:themeColor="text1"/>
          <w:sz w:val="24"/>
          <w14:textFill>
            <w14:solidFill>
              <w14:schemeClr w14:val="tx1"/>
            </w14:solidFill>
          </w14:textFill>
        </w:rPr>
        <w:t>投标</w:t>
      </w:r>
      <w:r>
        <w:rPr>
          <w:rFonts w:ascii="宋体" w:hAnsi="宋体"/>
          <w:b/>
          <w:color w:val="000000" w:themeColor="text1"/>
          <w:sz w:val="24"/>
          <w14:textFill>
            <w14:solidFill>
              <w14:schemeClr w14:val="tx1"/>
            </w14:solidFill>
          </w14:textFill>
        </w:rPr>
        <w:t>方案</w:t>
      </w:r>
    </w:p>
    <w:p w14:paraId="62BB393F">
      <w:pPr>
        <w:tabs>
          <w:tab w:val="left" w:pos="720"/>
          <w:tab w:val="left" w:pos="900"/>
        </w:tabs>
        <w:spacing w:line="360" w:lineRule="auto"/>
        <w:ind w:right="19" w:rightChars="9" w:firstLine="477" w:firstLineChars="199"/>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除投标人须知前附表另有规定外，投标人不得递交备选投标方案。允许投标人递交备选投标方案的，只有中标人所递交的备选投标方案予以考虑。评标委员会认为中标人的备选投标方案优于其按照招标文件要求编制的投标方案的，采购人可以接受该备选投标方案。</w:t>
      </w:r>
    </w:p>
    <w:p w14:paraId="74D0E59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宋体" w:hAns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t>3.7</w:t>
      </w:r>
      <w:r>
        <w:rPr>
          <w:rFonts w:hint="eastAsia" w:ascii="宋体" w:hAnsi="宋体"/>
          <w:b/>
          <w:color w:val="000000" w:themeColor="text1"/>
          <w:sz w:val="24"/>
          <w:lang w:val="en-US" w:eastAsia="zh-CN"/>
          <w14:textFill>
            <w14:solidFill>
              <w14:schemeClr w14:val="tx1"/>
            </w14:solidFill>
          </w14:textFill>
        </w:rPr>
        <w:t xml:space="preserve"> </w:t>
      </w:r>
      <w:r>
        <w:rPr>
          <w:rFonts w:ascii="宋体" w:hAnsi="宋体"/>
          <w:b/>
          <w:color w:val="000000" w:themeColor="text1"/>
          <w:sz w:val="24"/>
          <w14:textFill>
            <w14:solidFill>
              <w14:schemeClr w14:val="tx1"/>
            </w14:solidFill>
          </w14:textFill>
        </w:rPr>
        <w:t xml:space="preserve">投标文件的编制 </w:t>
      </w:r>
    </w:p>
    <w:p w14:paraId="10D69FEE">
      <w:pPr>
        <w:tabs>
          <w:tab w:val="left" w:pos="720"/>
          <w:tab w:val="left" w:pos="900"/>
        </w:tabs>
        <w:spacing w:line="360" w:lineRule="auto"/>
        <w:ind w:left="1" w:right="19" w:rightChars="9" w:firstLine="549" w:firstLineChars="229"/>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3.7.1投标文件应按 “投标文件格式”进行编写，如有必要，可以增加附页，作为投标文件的组成部分。其中，投标函附录满足招标文件实质性要求的基础上，可以提出比招标文件要求更有利于采购人的承诺。</w:t>
      </w:r>
    </w:p>
    <w:p w14:paraId="71D638D9">
      <w:pPr>
        <w:tabs>
          <w:tab w:val="left" w:pos="720"/>
          <w:tab w:val="left" w:pos="900"/>
        </w:tabs>
        <w:spacing w:line="360" w:lineRule="auto"/>
        <w:ind w:left="1" w:right="19" w:rightChars="9" w:firstLine="549" w:firstLineChars="229"/>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3.7.2投标文件应当对招标文件有关货物</w:t>
      </w:r>
      <w:r>
        <w:rPr>
          <w:rFonts w:hint="eastAsia" w:ascii="宋体" w:hAnsi="宋体"/>
          <w:color w:val="000000" w:themeColor="text1"/>
          <w:sz w:val="24"/>
          <w14:textFill>
            <w14:solidFill>
              <w14:schemeClr w14:val="tx1"/>
            </w14:solidFill>
          </w14:textFill>
        </w:rPr>
        <w:t>、服务</w:t>
      </w:r>
      <w:r>
        <w:rPr>
          <w:rFonts w:ascii="宋体" w:hAnsi="宋体"/>
          <w:color w:val="000000" w:themeColor="text1"/>
          <w:sz w:val="24"/>
          <w14:textFill>
            <w14:solidFill>
              <w14:schemeClr w14:val="tx1"/>
            </w14:solidFill>
          </w14:textFill>
        </w:rPr>
        <w:t>、投标有效期、</w:t>
      </w:r>
      <w:r>
        <w:rPr>
          <w:rFonts w:hint="eastAsia" w:ascii="宋体" w:hAnsi="宋体"/>
          <w:color w:val="000000" w:themeColor="text1"/>
          <w:sz w:val="24"/>
          <w14:textFill>
            <w14:solidFill>
              <w14:schemeClr w14:val="tx1"/>
            </w14:solidFill>
          </w14:textFill>
        </w:rPr>
        <w:t>供货；采购需求</w:t>
      </w:r>
      <w:r>
        <w:rPr>
          <w:rFonts w:ascii="宋体" w:hAnsi="宋体"/>
          <w:color w:val="000000" w:themeColor="text1"/>
          <w:sz w:val="24"/>
          <w14:textFill>
            <w14:solidFill>
              <w14:schemeClr w14:val="tx1"/>
            </w14:solidFill>
          </w14:textFill>
        </w:rPr>
        <w:t>及技术要求、招标范围等实质性内容做出响应。</w:t>
      </w:r>
    </w:p>
    <w:p w14:paraId="3F6935EF">
      <w:pPr>
        <w:tabs>
          <w:tab w:val="left" w:pos="720"/>
          <w:tab w:val="left" w:pos="900"/>
        </w:tabs>
        <w:spacing w:line="360" w:lineRule="auto"/>
        <w:ind w:left="1" w:right="19" w:rightChars="9" w:firstLine="549" w:firstLineChars="229"/>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3.7.3投标文件应用不褪色的材料书写或打印，并由投标人的法定代表人或其委托代理人签字或盖单位章。委托代理人签字的，投标文件应附法定代表人签署的授权委托书。投标文件应尽量避免涂改、行间插字或删除。如果出现上述情况，改动之处应加盖单位章或由投标人的法定代表人或其授权的代理人签字确认。签字或盖章的具体要求见投标人须知前附表。</w:t>
      </w:r>
    </w:p>
    <w:p w14:paraId="24D9AB68">
      <w:pPr>
        <w:tabs>
          <w:tab w:val="left" w:pos="720"/>
          <w:tab w:val="left" w:pos="900"/>
        </w:tabs>
        <w:spacing w:line="360" w:lineRule="auto"/>
        <w:ind w:left="1" w:right="19" w:rightChars="9" w:firstLine="549" w:firstLineChars="229"/>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3.7.4投标文件正本一份，副本份数见投标人须知前附表。正本和副本的封面上应</w:t>
      </w:r>
      <w:r>
        <w:rPr>
          <w:rFonts w:ascii="宋体" w:hAnsi="宋体"/>
          <w:color w:val="000000" w:themeColor="text1"/>
          <w:spacing w:val="-6"/>
          <w:sz w:val="24"/>
          <w14:textFill>
            <w14:solidFill>
              <w14:schemeClr w14:val="tx1"/>
            </w14:solidFill>
          </w14:textFill>
        </w:rPr>
        <w:t>清楚地标记“正本”或“副本”的字样。当副本和正本不一致时，以正本为准。</w:t>
      </w:r>
    </w:p>
    <w:p w14:paraId="2639D2A6">
      <w:pPr>
        <w:tabs>
          <w:tab w:val="left" w:pos="720"/>
          <w:tab w:val="left" w:pos="900"/>
        </w:tabs>
        <w:spacing w:line="360" w:lineRule="auto"/>
        <w:ind w:left="1" w:right="19" w:rightChars="9" w:firstLine="549" w:firstLineChars="229"/>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3.7.5投标文件的正本和副本应分别装订成册，并编制目录，具体装订要求见投标人须知前附表规定。</w:t>
      </w:r>
    </w:p>
    <w:p w14:paraId="210AB36D">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宋体" w:hAns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t>4</w:t>
      </w:r>
      <w:r>
        <w:rPr>
          <w:rFonts w:hint="eastAsia" w:ascii="宋体" w:hAnsi="宋体"/>
          <w:b/>
          <w:color w:val="000000" w:themeColor="text1"/>
          <w:sz w:val="24"/>
          <w:lang w:val="en-US" w:eastAsia="zh-CN"/>
          <w14:textFill>
            <w14:solidFill>
              <w14:schemeClr w14:val="tx1"/>
            </w14:solidFill>
          </w14:textFill>
        </w:rPr>
        <w:t>.</w:t>
      </w:r>
      <w:r>
        <w:rPr>
          <w:rFonts w:ascii="宋体" w:hAnsi="宋体"/>
          <w:b/>
          <w:color w:val="000000" w:themeColor="text1"/>
          <w:sz w:val="24"/>
          <w14:textFill>
            <w14:solidFill>
              <w14:schemeClr w14:val="tx1"/>
            </w14:solidFill>
          </w14:textFill>
        </w:rPr>
        <w:t>投标</w:t>
      </w:r>
    </w:p>
    <w:p w14:paraId="2A78637D">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宋体" w:hAnsi="宋体"/>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t>4.1</w:t>
      </w:r>
      <w:r>
        <w:rPr>
          <w:rFonts w:hint="eastAsia" w:ascii="宋体" w:hAnsi="宋体"/>
          <w:b/>
          <w:color w:val="000000" w:themeColor="text1"/>
          <w:sz w:val="24"/>
          <w:lang w:val="en-US" w:eastAsia="zh-CN"/>
          <w14:textFill>
            <w14:solidFill>
              <w14:schemeClr w14:val="tx1"/>
            </w14:solidFill>
          </w14:textFill>
        </w:rPr>
        <w:t xml:space="preserve"> </w:t>
      </w:r>
      <w:r>
        <w:rPr>
          <w:rFonts w:ascii="宋体" w:hAnsi="宋体"/>
          <w:b/>
          <w:color w:val="000000" w:themeColor="text1"/>
          <w:sz w:val="24"/>
          <w14:textFill>
            <w14:solidFill>
              <w14:schemeClr w14:val="tx1"/>
            </w14:solidFill>
          </w14:textFill>
        </w:rPr>
        <w:t>投标</w:t>
      </w:r>
      <w:r>
        <w:rPr>
          <w:rFonts w:hint="eastAsia" w:ascii="宋体" w:hAnsi="宋体"/>
          <w:b/>
          <w:color w:val="000000" w:themeColor="text1"/>
          <w:sz w:val="24"/>
          <w14:textFill>
            <w14:solidFill>
              <w14:schemeClr w14:val="tx1"/>
            </w14:solidFill>
          </w14:textFill>
        </w:rPr>
        <w:t>文件</w:t>
      </w:r>
      <w:r>
        <w:rPr>
          <w:rFonts w:ascii="宋体" w:hAnsi="宋体"/>
          <w:b/>
          <w:color w:val="000000" w:themeColor="text1"/>
          <w:sz w:val="24"/>
          <w14:textFill>
            <w14:solidFill>
              <w14:schemeClr w14:val="tx1"/>
            </w14:solidFill>
          </w14:textFill>
        </w:rPr>
        <w:t>的密封和标识</w:t>
      </w:r>
    </w:p>
    <w:p w14:paraId="11C22363">
      <w:pPr>
        <w:tabs>
          <w:tab w:val="left" w:pos="720"/>
          <w:tab w:val="left" w:pos="900"/>
        </w:tabs>
        <w:spacing w:line="360" w:lineRule="auto"/>
        <w:ind w:right="19" w:rightChars="9" w:firstLine="477" w:firstLineChars="199"/>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4.1.1投标文件的正本和副本应</w:t>
      </w:r>
      <w:r>
        <w:rPr>
          <w:rFonts w:hint="eastAsia" w:ascii="宋体" w:hAnsi="宋体"/>
          <w:color w:val="000000" w:themeColor="text1"/>
          <w:sz w:val="24"/>
          <w14:textFill>
            <w14:solidFill>
              <w14:schemeClr w14:val="tx1"/>
            </w14:solidFill>
          </w14:textFill>
        </w:rPr>
        <w:t>一起</w:t>
      </w:r>
      <w:r>
        <w:rPr>
          <w:rFonts w:ascii="宋体" w:hAnsi="宋体"/>
          <w:color w:val="000000" w:themeColor="text1"/>
          <w:sz w:val="24"/>
          <w14:textFill>
            <w14:solidFill>
              <w14:schemeClr w14:val="tx1"/>
            </w14:solidFill>
          </w14:textFill>
        </w:rPr>
        <w:t>包装，加贴分条，并在封套的封口处加盖投标人单位章。</w:t>
      </w:r>
    </w:p>
    <w:p w14:paraId="30C6470D">
      <w:pPr>
        <w:tabs>
          <w:tab w:val="left" w:pos="720"/>
          <w:tab w:val="left" w:pos="900"/>
        </w:tabs>
        <w:spacing w:line="360" w:lineRule="auto"/>
        <w:ind w:left="1" w:right="19" w:rightChars="9" w:firstLine="477" w:firstLineChars="199"/>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4.1.2投标文件的封套上应清楚地标记“正本</w:t>
      </w:r>
      <w:r>
        <w:rPr>
          <w:rFonts w:hint="eastAsia" w:ascii="宋体" w:hAnsi="宋体"/>
          <w:color w:val="000000" w:themeColor="text1"/>
          <w:sz w:val="24"/>
          <w14:textFill>
            <w14:solidFill>
              <w14:schemeClr w14:val="tx1"/>
            </w14:solidFill>
          </w14:textFill>
        </w:rPr>
        <w:t>及</w:t>
      </w:r>
      <w:r>
        <w:rPr>
          <w:rFonts w:ascii="宋体" w:hAnsi="宋体"/>
          <w:color w:val="000000" w:themeColor="text1"/>
          <w:sz w:val="24"/>
          <w14:textFill>
            <w14:solidFill>
              <w14:schemeClr w14:val="tx1"/>
            </w14:solidFill>
          </w14:textFill>
        </w:rPr>
        <w:t>副本”字样，封套上应写明的其他内容见投标人须知前附表。</w:t>
      </w:r>
    </w:p>
    <w:p w14:paraId="723B555F">
      <w:pPr>
        <w:tabs>
          <w:tab w:val="left" w:pos="0"/>
          <w:tab w:val="left" w:pos="720"/>
        </w:tabs>
        <w:spacing w:line="360" w:lineRule="auto"/>
        <w:ind w:left="1" w:right="19" w:rightChars="9" w:firstLine="477" w:firstLineChars="199"/>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4.1.3未按本章要求密封和加写标记的投标文件，采购人不予受理。</w:t>
      </w:r>
    </w:p>
    <w:p w14:paraId="1716DD6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宋体" w:hAns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t>4.2</w:t>
      </w:r>
      <w:r>
        <w:rPr>
          <w:rFonts w:hint="eastAsia" w:ascii="宋体" w:hAnsi="宋体"/>
          <w:b/>
          <w:color w:val="000000" w:themeColor="text1"/>
          <w:sz w:val="24"/>
          <w:lang w:val="en-US" w:eastAsia="zh-CN"/>
          <w14:textFill>
            <w14:solidFill>
              <w14:schemeClr w14:val="tx1"/>
            </w14:solidFill>
          </w14:textFill>
        </w:rPr>
        <w:t xml:space="preserve"> </w:t>
      </w:r>
      <w:r>
        <w:rPr>
          <w:rFonts w:hint="eastAsia" w:ascii="宋体" w:hAnsi="宋体"/>
          <w:b/>
          <w:color w:val="000000" w:themeColor="text1"/>
          <w:sz w:val="24"/>
          <w14:textFill>
            <w14:solidFill>
              <w14:schemeClr w14:val="tx1"/>
            </w14:solidFill>
          </w14:textFill>
        </w:rPr>
        <w:t>投标</w:t>
      </w:r>
      <w:r>
        <w:rPr>
          <w:rFonts w:ascii="宋体" w:hAnsi="宋体"/>
          <w:b/>
          <w:color w:val="000000" w:themeColor="text1"/>
          <w:sz w:val="24"/>
          <w14:textFill>
            <w14:solidFill>
              <w14:schemeClr w14:val="tx1"/>
            </w14:solidFill>
          </w14:textFill>
        </w:rPr>
        <w:t>文件的递交</w:t>
      </w:r>
    </w:p>
    <w:p w14:paraId="05EE86E2">
      <w:pPr>
        <w:tabs>
          <w:tab w:val="left" w:pos="720"/>
          <w:tab w:val="left" w:pos="900"/>
        </w:tabs>
        <w:spacing w:line="360" w:lineRule="auto"/>
        <w:ind w:right="19" w:rightChars="9" w:firstLine="480"/>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4.2.1投标人应在本章规定的投标截止时间前递交投标文件。</w:t>
      </w:r>
    </w:p>
    <w:p w14:paraId="1C302861">
      <w:pPr>
        <w:tabs>
          <w:tab w:val="left" w:pos="720"/>
          <w:tab w:val="left" w:pos="900"/>
        </w:tabs>
        <w:spacing w:line="360" w:lineRule="auto"/>
        <w:ind w:right="19" w:rightChars="9" w:firstLine="480"/>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4.2.2投标人递交投标文件的地点：见投标人须知前附表。</w:t>
      </w:r>
    </w:p>
    <w:p w14:paraId="3ED6ABF3">
      <w:pPr>
        <w:tabs>
          <w:tab w:val="left" w:pos="720"/>
          <w:tab w:val="left" w:pos="900"/>
        </w:tabs>
        <w:spacing w:line="360" w:lineRule="auto"/>
        <w:ind w:right="19" w:rightChars="9" w:firstLine="480"/>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4.2.3除投标人须知前附表另有规定外，投标人所递交的投标文件不予退还。</w:t>
      </w:r>
    </w:p>
    <w:p w14:paraId="2AC99256">
      <w:pPr>
        <w:tabs>
          <w:tab w:val="left" w:pos="720"/>
          <w:tab w:val="left" w:pos="900"/>
        </w:tabs>
        <w:spacing w:line="360" w:lineRule="auto"/>
        <w:ind w:right="19" w:rightChars="9" w:firstLine="480"/>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4.2.4逾期送达的或者未送达指定地点的投标文件，采购人不予受理。</w:t>
      </w:r>
    </w:p>
    <w:p w14:paraId="284C3F5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宋体" w:hAns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t>4.3</w:t>
      </w:r>
      <w:r>
        <w:rPr>
          <w:rFonts w:hint="eastAsia" w:ascii="宋体" w:hAnsi="宋体"/>
          <w:b/>
          <w:color w:val="000000" w:themeColor="text1"/>
          <w:sz w:val="24"/>
          <w:lang w:val="en-US" w:eastAsia="zh-CN"/>
          <w14:textFill>
            <w14:solidFill>
              <w14:schemeClr w14:val="tx1"/>
            </w14:solidFill>
          </w14:textFill>
        </w:rPr>
        <w:t xml:space="preserve"> </w:t>
      </w:r>
      <w:r>
        <w:rPr>
          <w:rFonts w:ascii="宋体" w:hAnsi="宋体"/>
          <w:b/>
          <w:color w:val="000000" w:themeColor="text1"/>
          <w:sz w:val="24"/>
          <w14:textFill>
            <w14:solidFill>
              <w14:schemeClr w14:val="tx1"/>
            </w14:solidFill>
          </w14:textFill>
        </w:rPr>
        <w:t>投标文件的修改与撤回</w:t>
      </w:r>
    </w:p>
    <w:p w14:paraId="2FC0F578">
      <w:pPr>
        <w:tabs>
          <w:tab w:val="left" w:pos="720"/>
          <w:tab w:val="left" w:pos="900"/>
        </w:tabs>
        <w:spacing w:line="360" w:lineRule="auto"/>
        <w:ind w:right="19" w:rightChars="9" w:firstLine="537" w:firstLineChars="224"/>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4.3.1在本章规定的投标截止时间前，投标人可以修改或撤回已递交的投标文件，但应以书面形式通知采购人。</w:t>
      </w:r>
    </w:p>
    <w:p w14:paraId="1DDB74C5">
      <w:pPr>
        <w:tabs>
          <w:tab w:val="left" w:pos="0"/>
          <w:tab w:val="left" w:pos="720"/>
        </w:tabs>
        <w:spacing w:line="360" w:lineRule="auto"/>
        <w:ind w:left="1" w:right="19" w:rightChars="9" w:firstLine="477" w:firstLineChars="199"/>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4.3.2投标人修改或撤回已递交投标文件的书面通知应按照本章的要求签字或盖章。采购人收到书面通知后，向投标人出具签收凭证。</w:t>
      </w:r>
    </w:p>
    <w:p w14:paraId="79E97946">
      <w:pPr>
        <w:tabs>
          <w:tab w:val="left" w:pos="720"/>
          <w:tab w:val="left" w:pos="900"/>
        </w:tabs>
        <w:spacing w:line="360" w:lineRule="auto"/>
        <w:ind w:left="2" w:right="19" w:rightChars="9" w:firstLine="477" w:firstLineChars="199"/>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4.3.3修改的内容为投标文件的组成部分。修改的投标文件应按照本章规定进行编制、密封、标识和递交，并标明“修改”字样。</w:t>
      </w:r>
    </w:p>
    <w:p w14:paraId="0C0D68D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宋体" w:hAns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t>5</w:t>
      </w:r>
      <w:r>
        <w:rPr>
          <w:rFonts w:hint="eastAsia" w:ascii="宋体" w:hAnsi="宋体"/>
          <w:b/>
          <w:color w:val="000000" w:themeColor="text1"/>
          <w:sz w:val="24"/>
          <w:lang w:val="en-US" w:eastAsia="zh-CN"/>
          <w14:textFill>
            <w14:solidFill>
              <w14:schemeClr w14:val="tx1"/>
            </w14:solidFill>
          </w14:textFill>
        </w:rPr>
        <w:t>.</w:t>
      </w:r>
      <w:r>
        <w:rPr>
          <w:rFonts w:ascii="宋体" w:hAnsi="宋体"/>
          <w:b/>
          <w:color w:val="000000" w:themeColor="text1"/>
          <w:sz w:val="24"/>
          <w14:textFill>
            <w14:solidFill>
              <w14:schemeClr w14:val="tx1"/>
            </w14:solidFill>
          </w14:textFill>
        </w:rPr>
        <w:t>开标</w:t>
      </w:r>
    </w:p>
    <w:p w14:paraId="4662EBFD">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宋体" w:hAns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t>5.1</w:t>
      </w:r>
      <w:r>
        <w:rPr>
          <w:rFonts w:hint="eastAsia" w:ascii="宋体" w:hAnsi="宋体"/>
          <w:b/>
          <w:color w:val="000000" w:themeColor="text1"/>
          <w:sz w:val="24"/>
          <w:lang w:val="en-US" w:eastAsia="zh-CN"/>
          <w14:textFill>
            <w14:solidFill>
              <w14:schemeClr w14:val="tx1"/>
            </w14:solidFill>
          </w14:textFill>
        </w:rPr>
        <w:t xml:space="preserve"> </w:t>
      </w:r>
      <w:r>
        <w:rPr>
          <w:rFonts w:ascii="宋体" w:hAnsi="宋体"/>
          <w:b/>
          <w:color w:val="000000" w:themeColor="text1"/>
          <w:sz w:val="24"/>
          <w14:textFill>
            <w14:solidFill>
              <w14:schemeClr w14:val="tx1"/>
            </w14:solidFill>
          </w14:textFill>
        </w:rPr>
        <w:t>开标时间和地点</w:t>
      </w:r>
    </w:p>
    <w:p w14:paraId="5FD12159">
      <w:pPr>
        <w:tabs>
          <w:tab w:val="left" w:pos="720"/>
          <w:tab w:val="left" w:pos="900"/>
        </w:tabs>
        <w:spacing w:line="360" w:lineRule="auto"/>
        <w:ind w:right="19" w:rightChars="9" w:firstLine="477" w:firstLineChars="199"/>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采购人在本章规定的投标截止时间（开标时间）和投标人须知前附表规定的地点公开开标，并邀请所有投标人的法定代表人或其委托代理人准时参加。</w:t>
      </w:r>
    </w:p>
    <w:p w14:paraId="492BF34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宋体" w:hAns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t>5.2</w:t>
      </w:r>
      <w:r>
        <w:rPr>
          <w:rFonts w:hint="eastAsia" w:ascii="宋体" w:hAnsi="宋体"/>
          <w:b/>
          <w:color w:val="000000" w:themeColor="text1"/>
          <w:sz w:val="24"/>
          <w:lang w:val="en-US" w:eastAsia="zh-CN"/>
          <w14:textFill>
            <w14:solidFill>
              <w14:schemeClr w14:val="tx1"/>
            </w14:solidFill>
          </w14:textFill>
        </w:rPr>
        <w:t xml:space="preserve"> </w:t>
      </w:r>
      <w:r>
        <w:rPr>
          <w:rFonts w:ascii="宋体" w:hAnsi="宋体"/>
          <w:b/>
          <w:color w:val="000000" w:themeColor="text1"/>
          <w:sz w:val="24"/>
          <w14:textFill>
            <w14:solidFill>
              <w14:schemeClr w14:val="tx1"/>
            </w14:solidFill>
          </w14:textFill>
        </w:rPr>
        <w:t>开标程序</w:t>
      </w:r>
    </w:p>
    <w:p w14:paraId="29D16B0F">
      <w:pPr>
        <w:tabs>
          <w:tab w:val="left" w:pos="720"/>
          <w:tab w:val="left" w:pos="900"/>
        </w:tabs>
        <w:spacing w:line="360" w:lineRule="auto"/>
        <w:ind w:right="19" w:rightChars="9" w:firstLine="477" w:firstLineChars="199"/>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主持人按下列程序进行开标：</w:t>
      </w:r>
    </w:p>
    <w:p w14:paraId="634ACDD3">
      <w:pPr>
        <w:tabs>
          <w:tab w:val="left" w:pos="540"/>
        </w:tabs>
        <w:spacing w:line="360" w:lineRule="auto"/>
        <w:ind w:right="19" w:rightChars="9" w:firstLine="480" w:firstLineChars="200"/>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（1）宣布开标纪律：</w:t>
      </w:r>
    </w:p>
    <w:p w14:paraId="367DCB83">
      <w:pPr>
        <w:tabs>
          <w:tab w:val="left" w:pos="540"/>
          <w:tab w:val="left" w:pos="720"/>
        </w:tabs>
        <w:spacing w:line="360" w:lineRule="auto"/>
        <w:ind w:right="19" w:rightChars="9" w:firstLine="480" w:firstLineChars="200"/>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（2）公布在投标截止时间前递交投标文件的投标人名称，并点名确认投标人是否派人到场；</w:t>
      </w:r>
    </w:p>
    <w:p w14:paraId="058DEBF5">
      <w:pPr>
        <w:tabs>
          <w:tab w:val="left" w:pos="720"/>
          <w:tab w:val="left" w:pos="900"/>
        </w:tabs>
        <w:spacing w:line="360" w:lineRule="auto"/>
        <w:ind w:right="19" w:rightChars="9" w:firstLine="480" w:firstLineChars="200"/>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（3）宣布开标人、唱标人、记录人等有关人员名单；</w:t>
      </w:r>
    </w:p>
    <w:p w14:paraId="6B4BB0D8">
      <w:pPr>
        <w:tabs>
          <w:tab w:val="left" w:pos="720"/>
          <w:tab w:val="left" w:pos="900"/>
        </w:tabs>
        <w:spacing w:line="360" w:lineRule="auto"/>
        <w:ind w:right="19" w:rightChars="9" w:firstLine="480" w:firstLineChars="200"/>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（4）按照投标人须知前附表规定检查投标文件的密封情况；</w:t>
      </w:r>
    </w:p>
    <w:p w14:paraId="0340FF39">
      <w:pPr>
        <w:tabs>
          <w:tab w:val="left" w:pos="720"/>
          <w:tab w:val="left" w:pos="900"/>
        </w:tabs>
        <w:spacing w:line="360" w:lineRule="auto"/>
        <w:ind w:right="19" w:rightChars="9" w:firstLine="480" w:firstLineChars="200"/>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（5）按照投标人须知前附表的规定确定并宣布投标文件开标顺序；</w:t>
      </w:r>
    </w:p>
    <w:p w14:paraId="53B9E09C">
      <w:pPr>
        <w:tabs>
          <w:tab w:val="left" w:pos="720"/>
          <w:tab w:val="left" w:pos="900"/>
        </w:tabs>
        <w:spacing w:line="360" w:lineRule="auto"/>
        <w:ind w:right="19" w:rightChars="9" w:firstLine="480" w:firstLineChars="200"/>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（6）按照宣布的开标顺序当众开标，公布投标人名称、投标报价、</w:t>
      </w:r>
      <w:r>
        <w:rPr>
          <w:rFonts w:hint="eastAsia" w:ascii="宋体" w:hAnsi="宋体"/>
          <w:color w:val="000000" w:themeColor="text1"/>
          <w:sz w:val="24"/>
          <w14:textFill>
            <w14:solidFill>
              <w14:schemeClr w14:val="tx1"/>
            </w14:solidFill>
          </w14:textFill>
        </w:rPr>
        <w:t>供货</w:t>
      </w:r>
      <w:r>
        <w:rPr>
          <w:rFonts w:ascii="宋体" w:hAnsi="宋体"/>
          <w:color w:val="000000" w:themeColor="text1"/>
          <w:sz w:val="24"/>
          <w14:textFill>
            <w14:solidFill>
              <w14:schemeClr w14:val="tx1"/>
            </w14:solidFill>
          </w14:textFill>
        </w:rPr>
        <w:t>及其他内容，并记录在案；</w:t>
      </w:r>
    </w:p>
    <w:p w14:paraId="5637A19B">
      <w:pPr>
        <w:tabs>
          <w:tab w:val="left" w:pos="720"/>
          <w:tab w:val="left" w:pos="900"/>
        </w:tabs>
        <w:spacing w:line="360" w:lineRule="auto"/>
        <w:ind w:right="19" w:rightChars="9" w:firstLine="480" w:firstLineChars="200"/>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（7）投标人代表、在开标记录上签字确认；</w:t>
      </w:r>
    </w:p>
    <w:p w14:paraId="622DE147">
      <w:pPr>
        <w:tabs>
          <w:tab w:val="left" w:pos="720"/>
          <w:tab w:val="left" w:pos="900"/>
        </w:tabs>
        <w:spacing w:line="360" w:lineRule="auto"/>
        <w:ind w:right="19" w:rightChars="9" w:firstLine="480" w:firstLineChars="200"/>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（8）开标结束。</w:t>
      </w:r>
    </w:p>
    <w:p w14:paraId="3D60CD45">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宋体" w:hAns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t xml:space="preserve">5.3 </w:t>
      </w:r>
      <w:r>
        <w:rPr>
          <w:rFonts w:hint="eastAsia" w:ascii="宋体" w:hAnsi="宋体"/>
          <w:b/>
          <w:color w:val="000000" w:themeColor="text1"/>
          <w:sz w:val="24"/>
          <w14:textFill>
            <w14:solidFill>
              <w14:schemeClr w14:val="tx1"/>
            </w14:solidFill>
          </w14:textFill>
        </w:rPr>
        <w:t>否决投标的情形</w:t>
      </w:r>
    </w:p>
    <w:p w14:paraId="4672CB62">
      <w:pPr>
        <w:spacing w:line="360" w:lineRule="auto"/>
        <w:ind w:firstLine="412" w:firstLineChars="171"/>
        <w:rPr>
          <w:rFonts w:ascii="宋体" w:hAns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t>投标有下列情形之一的，将视为无效投标，</w:t>
      </w:r>
      <w:r>
        <w:rPr>
          <w:rFonts w:hint="eastAsia" w:ascii="宋体" w:hAnsi="宋体"/>
          <w:b/>
          <w:color w:val="000000" w:themeColor="text1"/>
          <w:sz w:val="24"/>
          <w14:textFill>
            <w14:solidFill>
              <w14:schemeClr w14:val="tx1"/>
            </w14:solidFill>
          </w14:textFill>
        </w:rPr>
        <w:t>做否决处理</w:t>
      </w:r>
      <w:r>
        <w:rPr>
          <w:rFonts w:ascii="宋体" w:hAnsi="宋体"/>
          <w:b/>
          <w:color w:val="000000" w:themeColor="text1"/>
          <w:sz w:val="24"/>
          <w14:textFill>
            <w14:solidFill>
              <w14:schemeClr w14:val="tx1"/>
            </w14:solidFill>
          </w14:textFill>
        </w:rPr>
        <w:t>：</w:t>
      </w:r>
    </w:p>
    <w:p w14:paraId="76E57E08">
      <w:pPr>
        <w:spacing w:line="360" w:lineRule="auto"/>
        <w:ind w:firstLine="412" w:firstLineChars="171"/>
        <w:rPr>
          <w:rFonts w:ascii="宋体" w:hAns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t>（1）</w:t>
      </w:r>
      <w:r>
        <w:rPr>
          <w:rFonts w:hint="eastAsia" w:ascii="宋体" w:hAnsi="宋体"/>
          <w:b/>
          <w:color w:val="000000" w:themeColor="text1"/>
          <w:sz w:val="24"/>
          <w14:textFill>
            <w14:solidFill>
              <w14:schemeClr w14:val="tx1"/>
            </w14:solidFill>
          </w14:textFill>
        </w:rPr>
        <w:t>开标一览表表</w:t>
      </w:r>
      <w:r>
        <w:rPr>
          <w:rFonts w:ascii="宋体" w:hAnsi="宋体"/>
          <w:b/>
          <w:color w:val="000000" w:themeColor="text1"/>
          <w:sz w:val="24"/>
          <w14:textFill>
            <w14:solidFill>
              <w14:schemeClr w14:val="tx1"/>
            </w14:solidFill>
          </w14:textFill>
        </w:rPr>
        <w:t>无单位盖章并无法定代表人或法定代表人的代理人签字或盖章。</w:t>
      </w:r>
    </w:p>
    <w:p w14:paraId="2BBE4FB8">
      <w:pPr>
        <w:spacing w:line="360" w:lineRule="auto"/>
        <w:ind w:firstLine="412" w:firstLineChars="171"/>
        <w:rPr>
          <w:rFonts w:ascii="宋体" w:hAns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t>（2）投标文件未按招标文件的要求予以装订的；</w:t>
      </w:r>
    </w:p>
    <w:p w14:paraId="5D5EAB4E">
      <w:pPr>
        <w:spacing w:line="360" w:lineRule="auto"/>
        <w:ind w:firstLine="412" w:firstLineChars="171"/>
        <w:rPr>
          <w:rFonts w:ascii="宋体" w:hAns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t>（3）未按招标文件的格式和要求填写，内容不全或关键字迹模糊、无法辨认的；</w:t>
      </w:r>
    </w:p>
    <w:p w14:paraId="6303AF79">
      <w:pPr>
        <w:spacing w:line="360" w:lineRule="auto"/>
        <w:ind w:firstLine="412" w:firstLineChars="171"/>
        <w:rPr>
          <w:rFonts w:ascii="宋体" w:hAns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t>（4）投标人递交两份或多份内容不同的投标文件，或在一份投标文件中对同一招标项目报有两个或多个报价，且未声明哪一个有效；</w:t>
      </w:r>
    </w:p>
    <w:p w14:paraId="41A2104C">
      <w:pPr>
        <w:spacing w:line="360" w:lineRule="auto"/>
        <w:ind w:firstLine="412" w:firstLineChars="171"/>
        <w:rPr>
          <w:rFonts w:ascii="宋体" w:hAns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t>（5）投标人未经采购人同意，不参加开标会议的；</w:t>
      </w:r>
    </w:p>
    <w:p w14:paraId="3F3C862D">
      <w:pPr>
        <w:spacing w:line="360" w:lineRule="auto"/>
        <w:ind w:firstLine="412" w:firstLineChars="171"/>
        <w:rPr>
          <w:rFonts w:ascii="宋体" w:hAns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t>（</w:t>
      </w:r>
      <w:r>
        <w:rPr>
          <w:rFonts w:hint="eastAsia" w:ascii="宋体" w:hAnsi="宋体"/>
          <w:b/>
          <w:color w:val="000000" w:themeColor="text1"/>
          <w:sz w:val="24"/>
          <w14:textFill>
            <w14:solidFill>
              <w14:schemeClr w14:val="tx1"/>
            </w14:solidFill>
          </w14:textFill>
        </w:rPr>
        <w:t>6</w:t>
      </w:r>
      <w:r>
        <w:rPr>
          <w:rFonts w:ascii="宋体" w:hAnsi="宋体"/>
          <w:b/>
          <w:color w:val="000000" w:themeColor="text1"/>
          <w:sz w:val="24"/>
          <w14:textFill>
            <w14:solidFill>
              <w14:schemeClr w14:val="tx1"/>
            </w14:solidFill>
          </w14:textFill>
        </w:rPr>
        <w:t>）其它不符合法律、法规规定的情形；</w:t>
      </w:r>
    </w:p>
    <w:p w14:paraId="0C6CAE91">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宋体" w:hAns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t>6.</w:t>
      </w:r>
      <w:r>
        <w:rPr>
          <w:rFonts w:hint="eastAsia" w:ascii="宋体" w:hAnsi="宋体"/>
          <w:b/>
          <w:color w:val="000000" w:themeColor="text1"/>
          <w:sz w:val="24"/>
          <w14:textFill>
            <w14:solidFill>
              <w14:schemeClr w14:val="tx1"/>
            </w14:solidFill>
          </w14:textFill>
        </w:rPr>
        <w:t>评标</w:t>
      </w:r>
    </w:p>
    <w:p w14:paraId="0F3BEBF5">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宋体" w:hAns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t>6.1</w:t>
      </w:r>
      <w:r>
        <w:rPr>
          <w:rFonts w:hint="eastAsia" w:ascii="宋体" w:hAnsi="宋体"/>
          <w:b/>
          <w:color w:val="000000" w:themeColor="text1"/>
          <w:sz w:val="24"/>
          <w:lang w:val="en-US" w:eastAsia="zh-CN"/>
          <w14:textFill>
            <w14:solidFill>
              <w14:schemeClr w14:val="tx1"/>
            </w14:solidFill>
          </w14:textFill>
        </w:rPr>
        <w:t xml:space="preserve"> </w:t>
      </w:r>
      <w:r>
        <w:rPr>
          <w:rFonts w:hint="eastAsia" w:ascii="宋体" w:hAnsi="宋体"/>
          <w:b/>
          <w:color w:val="000000" w:themeColor="text1"/>
          <w:sz w:val="24"/>
          <w14:textFill>
            <w14:solidFill>
              <w14:schemeClr w14:val="tx1"/>
            </w14:solidFill>
          </w14:textFill>
        </w:rPr>
        <w:t>评标</w:t>
      </w:r>
      <w:r>
        <w:rPr>
          <w:rFonts w:ascii="宋体" w:hAnsi="宋体"/>
          <w:b/>
          <w:color w:val="000000" w:themeColor="text1"/>
          <w:sz w:val="24"/>
          <w14:textFill>
            <w14:solidFill>
              <w14:schemeClr w14:val="tx1"/>
            </w14:solidFill>
          </w14:textFill>
        </w:rPr>
        <w:t>委员会</w:t>
      </w:r>
    </w:p>
    <w:p w14:paraId="0C1FF275">
      <w:pPr>
        <w:tabs>
          <w:tab w:val="left" w:pos="720"/>
          <w:tab w:val="left" w:pos="900"/>
        </w:tabs>
        <w:spacing w:line="360" w:lineRule="auto"/>
        <w:ind w:right="19" w:rightChars="9" w:firstLine="480" w:firstLineChars="200"/>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6.1.1评标由</w:t>
      </w:r>
      <w:r>
        <w:rPr>
          <w:rFonts w:hint="eastAsia" w:ascii="宋体" w:hAnsi="宋体"/>
          <w:color w:val="000000" w:themeColor="text1"/>
          <w:sz w:val="24"/>
          <w14:textFill>
            <w14:solidFill>
              <w14:schemeClr w14:val="tx1"/>
            </w14:solidFill>
          </w14:textFill>
        </w:rPr>
        <w:t>采购人</w:t>
      </w:r>
      <w:r>
        <w:rPr>
          <w:rFonts w:ascii="宋体" w:hAnsi="宋体"/>
          <w:color w:val="000000" w:themeColor="text1"/>
          <w:sz w:val="24"/>
          <w14:textFill>
            <w14:solidFill>
              <w14:schemeClr w14:val="tx1"/>
            </w14:solidFill>
          </w14:textFill>
        </w:rPr>
        <w:t>依法组建的评标委员会负责。评标委员会由采购人及有关技术、经济等方面的专家组成。评标委员会成员人数以及技术、经济等方面专家的确定方式见投标人须知前附表。</w:t>
      </w:r>
    </w:p>
    <w:p w14:paraId="401DC31C">
      <w:pPr>
        <w:tabs>
          <w:tab w:val="left" w:pos="720"/>
          <w:tab w:val="left" w:pos="900"/>
        </w:tabs>
        <w:spacing w:line="360" w:lineRule="auto"/>
        <w:ind w:right="19" w:rightChars="9" w:firstLine="480" w:firstLineChars="200"/>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6.1.2评标委员会成员有下列情形之一的，应当回避：</w:t>
      </w:r>
    </w:p>
    <w:p w14:paraId="5CD46785">
      <w:pPr>
        <w:tabs>
          <w:tab w:val="left" w:pos="720"/>
          <w:tab w:val="left" w:pos="900"/>
        </w:tabs>
        <w:spacing w:line="360" w:lineRule="auto"/>
        <w:ind w:right="19" w:rightChars="9" w:firstLine="480" w:firstLineChars="200"/>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（1）采购人或投标人的主要负责人的近亲属；</w:t>
      </w:r>
    </w:p>
    <w:p w14:paraId="1AABC31B">
      <w:pPr>
        <w:tabs>
          <w:tab w:val="left" w:pos="720"/>
          <w:tab w:val="left" w:pos="900"/>
        </w:tabs>
        <w:spacing w:line="360" w:lineRule="auto"/>
        <w:ind w:right="19" w:rightChars="9" w:firstLine="480" w:firstLineChars="200"/>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（2）项目主管部门或者行政监督部门的人员;</w:t>
      </w:r>
    </w:p>
    <w:p w14:paraId="1EC6D41F">
      <w:pPr>
        <w:tabs>
          <w:tab w:val="left" w:pos="720"/>
          <w:tab w:val="left" w:pos="900"/>
        </w:tabs>
        <w:spacing w:line="360" w:lineRule="auto"/>
        <w:ind w:right="19" w:rightChars="9" w:firstLine="480" w:firstLineChars="200"/>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（3）与投标人有经济利益关系，可能影响对投标公正评审的；</w:t>
      </w:r>
    </w:p>
    <w:p w14:paraId="46370BCF">
      <w:pPr>
        <w:tabs>
          <w:tab w:val="left" w:pos="720"/>
          <w:tab w:val="left" w:pos="900"/>
        </w:tabs>
        <w:spacing w:line="360" w:lineRule="auto"/>
        <w:ind w:right="19" w:rightChars="9" w:firstLine="480" w:firstLineChars="200"/>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（4）曾因在招标、评标以及其他与招标投标有关活动中从事违法行为而受过行政处罚或刑事处罚的。</w:t>
      </w:r>
    </w:p>
    <w:p w14:paraId="09047A6D">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宋体" w:hAns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t>6.2</w:t>
      </w:r>
      <w:r>
        <w:rPr>
          <w:rFonts w:hint="eastAsia" w:ascii="宋体" w:hAnsi="宋体"/>
          <w:b/>
          <w:color w:val="000000" w:themeColor="text1"/>
          <w:sz w:val="24"/>
          <w:lang w:val="en-US" w:eastAsia="zh-CN"/>
          <w14:textFill>
            <w14:solidFill>
              <w14:schemeClr w14:val="tx1"/>
            </w14:solidFill>
          </w14:textFill>
        </w:rPr>
        <w:t xml:space="preserve"> </w:t>
      </w:r>
      <w:r>
        <w:rPr>
          <w:rFonts w:ascii="宋体" w:hAnsi="宋体"/>
          <w:b/>
          <w:color w:val="000000" w:themeColor="text1"/>
          <w:sz w:val="24"/>
          <w14:textFill>
            <w14:solidFill>
              <w14:schemeClr w14:val="tx1"/>
            </w14:solidFill>
          </w14:textFill>
        </w:rPr>
        <w:t>评标原则</w:t>
      </w:r>
    </w:p>
    <w:p w14:paraId="727C3DFD">
      <w:pPr>
        <w:tabs>
          <w:tab w:val="left" w:pos="720"/>
          <w:tab w:val="left" w:pos="900"/>
        </w:tabs>
        <w:spacing w:line="360" w:lineRule="auto"/>
        <w:ind w:right="19" w:rightChars="9" w:firstLine="480" w:firstLineChars="200"/>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评标活动遵循公平、公正、科学和择优的原则。</w:t>
      </w:r>
    </w:p>
    <w:p w14:paraId="2DA1C18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宋体" w:hAns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t>6.3</w:t>
      </w:r>
      <w:r>
        <w:rPr>
          <w:rFonts w:hint="eastAsia" w:ascii="宋体" w:hAnsi="宋体"/>
          <w:b/>
          <w:color w:val="000000" w:themeColor="text1"/>
          <w:sz w:val="24"/>
          <w:lang w:val="en-US" w:eastAsia="zh-CN"/>
          <w14:textFill>
            <w14:solidFill>
              <w14:schemeClr w14:val="tx1"/>
            </w14:solidFill>
          </w14:textFill>
        </w:rPr>
        <w:t xml:space="preserve"> </w:t>
      </w:r>
      <w:r>
        <w:rPr>
          <w:rFonts w:ascii="宋体" w:hAnsi="宋体"/>
          <w:b/>
          <w:color w:val="000000" w:themeColor="text1"/>
          <w:sz w:val="24"/>
          <w14:textFill>
            <w14:solidFill>
              <w14:schemeClr w14:val="tx1"/>
            </w14:solidFill>
          </w14:textFill>
        </w:rPr>
        <w:t>评标</w:t>
      </w:r>
    </w:p>
    <w:p w14:paraId="7F4847FB">
      <w:pPr>
        <w:tabs>
          <w:tab w:val="left" w:pos="720"/>
          <w:tab w:val="left" w:pos="900"/>
        </w:tabs>
        <w:spacing w:line="360" w:lineRule="auto"/>
        <w:ind w:right="19" w:rightChars="9" w:firstLine="480" w:firstLineChars="200"/>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评标委员会按照第</w:t>
      </w:r>
      <w:r>
        <w:rPr>
          <w:rFonts w:hint="eastAsia" w:ascii="宋体" w:hAnsi="宋体"/>
          <w:color w:val="000000" w:themeColor="text1"/>
          <w:sz w:val="24"/>
          <w14:textFill>
            <w14:solidFill>
              <w14:schemeClr w14:val="tx1"/>
            </w14:solidFill>
          </w14:textFill>
        </w:rPr>
        <w:tab/>
      </w:r>
      <w:r>
        <w:rPr>
          <w:rFonts w:hint="eastAsia" w:ascii="宋体" w:hAnsi="宋体"/>
          <w:color w:val="000000" w:themeColor="text1"/>
          <w:sz w:val="24"/>
          <w14:textFill>
            <w14:solidFill>
              <w14:schemeClr w14:val="tx1"/>
            </w14:solidFill>
          </w14:textFill>
        </w:rPr>
        <w:t>五</w:t>
      </w:r>
      <w:r>
        <w:rPr>
          <w:rFonts w:ascii="宋体" w:hAnsi="宋体"/>
          <w:color w:val="000000" w:themeColor="text1"/>
          <w:sz w:val="24"/>
          <w14:textFill>
            <w14:solidFill>
              <w14:schemeClr w14:val="tx1"/>
            </w14:solidFill>
          </w14:textFill>
        </w:rPr>
        <w:t>章“评标办法”规定的方法、评审因素、标准和程序对投标文件进行评审。第</w:t>
      </w:r>
      <w:r>
        <w:rPr>
          <w:rFonts w:hint="eastAsia" w:ascii="宋体" w:hAnsi="宋体"/>
          <w:color w:val="000000" w:themeColor="text1"/>
          <w:sz w:val="24"/>
          <w14:textFill>
            <w14:solidFill>
              <w14:schemeClr w14:val="tx1"/>
            </w14:solidFill>
          </w14:textFill>
        </w:rPr>
        <w:t>五</w:t>
      </w:r>
      <w:r>
        <w:rPr>
          <w:rFonts w:ascii="宋体" w:hAnsi="宋体"/>
          <w:color w:val="000000" w:themeColor="text1"/>
          <w:sz w:val="24"/>
          <w14:textFill>
            <w14:solidFill>
              <w14:schemeClr w14:val="tx1"/>
            </w14:solidFill>
          </w14:textFill>
        </w:rPr>
        <w:t>章“评标办法”没有规定的方法、评审因素和标准，不作为评标依据。</w:t>
      </w:r>
    </w:p>
    <w:p w14:paraId="4D81954B">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宋体" w:hAns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t>7.合同</w:t>
      </w:r>
      <w:r>
        <w:rPr>
          <w:rFonts w:hint="eastAsia" w:ascii="宋体" w:hAnsi="宋体"/>
          <w:b/>
          <w:color w:val="000000" w:themeColor="text1"/>
          <w:sz w:val="24"/>
          <w14:textFill>
            <w14:solidFill>
              <w14:schemeClr w14:val="tx1"/>
            </w14:solidFill>
          </w14:textFill>
        </w:rPr>
        <w:t>授予</w:t>
      </w:r>
    </w:p>
    <w:p w14:paraId="331092C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宋体" w:hAns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t>7.1</w:t>
      </w:r>
      <w:r>
        <w:rPr>
          <w:rFonts w:hint="eastAsia" w:ascii="宋体" w:hAnsi="宋体"/>
          <w:b/>
          <w:color w:val="000000" w:themeColor="text1"/>
          <w:sz w:val="24"/>
          <w:lang w:val="en-US" w:eastAsia="zh-CN"/>
          <w14:textFill>
            <w14:solidFill>
              <w14:schemeClr w14:val="tx1"/>
            </w14:solidFill>
          </w14:textFill>
        </w:rPr>
        <w:t xml:space="preserve"> </w:t>
      </w:r>
      <w:r>
        <w:rPr>
          <w:rFonts w:ascii="宋体" w:hAnsi="宋体"/>
          <w:b/>
          <w:color w:val="000000" w:themeColor="text1"/>
          <w:sz w:val="24"/>
          <w14:textFill>
            <w14:solidFill>
              <w14:schemeClr w14:val="tx1"/>
            </w14:solidFill>
          </w14:textFill>
        </w:rPr>
        <w:t>定标方式</w:t>
      </w:r>
    </w:p>
    <w:p w14:paraId="30B68ADF">
      <w:pPr>
        <w:tabs>
          <w:tab w:val="left" w:pos="0"/>
          <w:tab w:val="left" w:pos="900"/>
        </w:tabs>
        <w:spacing w:line="360" w:lineRule="auto"/>
        <w:ind w:left="2" w:right="19" w:rightChars="9" w:firstLine="540" w:firstLineChars="225"/>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除投标人须知前附表规定评标委员会直接确定中标人外，采购人依据评标委员会推荐的中标候选人确定中标人，评标委员会推荐中标候选人的人数见投标人须知前附表。</w:t>
      </w:r>
    </w:p>
    <w:p w14:paraId="2245597E">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宋体" w:hAns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t>7.2</w:t>
      </w:r>
      <w:r>
        <w:rPr>
          <w:rFonts w:hint="eastAsia" w:ascii="宋体" w:hAnsi="宋体"/>
          <w:b/>
          <w:color w:val="000000" w:themeColor="text1"/>
          <w:sz w:val="24"/>
          <w:lang w:val="en-US" w:eastAsia="zh-CN"/>
          <w14:textFill>
            <w14:solidFill>
              <w14:schemeClr w14:val="tx1"/>
            </w14:solidFill>
          </w14:textFill>
        </w:rPr>
        <w:t xml:space="preserve"> </w:t>
      </w:r>
      <w:r>
        <w:rPr>
          <w:rFonts w:ascii="宋体" w:hAnsi="宋体"/>
          <w:b/>
          <w:color w:val="000000" w:themeColor="text1"/>
          <w:sz w:val="24"/>
          <w14:textFill>
            <w14:solidFill>
              <w14:schemeClr w14:val="tx1"/>
            </w14:solidFill>
          </w14:textFill>
        </w:rPr>
        <w:t>中标</w:t>
      </w:r>
      <w:r>
        <w:rPr>
          <w:rFonts w:hint="eastAsia" w:ascii="宋体" w:hAnsi="宋体"/>
          <w:b/>
          <w:color w:val="000000" w:themeColor="text1"/>
          <w:sz w:val="24"/>
          <w14:textFill>
            <w14:solidFill>
              <w14:schemeClr w14:val="tx1"/>
            </w14:solidFill>
          </w14:textFill>
        </w:rPr>
        <w:t>通知</w:t>
      </w:r>
    </w:p>
    <w:p w14:paraId="6EF78D65">
      <w:pPr>
        <w:spacing w:line="360" w:lineRule="auto"/>
        <w:ind w:firstLine="480" w:firstLineChars="200"/>
        <w:rPr>
          <w:rFonts w:ascii="宋体" w:hAnsi="宋体"/>
          <w:bCs/>
          <w:color w:val="000000" w:themeColor="text1"/>
          <w:sz w:val="24"/>
          <w14:textFill>
            <w14:solidFill>
              <w14:schemeClr w14:val="tx1"/>
            </w14:solidFill>
          </w14:textFill>
        </w:rPr>
      </w:pPr>
      <w:r>
        <w:rPr>
          <w:rFonts w:ascii="宋体" w:hAnsi="宋体"/>
          <w:bCs/>
          <w:color w:val="000000" w:themeColor="text1"/>
          <w:sz w:val="24"/>
          <w14:textFill>
            <w14:solidFill>
              <w14:schemeClr w14:val="tx1"/>
            </w14:solidFill>
          </w14:textFill>
        </w:rPr>
        <w:t>采购人在确定中标候选人后，</w:t>
      </w:r>
      <w:r>
        <w:rPr>
          <w:rFonts w:ascii="宋体" w:hAnsi="宋体"/>
          <w:color w:val="000000" w:themeColor="text1"/>
          <w:sz w:val="24"/>
          <w14:textFill>
            <w14:solidFill>
              <w14:schemeClr w14:val="tx1"/>
            </w14:solidFill>
          </w14:textFill>
        </w:rPr>
        <w:t>将在</w:t>
      </w:r>
      <w:r>
        <w:rPr>
          <w:rFonts w:hint="eastAsia" w:ascii="宋体" w:hAnsi="宋体"/>
          <w:color w:val="000000" w:themeColor="text1"/>
          <w:sz w:val="24"/>
          <w14:textFill>
            <w14:solidFill>
              <w14:schemeClr w14:val="tx1"/>
            </w14:solidFill>
          </w14:textFill>
        </w:rPr>
        <w:t>“内蒙古招标网”上</w:t>
      </w:r>
      <w:r>
        <w:rPr>
          <w:rFonts w:ascii="宋体" w:hAnsi="宋体"/>
          <w:bCs/>
          <w:color w:val="000000" w:themeColor="text1"/>
          <w:sz w:val="24"/>
          <w14:textFill>
            <w14:solidFill>
              <w14:schemeClr w14:val="tx1"/>
            </w14:solidFill>
          </w14:textFill>
        </w:rPr>
        <w:t>公</w:t>
      </w:r>
      <w:r>
        <w:rPr>
          <w:rFonts w:hint="eastAsia" w:ascii="宋体" w:hAnsi="宋体"/>
          <w:bCs/>
          <w:color w:val="000000" w:themeColor="text1"/>
          <w:sz w:val="24"/>
          <w14:textFill>
            <w14:solidFill>
              <w14:schemeClr w14:val="tx1"/>
            </w14:solidFill>
          </w14:textFill>
        </w:rPr>
        <w:t>示3个日历天</w:t>
      </w:r>
      <w:r>
        <w:rPr>
          <w:rFonts w:ascii="宋体" w:hAnsi="宋体"/>
          <w:bCs/>
          <w:color w:val="000000" w:themeColor="text1"/>
          <w:sz w:val="24"/>
          <w14:textFill>
            <w14:solidFill>
              <w14:schemeClr w14:val="tx1"/>
            </w14:solidFill>
          </w14:textFill>
        </w:rPr>
        <w:t>。</w:t>
      </w:r>
    </w:p>
    <w:p w14:paraId="3BEF3F3E">
      <w:pPr>
        <w:tabs>
          <w:tab w:val="left" w:pos="720"/>
          <w:tab w:val="left" w:pos="900"/>
        </w:tabs>
        <w:spacing w:line="360" w:lineRule="auto"/>
        <w:ind w:left="1" w:right="19" w:rightChars="9"/>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在本章规定的投标有效期内，采购人以书面形式向中标人发出中标通知书，同时将中标结果通知未中标的投标人。</w:t>
      </w:r>
    </w:p>
    <w:p w14:paraId="3444BB08">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宋体" w:hAns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t>7.3</w:t>
      </w:r>
      <w:r>
        <w:rPr>
          <w:rFonts w:hint="eastAsia" w:ascii="宋体" w:hAnsi="宋体"/>
          <w:b/>
          <w:color w:val="000000" w:themeColor="text1"/>
          <w:sz w:val="24"/>
          <w:lang w:val="en-US" w:eastAsia="zh-CN"/>
          <w14:textFill>
            <w14:solidFill>
              <w14:schemeClr w14:val="tx1"/>
            </w14:solidFill>
          </w14:textFill>
        </w:rPr>
        <w:t xml:space="preserve"> </w:t>
      </w:r>
      <w:r>
        <w:rPr>
          <w:rFonts w:ascii="宋体" w:hAnsi="宋体"/>
          <w:b/>
          <w:color w:val="000000" w:themeColor="text1"/>
          <w:sz w:val="24"/>
          <w14:textFill>
            <w14:solidFill>
              <w14:schemeClr w14:val="tx1"/>
            </w14:solidFill>
          </w14:textFill>
        </w:rPr>
        <w:t>履约担保</w:t>
      </w:r>
      <w:r>
        <w:rPr>
          <w:rFonts w:hint="eastAsia" w:ascii="宋体" w:hAnsi="宋体"/>
          <w:b/>
          <w:color w:val="000000" w:themeColor="text1"/>
          <w:sz w:val="24"/>
          <w14:textFill>
            <w14:solidFill>
              <w14:schemeClr w14:val="tx1"/>
            </w14:solidFill>
          </w14:textFill>
        </w:rPr>
        <w:t>（如有）</w:t>
      </w:r>
    </w:p>
    <w:p w14:paraId="47410904">
      <w:pPr>
        <w:tabs>
          <w:tab w:val="left" w:pos="720"/>
          <w:tab w:val="left" w:pos="900"/>
        </w:tabs>
        <w:spacing w:line="360" w:lineRule="auto"/>
        <w:ind w:right="19" w:rightChars="9" w:firstLine="480" w:firstLineChars="200"/>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7.3.1在签订合同前，中标人应按投标人须知前附表规定的金额、担保形式和招标文件第四章“合同条款及格式”规定的履约担保格式向采购人提交履约担保。</w:t>
      </w:r>
    </w:p>
    <w:p w14:paraId="12D79F04">
      <w:pPr>
        <w:tabs>
          <w:tab w:val="left" w:pos="720"/>
          <w:tab w:val="left" w:pos="900"/>
        </w:tabs>
        <w:spacing w:line="360" w:lineRule="auto"/>
        <w:ind w:right="19" w:rightChars="9" w:firstLine="480" w:firstLineChars="200"/>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7.3.2中标人不能按本章要求提交履约担保的，视为放弃中标，其投标保证金不予退还，给采购人造成的损失超过投标保证金额的，中标人还应当对超过部分予以赔偿。</w:t>
      </w:r>
    </w:p>
    <w:p w14:paraId="01528C9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宋体" w:hAns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t>7.4</w:t>
      </w:r>
      <w:r>
        <w:rPr>
          <w:rFonts w:hint="eastAsia" w:ascii="宋体" w:hAnsi="宋体"/>
          <w:b/>
          <w:color w:val="000000" w:themeColor="text1"/>
          <w:sz w:val="24"/>
          <w:lang w:val="en-US" w:eastAsia="zh-CN"/>
          <w14:textFill>
            <w14:solidFill>
              <w14:schemeClr w14:val="tx1"/>
            </w14:solidFill>
          </w14:textFill>
        </w:rPr>
        <w:t xml:space="preserve"> </w:t>
      </w:r>
      <w:r>
        <w:rPr>
          <w:rFonts w:ascii="宋体" w:hAnsi="宋体"/>
          <w:b/>
          <w:color w:val="000000" w:themeColor="text1"/>
          <w:sz w:val="24"/>
          <w14:textFill>
            <w14:solidFill>
              <w14:schemeClr w14:val="tx1"/>
            </w14:solidFill>
          </w14:textFill>
        </w:rPr>
        <w:t>签订合同</w:t>
      </w:r>
    </w:p>
    <w:p w14:paraId="3A5E8FC0">
      <w:pPr>
        <w:tabs>
          <w:tab w:val="left" w:pos="720"/>
          <w:tab w:val="left" w:pos="900"/>
        </w:tabs>
        <w:spacing w:line="360" w:lineRule="auto"/>
        <w:ind w:right="19" w:rightChars="9" w:firstLine="540" w:firstLineChars="225"/>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7.4.1采购人和中标人应当自中标通知书发出之日起30天内，根据招标文件和中标人的投标文件订立书面合同。中标人无正当理由拒签合同的，采购人取消其中标资格</w:t>
      </w:r>
      <w:r>
        <w:rPr>
          <w:rFonts w:hint="eastAsia" w:ascii="宋体" w:hAnsi="宋体"/>
          <w:color w:val="000000" w:themeColor="text1"/>
          <w:sz w:val="24"/>
          <w14:textFill>
            <w14:solidFill>
              <w14:schemeClr w14:val="tx1"/>
            </w14:solidFill>
          </w14:textFill>
        </w:rPr>
        <w:t>；</w:t>
      </w:r>
    </w:p>
    <w:p w14:paraId="5D871096">
      <w:pPr>
        <w:tabs>
          <w:tab w:val="left" w:pos="720"/>
          <w:tab w:val="left" w:pos="900"/>
        </w:tabs>
        <w:spacing w:line="360" w:lineRule="auto"/>
        <w:ind w:right="19" w:rightChars="9" w:firstLine="540" w:firstLineChars="225"/>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7.4.2发出中标通知书后，采购人无正当理由拒签合同的，给中标人造成损失的，还应当赔偿损失。</w:t>
      </w:r>
    </w:p>
    <w:p w14:paraId="062F3D76">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宋体" w:hAns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t>8.重新招标和</w:t>
      </w:r>
      <w:r>
        <w:rPr>
          <w:rFonts w:hint="eastAsia" w:ascii="宋体" w:hAnsi="宋体"/>
          <w:b/>
          <w:color w:val="000000" w:themeColor="text1"/>
          <w:sz w:val="24"/>
          <w14:textFill>
            <w14:solidFill>
              <w14:schemeClr w14:val="tx1"/>
            </w14:solidFill>
          </w14:textFill>
        </w:rPr>
        <w:t>不再</w:t>
      </w:r>
      <w:r>
        <w:rPr>
          <w:rFonts w:ascii="宋体" w:hAnsi="宋体"/>
          <w:b/>
          <w:color w:val="000000" w:themeColor="text1"/>
          <w:sz w:val="24"/>
          <w14:textFill>
            <w14:solidFill>
              <w14:schemeClr w14:val="tx1"/>
            </w14:solidFill>
          </w14:textFill>
        </w:rPr>
        <w:t>招标</w:t>
      </w:r>
    </w:p>
    <w:p w14:paraId="52B1B031">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宋体" w:hAnsi="宋体"/>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t>8.1</w:t>
      </w:r>
      <w:r>
        <w:rPr>
          <w:rFonts w:hint="eastAsia" w:ascii="宋体" w:hAnsi="宋体"/>
          <w:b/>
          <w:color w:val="000000" w:themeColor="text1"/>
          <w:sz w:val="24"/>
          <w:lang w:val="en-US" w:eastAsia="zh-CN"/>
          <w14:textFill>
            <w14:solidFill>
              <w14:schemeClr w14:val="tx1"/>
            </w14:solidFill>
          </w14:textFill>
        </w:rPr>
        <w:t xml:space="preserve"> </w:t>
      </w:r>
      <w:r>
        <w:rPr>
          <w:rFonts w:ascii="宋体" w:hAnsi="宋体"/>
          <w:b/>
          <w:color w:val="000000" w:themeColor="text1"/>
          <w:sz w:val="24"/>
          <w14:textFill>
            <w14:solidFill>
              <w14:schemeClr w14:val="tx1"/>
            </w14:solidFill>
          </w14:textFill>
        </w:rPr>
        <w:t>重新招标</w:t>
      </w:r>
    </w:p>
    <w:p w14:paraId="6E3BEA53">
      <w:pPr>
        <w:tabs>
          <w:tab w:val="left" w:pos="720"/>
          <w:tab w:val="left" w:pos="900"/>
        </w:tabs>
        <w:spacing w:line="360" w:lineRule="auto"/>
        <w:ind w:right="19" w:rightChars="9" w:firstLine="540" w:firstLineChars="225"/>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有下列情形之一的，采购人将重新招标：</w:t>
      </w:r>
    </w:p>
    <w:p w14:paraId="6AE5592F">
      <w:pPr>
        <w:tabs>
          <w:tab w:val="left" w:pos="720"/>
          <w:tab w:val="left" w:pos="900"/>
        </w:tabs>
        <w:spacing w:line="360" w:lineRule="auto"/>
        <w:ind w:right="19" w:rightChars="9" w:firstLine="480" w:firstLineChars="200"/>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（1）投标截止时间止，投标人少于3个的；</w:t>
      </w:r>
    </w:p>
    <w:p w14:paraId="61A9BC8C">
      <w:pPr>
        <w:tabs>
          <w:tab w:val="left" w:pos="720"/>
          <w:tab w:val="left" w:pos="900"/>
        </w:tabs>
        <w:spacing w:line="360" w:lineRule="auto"/>
        <w:ind w:right="19" w:rightChars="9" w:firstLine="480" w:firstLineChars="200"/>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（2）经评标委员会评审后否决所有投标的。</w:t>
      </w:r>
    </w:p>
    <w:p w14:paraId="4705CAC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宋体" w:hAnsi="宋体"/>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t>8.2</w:t>
      </w:r>
      <w:r>
        <w:rPr>
          <w:rFonts w:hint="eastAsia" w:ascii="宋体" w:hAnsi="宋体"/>
          <w:b/>
          <w:color w:val="000000" w:themeColor="text1"/>
          <w:sz w:val="24"/>
          <w:lang w:val="en-US" w:eastAsia="zh-CN"/>
          <w14:textFill>
            <w14:solidFill>
              <w14:schemeClr w14:val="tx1"/>
            </w14:solidFill>
          </w14:textFill>
        </w:rPr>
        <w:t xml:space="preserve"> </w:t>
      </w:r>
      <w:r>
        <w:rPr>
          <w:rFonts w:ascii="宋体" w:hAnsi="宋体"/>
          <w:b/>
          <w:color w:val="000000" w:themeColor="text1"/>
          <w:sz w:val="24"/>
          <w14:textFill>
            <w14:solidFill>
              <w14:schemeClr w14:val="tx1"/>
            </w14:solidFill>
          </w14:textFill>
        </w:rPr>
        <w:t>不再招标</w:t>
      </w:r>
    </w:p>
    <w:p w14:paraId="0C6AC771">
      <w:pPr>
        <w:tabs>
          <w:tab w:val="left" w:pos="720"/>
          <w:tab w:val="left" w:pos="900"/>
        </w:tabs>
        <w:spacing w:line="360" w:lineRule="auto"/>
        <w:ind w:left="1" w:right="19" w:rightChars="9" w:firstLine="540" w:firstLineChars="225"/>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重新招标后投标人仍少于3个或者所有投标被否决的，属于必须审批或核准的项目，经原审批或核准部门批准后不再进行招标。</w:t>
      </w:r>
    </w:p>
    <w:p w14:paraId="055FAFA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宋体" w:hAns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t>9.纪律和</w:t>
      </w:r>
      <w:r>
        <w:rPr>
          <w:rFonts w:hint="eastAsia" w:ascii="宋体" w:hAnsi="宋体"/>
          <w:b/>
          <w:color w:val="000000" w:themeColor="text1"/>
          <w:sz w:val="24"/>
          <w14:textFill>
            <w14:solidFill>
              <w14:schemeClr w14:val="tx1"/>
            </w14:solidFill>
          </w14:textFill>
        </w:rPr>
        <w:t>督查</w:t>
      </w:r>
    </w:p>
    <w:p w14:paraId="0E04DBA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宋体" w:hAns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t>9.1</w:t>
      </w:r>
      <w:r>
        <w:rPr>
          <w:rFonts w:hint="eastAsia" w:ascii="宋体" w:hAnsi="宋体"/>
          <w:b/>
          <w:color w:val="000000" w:themeColor="text1"/>
          <w:sz w:val="24"/>
          <w:lang w:val="en-US" w:eastAsia="zh-CN"/>
          <w14:textFill>
            <w14:solidFill>
              <w14:schemeClr w14:val="tx1"/>
            </w14:solidFill>
          </w14:textFill>
        </w:rPr>
        <w:t xml:space="preserve"> </w:t>
      </w:r>
      <w:r>
        <w:rPr>
          <w:rFonts w:ascii="宋体" w:hAnsi="宋体"/>
          <w:b/>
          <w:color w:val="000000" w:themeColor="text1"/>
          <w:sz w:val="24"/>
          <w14:textFill>
            <w14:solidFill>
              <w14:schemeClr w14:val="tx1"/>
            </w14:solidFill>
          </w14:textFill>
        </w:rPr>
        <w:t>对采购人的纪律要求</w:t>
      </w:r>
    </w:p>
    <w:p w14:paraId="4B5BB86A">
      <w:pPr>
        <w:tabs>
          <w:tab w:val="left" w:pos="720"/>
          <w:tab w:val="left" w:pos="900"/>
        </w:tabs>
        <w:spacing w:line="360" w:lineRule="auto"/>
        <w:ind w:right="19" w:rightChars="9" w:firstLine="540" w:firstLineChars="225"/>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采购人不得泄漏招标投标活动中应当保密的情况和资料，不得与投标人串通损害国家利益、社会公共利益或者他人合法权益。</w:t>
      </w:r>
    </w:p>
    <w:p w14:paraId="7CBFC565">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宋体" w:hAns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t>9.2</w:t>
      </w:r>
      <w:r>
        <w:rPr>
          <w:rFonts w:hint="eastAsia" w:ascii="宋体" w:hAnsi="宋体"/>
          <w:b/>
          <w:color w:val="000000" w:themeColor="text1"/>
          <w:sz w:val="24"/>
          <w:lang w:val="en-US" w:eastAsia="zh-CN"/>
          <w14:textFill>
            <w14:solidFill>
              <w14:schemeClr w14:val="tx1"/>
            </w14:solidFill>
          </w14:textFill>
        </w:rPr>
        <w:t xml:space="preserve"> </w:t>
      </w:r>
      <w:r>
        <w:rPr>
          <w:rFonts w:ascii="宋体" w:hAnsi="宋体"/>
          <w:b/>
          <w:color w:val="000000" w:themeColor="text1"/>
          <w:sz w:val="24"/>
          <w14:textFill>
            <w14:solidFill>
              <w14:schemeClr w14:val="tx1"/>
            </w14:solidFill>
          </w14:textFill>
        </w:rPr>
        <w:t>对投标人的纪律要求</w:t>
      </w:r>
    </w:p>
    <w:p w14:paraId="0DFD0C5D">
      <w:pPr>
        <w:tabs>
          <w:tab w:val="left" w:pos="720"/>
          <w:tab w:val="left" w:pos="900"/>
        </w:tabs>
        <w:spacing w:line="360" w:lineRule="auto"/>
        <w:ind w:right="19" w:rightChars="9" w:firstLine="540" w:firstLineChars="225"/>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投标人不得相互串通投标或者与采购人串通投标，不得向采购人或者评标委员会成员行贿谋取中标，不得以他人名义投标或者以其他方式弄虚作假骗取中标；投标人不得以任何方式干扰、影响评标工作。</w:t>
      </w:r>
    </w:p>
    <w:p w14:paraId="2DF90959">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宋体" w:hAns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t>9.3</w:t>
      </w:r>
      <w:r>
        <w:rPr>
          <w:rFonts w:hint="eastAsia" w:ascii="宋体" w:hAnsi="宋体"/>
          <w:b/>
          <w:color w:val="000000" w:themeColor="text1"/>
          <w:sz w:val="24"/>
          <w:lang w:val="en-US" w:eastAsia="zh-CN"/>
          <w14:textFill>
            <w14:solidFill>
              <w14:schemeClr w14:val="tx1"/>
            </w14:solidFill>
          </w14:textFill>
        </w:rPr>
        <w:t xml:space="preserve"> </w:t>
      </w:r>
      <w:r>
        <w:rPr>
          <w:rFonts w:ascii="宋体" w:hAnsi="宋体"/>
          <w:b/>
          <w:color w:val="000000" w:themeColor="text1"/>
          <w:sz w:val="24"/>
          <w14:textFill>
            <w14:solidFill>
              <w14:schemeClr w14:val="tx1"/>
            </w14:solidFill>
          </w14:textFill>
        </w:rPr>
        <w:t>对评标</w:t>
      </w:r>
      <w:r>
        <w:rPr>
          <w:rFonts w:hint="eastAsia" w:ascii="宋体" w:hAnsi="宋体"/>
          <w:b/>
          <w:color w:val="000000" w:themeColor="text1"/>
          <w:sz w:val="24"/>
          <w14:textFill>
            <w14:solidFill>
              <w14:schemeClr w14:val="tx1"/>
            </w14:solidFill>
          </w14:textFill>
        </w:rPr>
        <w:t>委员会</w:t>
      </w:r>
      <w:r>
        <w:rPr>
          <w:rFonts w:ascii="宋体" w:hAnsi="宋体"/>
          <w:b/>
          <w:color w:val="000000" w:themeColor="text1"/>
          <w:sz w:val="24"/>
          <w14:textFill>
            <w14:solidFill>
              <w14:schemeClr w14:val="tx1"/>
            </w14:solidFill>
          </w14:textFill>
        </w:rPr>
        <w:t>成员的纪律要求</w:t>
      </w:r>
    </w:p>
    <w:p w14:paraId="389D6418">
      <w:pPr>
        <w:tabs>
          <w:tab w:val="left" w:pos="720"/>
          <w:tab w:val="left" w:pos="900"/>
        </w:tabs>
        <w:spacing w:line="360" w:lineRule="auto"/>
        <w:ind w:right="19" w:rightChars="9" w:firstLine="540" w:firstLineChars="225"/>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评标委员会成员不得收受他人的财物或者其他好处，不得向他人透漏对投标文件的评审和比较、中标候选人的推荐情况以及评标有关的其他情况。在评标活动中，评标委员会成员不得擅离职守，影响评标程序正常进行，不得使用第</w:t>
      </w:r>
      <w:r>
        <w:rPr>
          <w:rFonts w:hint="eastAsia" w:ascii="宋体" w:hAnsi="宋体"/>
          <w:color w:val="000000" w:themeColor="text1"/>
          <w:sz w:val="24"/>
          <w14:textFill>
            <w14:solidFill>
              <w14:schemeClr w14:val="tx1"/>
            </w14:solidFill>
          </w14:textFill>
        </w:rPr>
        <w:t>五</w:t>
      </w:r>
      <w:r>
        <w:rPr>
          <w:rFonts w:ascii="宋体" w:hAnsi="宋体"/>
          <w:color w:val="000000" w:themeColor="text1"/>
          <w:sz w:val="24"/>
          <w14:textFill>
            <w14:solidFill>
              <w14:schemeClr w14:val="tx1"/>
            </w14:solidFill>
          </w14:textFill>
        </w:rPr>
        <w:t>章“评标办法”没有规定的评审因素和标准进行评标。</w:t>
      </w:r>
    </w:p>
    <w:p w14:paraId="7DAECA1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宋体" w:hAns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t>9.4</w:t>
      </w:r>
      <w:r>
        <w:rPr>
          <w:rFonts w:hint="eastAsia" w:ascii="宋体" w:hAnsi="宋体"/>
          <w:b/>
          <w:color w:val="000000" w:themeColor="text1"/>
          <w:sz w:val="24"/>
          <w:lang w:val="en-US" w:eastAsia="zh-CN"/>
          <w14:textFill>
            <w14:solidFill>
              <w14:schemeClr w14:val="tx1"/>
            </w14:solidFill>
          </w14:textFill>
        </w:rPr>
        <w:t xml:space="preserve"> </w:t>
      </w:r>
      <w:r>
        <w:rPr>
          <w:rFonts w:ascii="宋体" w:hAnsi="宋体"/>
          <w:b/>
          <w:color w:val="000000" w:themeColor="text1"/>
          <w:sz w:val="24"/>
          <w14:textFill>
            <w14:solidFill>
              <w14:schemeClr w14:val="tx1"/>
            </w14:solidFill>
          </w14:textFill>
        </w:rPr>
        <w:t>对与评标活动有关的工作人员的纪律要求</w:t>
      </w:r>
    </w:p>
    <w:p w14:paraId="7CC9D0ED">
      <w:pPr>
        <w:tabs>
          <w:tab w:val="left" w:pos="720"/>
          <w:tab w:val="left" w:pos="900"/>
        </w:tabs>
        <w:spacing w:line="360" w:lineRule="auto"/>
        <w:ind w:right="19" w:rightChars="9" w:firstLine="540" w:firstLineChars="225"/>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与评标活动有关的工作人员不得收受他人的财物或者其他好处，不得向他人透露对投标文件的评审和比较、中标候选人的推荐情况以及评标有关的其他情况。在评标活动中，与评标有关的工作人员不得擅离职守，影响评标程序正常进行。</w:t>
      </w:r>
    </w:p>
    <w:p w14:paraId="6297428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宋体" w:hAnsi="宋体"/>
          <w:b/>
          <w:color w:val="000000" w:themeColor="text1"/>
          <w:sz w:val="24"/>
          <w14:textFill>
            <w14:solidFill>
              <w14:schemeClr w14:val="tx1"/>
            </w14:solidFill>
          </w14:textFill>
        </w:rPr>
      </w:pPr>
      <w:r>
        <w:rPr>
          <w:rFonts w:ascii="宋体" w:hAnsi="宋体"/>
          <w:b/>
          <w:color w:val="000000" w:themeColor="text1"/>
          <w:sz w:val="24"/>
          <w14:textFill>
            <w14:solidFill>
              <w14:schemeClr w14:val="tx1"/>
            </w14:solidFill>
          </w14:textFill>
        </w:rPr>
        <w:t>9.5</w:t>
      </w:r>
      <w:r>
        <w:rPr>
          <w:rFonts w:hint="eastAsia" w:ascii="宋体" w:hAnsi="宋体"/>
          <w:b/>
          <w:color w:val="000000" w:themeColor="text1"/>
          <w:sz w:val="24"/>
          <w:lang w:val="en-US" w:eastAsia="zh-CN"/>
          <w14:textFill>
            <w14:solidFill>
              <w14:schemeClr w14:val="tx1"/>
            </w14:solidFill>
          </w14:textFill>
        </w:rPr>
        <w:t xml:space="preserve"> </w:t>
      </w:r>
      <w:r>
        <w:rPr>
          <w:rFonts w:hint="eastAsia" w:ascii="宋体" w:hAnsi="宋体"/>
          <w:b/>
          <w:color w:val="000000" w:themeColor="text1"/>
          <w:sz w:val="24"/>
          <w14:textFill>
            <w14:solidFill>
              <w14:schemeClr w14:val="tx1"/>
            </w14:solidFill>
          </w14:textFill>
        </w:rPr>
        <w:t>投诉</w:t>
      </w:r>
    </w:p>
    <w:p w14:paraId="56086745">
      <w:pPr>
        <w:tabs>
          <w:tab w:val="left" w:pos="720"/>
        </w:tabs>
        <w:spacing w:line="360" w:lineRule="auto"/>
        <w:ind w:left="1" w:right="19" w:rightChars="9" w:firstLine="480"/>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投标人和其他厉害关系人认为本次招标活动违反法律、法规和规章规定的，有权向有关监督部门投诉。</w:t>
      </w:r>
    </w:p>
    <w:p w14:paraId="75F8423B">
      <w:pPr>
        <w:tabs>
          <w:tab w:val="left" w:pos="720"/>
        </w:tabs>
        <w:spacing w:line="360" w:lineRule="auto"/>
        <w:ind w:left="1" w:right="19" w:rightChars="9" w:firstLine="480"/>
        <w:jc w:val="left"/>
        <w:rPr>
          <w:rFonts w:ascii="宋体" w:hAnsi="宋体"/>
          <w:b/>
          <w:sz w:val="24"/>
          <w:highlight w:val="yellow"/>
        </w:rPr>
      </w:pPr>
      <w:bookmarkStart w:id="208" w:name="_GoBack"/>
      <w:r>
        <w:rPr>
          <w:rFonts w:hint="eastAsia" w:ascii="宋体" w:hAnsi="宋体"/>
          <w:b/>
          <w:color w:val="000000" w:themeColor="text1"/>
          <w:sz w:val="24"/>
          <w:highlight w:val="yellow"/>
          <w14:textFill>
            <w14:solidFill>
              <w14:schemeClr w14:val="tx1"/>
            </w14:solidFill>
          </w14:textFill>
        </w:rPr>
        <w:t>10</w:t>
      </w:r>
      <w:r>
        <w:rPr>
          <w:rFonts w:hint="eastAsia" w:ascii="宋体" w:hAnsi="宋体"/>
          <w:b/>
          <w:color w:val="000000" w:themeColor="text1"/>
          <w:sz w:val="24"/>
          <w:highlight w:val="yellow"/>
          <w:lang w:val="en-US" w:eastAsia="zh-CN"/>
          <w14:textFill>
            <w14:solidFill>
              <w14:schemeClr w14:val="tx1"/>
            </w14:solidFill>
          </w14:textFill>
        </w:rPr>
        <w:t>.</w:t>
      </w:r>
      <w:r>
        <w:rPr>
          <w:rFonts w:ascii="宋体" w:hAnsi="宋体"/>
          <w:b/>
          <w:color w:val="000000" w:themeColor="text1"/>
          <w:sz w:val="24"/>
          <w:highlight w:val="yellow"/>
          <w14:textFill>
            <w14:solidFill>
              <w14:schemeClr w14:val="tx1"/>
            </w14:solidFill>
          </w14:textFill>
        </w:rPr>
        <w:t>需要</w:t>
      </w:r>
      <w:r>
        <w:rPr>
          <w:rFonts w:hint="eastAsia" w:ascii="宋体" w:hAnsi="宋体"/>
          <w:b/>
          <w:color w:val="000000" w:themeColor="text1"/>
          <w:sz w:val="24"/>
          <w:highlight w:val="yellow"/>
          <w14:textFill>
            <w14:solidFill>
              <w14:schemeClr w14:val="tx1"/>
            </w14:solidFill>
          </w14:textFill>
        </w:rPr>
        <w:t>补充</w:t>
      </w:r>
      <w:r>
        <w:rPr>
          <w:rFonts w:ascii="宋体" w:hAnsi="宋体"/>
          <w:b/>
          <w:color w:val="000000" w:themeColor="text1"/>
          <w:sz w:val="24"/>
          <w:highlight w:val="yellow"/>
          <w14:textFill>
            <w14:solidFill>
              <w14:schemeClr w14:val="tx1"/>
            </w14:solidFill>
          </w14:textFill>
        </w:rPr>
        <w:t>的其他内容</w:t>
      </w:r>
      <w:r>
        <w:rPr>
          <w:rFonts w:hint="eastAsia" w:ascii="宋体" w:hAnsi="宋体"/>
          <w:b/>
          <w:color w:val="000000" w:themeColor="text1"/>
          <w:sz w:val="24"/>
          <w:highlight w:val="yellow"/>
          <w:lang w:val="en-US" w:eastAsia="zh-CN"/>
          <w14:textFill>
            <w14:solidFill>
              <w14:schemeClr w14:val="tx1"/>
            </w14:solidFill>
          </w14:textFill>
        </w:rPr>
        <w:t>:招标文件获取要求详见投标人须知附表</w:t>
      </w:r>
      <w:bookmarkEnd w:id="40"/>
      <w:bookmarkEnd w:id="41"/>
    </w:p>
    <w:bookmarkEnd w:id="208"/>
    <w:p w14:paraId="11EB635C">
      <w:pPr>
        <w:widowControl/>
        <w:jc w:val="left"/>
        <w:rPr>
          <w:rFonts w:ascii="宋体" w:hAnsi="宋体"/>
          <w:b/>
          <w:sz w:val="36"/>
          <w:szCs w:val="36"/>
        </w:rPr>
      </w:pPr>
      <w:bookmarkStart w:id="42" w:name="_Toc11354"/>
      <w:r>
        <w:rPr>
          <w:rFonts w:ascii="宋体" w:hAnsi="宋体"/>
          <w:b/>
          <w:sz w:val="36"/>
          <w:szCs w:val="36"/>
        </w:rPr>
        <w:br w:type="page"/>
      </w:r>
    </w:p>
    <w:p w14:paraId="1198141E">
      <w:pPr>
        <w:pStyle w:val="2"/>
        <w:bidi w:val="0"/>
        <w:jc w:val="center"/>
        <w:rPr>
          <w:rFonts w:hint="eastAsia"/>
        </w:rPr>
      </w:pPr>
      <w:bookmarkStart w:id="43" w:name="_Toc26477"/>
      <w:r>
        <w:rPr>
          <w:rFonts w:hint="eastAsia"/>
        </w:rPr>
        <w:t>第三章  采购需求及技术要求</w:t>
      </w:r>
      <w:bookmarkEnd w:id="42"/>
      <w:bookmarkEnd w:id="43"/>
    </w:p>
    <w:p w14:paraId="250F33C9">
      <w:pPr>
        <w:spacing w:line="360" w:lineRule="auto"/>
        <w:ind w:right="57" w:firstLine="480" w:firstLineChars="200"/>
        <w:rPr>
          <w:rFonts w:ascii="宋体" w:hAnsi="宋体"/>
          <w:sz w:val="24"/>
        </w:rPr>
      </w:pPr>
      <w:r>
        <w:rPr>
          <w:rFonts w:hint="eastAsia" w:ascii="宋体" w:hAnsi="宋体"/>
          <w:sz w:val="24"/>
          <w:lang w:val="en-US" w:eastAsia="zh-CN"/>
        </w:rPr>
        <w:t>一</w:t>
      </w:r>
      <w:r>
        <w:rPr>
          <w:rFonts w:hint="eastAsia" w:ascii="宋体" w:hAnsi="宋体"/>
          <w:sz w:val="24"/>
        </w:rPr>
        <w:t>、项目说明</w:t>
      </w:r>
    </w:p>
    <w:p w14:paraId="773F1AA1">
      <w:pPr>
        <w:spacing w:line="360" w:lineRule="auto"/>
        <w:ind w:firstLine="480" w:firstLineChars="200"/>
        <w:rPr>
          <w:rFonts w:hint="eastAsia" w:ascii="宋体" w:hAnsi="宋体"/>
          <w:sz w:val="24"/>
          <w:highlight w:val="none"/>
        </w:rPr>
      </w:pPr>
      <w:bookmarkStart w:id="44" w:name="_Toc266431010"/>
      <w:bookmarkStart w:id="45" w:name="_Toc266431118"/>
      <w:bookmarkStart w:id="46" w:name="_Toc433266152"/>
      <w:r>
        <w:rPr>
          <w:rFonts w:hint="eastAsia" w:ascii="宋体" w:hAnsi="宋体"/>
          <w:sz w:val="24"/>
        </w:rPr>
        <w:t>1</w:t>
      </w:r>
      <w:r>
        <w:rPr>
          <w:rFonts w:hint="eastAsia" w:ascii="宋体" w:hAnsi="宋体"/>
          <w:sz w:val="24"/>
          <w:lang w:val="en-US" w:eastAsia="zh-CN"/>
        </w:rPr>
        <w:t>.</w:t>
      </w:r>
      <w:r>
        <w:rPr>
          <w:rFonts w:hint="eastAsia" w:ascii="宋体" w:hAnsi="宋体"/>
          <w:sz w:val="24"/>
        </w:rPr>
        <w:t>项目情况</w:t>
      </w:r>
      <w:bookmarkEnd w:id="44"/>
      <w:bookmarkEnd w:id="45"/>
      <w:bookmarkEnd w:id="46"/>
      <w:r>
        <w:rPr>
          <w:rFonts w:hint="eastAsia" w:ascii="宋体" w:hAnsi="宋体"/>
          <w:sz w:val="24"/>
        </w:rPr>
        <w:t>：</w:t>
      </w:r>
      <w:r>
        <w:rPr>
          <w:rFonts w:hint="eastAsia" w:ascii="宋体" w:hAnsi="宋体"/>
          <w:sz w:val="24"/>
          <w:lang w:val="en-US" w:eastAsia="zh-CN"/>
        </w:rPr>
        <w:t>呼和浩特海关业务分析研判室</w:t>
      </w:r>
      <w:r>
        <w:rPr>
          <w:rFonts w:hint="eastAsia" w:ascii="宋体" w:hAnsi="宋体"/>
          <w:sz w:val="24"/>
          <w:highlight w:val="none"/>
          <w:lang w:val="en-US" w:eastAsia="zh-CN"/>
        </w:rPr>
        <w:t>—弱电设备改造工程</w:t>
      </w:r>
    </w:p>
    <w:p w14:paraId="348C73AB">
      <w:pPr>
        <w:spacing w:line="360" w:lineRule="auto"/>
        <w:ind w:firstLine="480" w:firstLineChars="200"/>
        <w:rPr>
          <w:rFonts w:hint="eastAsia" w:ascii="宋体" w:hAnsi="宋体"/>
          <w:sz w:val="24"/>
          <w:highlight w:val="none"/>
        </w:rPr>
      </w:pPr>
      <w:r>
        <w:rPr>
          <w:rFonts w:hint="eastAsia" w:ascii="宋体" w:hAnsi="宋体"/>
          <w:sz w:val="24"/>
          <w:highlight w:val="none"/>
        </w:rPr>
        <w:t>2</w:t>
      </w:r>
      <w:r>
        <w:rPr>
          <w:rFonts w:hint="eastAsia" w:ascii="宋体" w:hAnsi="宋体"/>
          <w:sz w:val="24"/>
          <w:highlight w:val="none"/>
          <w:lang w:val="en-US" w:eastAsia="zh-CN"/>
        </w:rPr>
        <w:t>.</w:t>
      </w:r>
      <w:r>
        <w:rPr>
          <w:rFonts w:hint="eastAsia" w:asciiTheme="minorEastAsia" w:hAnsiTheme="minorEastAsia" w:eastAsiaTheme="minorEastAsia"/>
          <w:b/>
          <w:bCs/>
          <w:sz w:val="24"/>
          <w:highlight w:val="none"/>
          <w:lang w:eastAsia="zh-CN"/>
        </w:rPr>
        <w:t>供货期</w:t>
      </w:r>
      <w:r>
        <w:rPr>
          <w:rFonts w:hint="eastAsia" w:ascii="宋体" w:hAnsi="宋体"/>
          <w:b/>
          <w:bCs/>
          <w:sz w:val="24"/>
          <w:highlight w:val="none"/>
          <w:lang w:eastAsia="zh-CN"/>
        </w:rPr>
        <w:t>：</w:t>
      </w:r>
      <w:r>
        <w:rPr>
          <w:rFonts w:hint="eastAsia" w:ascii="宋体" w:hAnsi="宋体"/>
          <w:b/>
          <w:bCs/>
          <w:sz w:val="24"/>
          <w:highlight w:val="none"/>
          <w:lang w:val="en-US" w:eastAsia="zh-CN"/>
        </w:rPr>
        <w:t>自合同签订后30日历天内</w:t>
      </w:r>
    </w:p>
    <w:p w14:paraId="696AE3F1">
      <w:pPr>
        <w:spacing w:line="360" w:lineRule="auto"/>
        <w:ind w:firstLine="480" w:firstLineChars="200"/>
        <w:rPr>
          <w:rFonts w:hint="eastAsia" w:ascii="宋体" w:hAnsi="宋体" w:eastAsia="宋体"/>
          <w:sz w:val="24"/>
          <w:highlight w:val="none"/>
          <w:lang w:eastAsia="zh-CN"/>
        </w:rPr>
      </w:pPr>
      <w:r>
        <w:rPr>
          <w:rFonts w:hint="eastAsia" w:ascii="宋体" w:hAnsi="宋体"/>
          <w:sz w:val="24"/>
          <w:highlight w:val="none"/>
        </w:rPr>
        <w:t>3</w:t>
      </w:r>
      <w:r>
        <w:rPr>
          <w:rFonts w:hint="eastAsia" w:ascii="宋体" w:hAnsi="宋体"/>
          <w:sz w:val="24"/>
          <w:highlight w:val="none"/>
          <w:lang w:val="en-US" w:eastAsia="zh-CN"/>
        </w:rPr>
        <w:t>.</w:t>
      </w:r>
      <w:r>
        <w:rPr>
          <w:rFonts w:hint="eastAsia" w:ascii="宋体" w:hAnsi="宋体"/>
          <w:b/>
          <w:bCs/>
          <w:sz w:val="24"/>
          <w:highlight w:val="none"/>
          <w:lang w:val="en-US" w:eastAsia="zh-CN"/>
        </w:rPr>
        <w:t>供货地点：呼和浩特海关办公楼</w:t>
      </w:r>
    </w:p>
    <w:p w14:paraId="5933D94C">
      <w:pPr>
        <w:spacing w:line="360" w:lineRule="auto"/>
        <w:ind w:firstLine="480" w:firstLineChars="200"/>
        <w:rPr>
          <w:rFonts w:hint="eastAsia" w:ascii="宋体" w:hAnsi="宋体"/>
          <w:sz w:val="24"/>
          <w:highlight w:val="none"/>
          <w:lang w:val="en-US" w:eastAsia="zh-CN"/>
        </w:rPr>
      </w:pPr>
      <w:r>
        <w:rPr>
          <w:rFonts w:hint="eastAsia" w:ascii="宋体" w:hAnsi="宋体"/>
          <w:sz w:val="24"/>
          <w:highlight w:val="none"/>
        </w:rPr>
        <w:t>4</w:t>
      </w:r>
      <w:r>
        <w:rPr>
          <w:rFonts w:hint="eastAsia" w:ascii="宋体" w:hAnsi="宋体"/>
          <w:sz w:val="24"/>
          <w:highlight w:val="none"/>
          <w:lang w:val="en-US" w:eastAsia="zh-CN"/>
        </w:rPr>
        <w:t>.</w:t>
      </w:r>
      <w:r>
        <w:rPr>
          <w:rFonts w:hint="eastAsia" w:ascii="宋体" w:hAnsi="宋体"/>
          <w:b/>
          <w:bCs/>
          <w:sz w:val="24"/>
          <w:highlight w:val="none"/>
          <w:lang w:val="en-US" w:eastAsia="zh-CN"/>
        </w:rPr>
        <w:t>质保期：3年</w:t>
      </w:r>
    </w:p>
    <w:p w14:paraId="445468A0">
      <w:pPr>
        <w:spacing w:line="360" w:lineRule="auto"/>
        <w:ind w:firstLine="480" w:firstLineChars="200"/>
        <w:rPr>
          <w:rFonts w:hint="default" w:ascii="宋体" w:hAnsi="宋体"/>
          <w:sz w:val="24"/>
          <w:highlight w:val="none"/>
          <w:lang w:val="en-US" w:eastAsia="zh-CN"/>
        </w:rPr>
      </w:pPr>
      <w:r>
        <w:rPr>
          <w:rFonts w:hint="eastAsia" w:ascii="宋体" w:hAnsi="宋体"/>
          <w:sz w:val="24"/>
          <w:highlight w:val="none"/>
          <w:lang w:val="en-US" w:eastAsia="zh-CN"/>
        </w:rPr>
        <w:t>5.</w:t>
      </w:r>
      <w:r>
        <w:rPr>
          <w:rFonts w:hint="eastAsia" w:ascii="宋体" w:hAnsi="宋体"/>
          <w:b/>
          <w:bCs/>
          <w:sz w:val="24"/>
          <w:highlight w:val="none"/>
          <w:lang w:val="en-US" w:eastAsia="zh-CN"/>
        </w:rPr>
        <w:t>产品与质量标准：属于国家强制认证目录内的产品必须提供强制性产品认证（3C认证）；核心设备可能需要提供由CMA认证的第三方检测机构出具的检测报告。</w:t>
      </w:r>
    </w:p>
    <w:p w14:paraId="3A575E69">
      <w:pPr>
        <w:spacing w:line="360" w:lineRule="auto"/>
        <w:ind w:firstLine="480" w:firstLineChars="200"/>
        <w:rPr>
          <w:rFonts w:hint="eastAsia" w:ascii="宋体" w:hAnsi="宋体"/>
          <w:b/>
          <w:bCs/>
          <w:sz w:val="24"/>
          <w:highlight w:val="none"/>
          <w:lang w:val="en-US" w:eastAsia="zh-CN"/>
        </w:rPr>
      </w:pPr>
      <w:r>
        <w:rPr>
          <w:rFonts w:hint="eastAsia" w:ascii="宋体" w:hAnsi="宋体"/>
          <w:sz w:val="24"/>
          <w:highlight w:val="none"/>
          <w:lang w:val="en-US" w:eastAsia="zh-CN"/>
        </w:rPr>
        <w:t>6.</w:t>
      </w:r>
      <w:r>
        <w:rPr>
          <w:rFonts w:hint="eastAsia" w:ascii="宋体" w:hAnsi="宋体"/>
          <w:b/>
          <w:bCs/>
          <w:sz w:val="24"/>
          <w:highlight w:val="none"/>
          <w:lang w:val="en-US" w:eastAsia="zh-CN"/>
        </w:rPr>
        <w:t>付款方式：合同签订后付30%，设备到货后付60%，设备验收合格调试成功后付10%</w:t>
      </w:r>
    </w:p>
    <w:p w14:paraId="4BD2E34B">
      <w:pPr>
        <w:spacing w:line="360" w:lineRule="auto"/>
        <w:ind w:firstLine="480" w:firstLineChars="200"/>
        <w:rPr>
          <w:rFonts w:hint="default" w:ascii="宋体" w:hAnsi="宋体"/>
          <w:sz w:val="24"/>
          <w:highlight w:val="none"/>
          <w:lang w:val="en-US" w:eastAsia="zh-CN"/>
        </w:rPr>
      </w:pPr>
      <w:r>
        <w:rPr>
          <w:rFonts w:hint="default" w:ascii="宋体" w:hAnsi="宋体"/>
          <w:sz w:val="24"/>
          <w:highlight w:val="none"/>
          <w:lang w:val="en-US" w:eastAsia="zh-CN"/>
        </w:rPr>
        <w:t>7 知识产权归属、许可与侵权责任</w:t>
      </w:r>
    </w:p>
    <w:p w14:paraId="243F7599">
      <w:pPr>
        <w:spacing w:line="360" w:lineRule="auto"/>
        <w:ind w:firstLine="480" w:firstLineChars="200"/>
        <w:rPr>
          <w:rFonts w:hint="default" w:ascii="宋体" w:hAnsi="宋体"/>
          <w:sz w:val="24"/>
          <w:highlight w:val="none"/>
          <w:lang w:val="en-US" w:eastAsia="zh-CN"/>
        </w:rPr>
      </w:pPr>
      <w:r>
        <w:rPr>
          <w:rFonts w:hint="eastAsia" w:ascii="宋体" w:hAnsi="宋体"/>
          <w:sz w:val="24"/>
          <w:highlight w:val="none"/>
          <w:lang w:val="en-US" w:eastAsia="zh-CN"/>
        </w:rPr>
        <w:t xml:space="preserve">7.1 </w:t>
      </w:r>
      <w:r>
        <w:rPr>
          <w:rFonts w:hint="default" w:ascii="宋体" w:hAnsi="宋体"/>
          <w:sz w:val="24"/>
          <w:highlight w:val="none"/>
          <w:lang w:val="en-US" w:eastAsia="zh-CN"/>
        </w:rPr>
        <w:t>存量原有知识产权投标人/供应商出厂自带硬件内嵌软件、原厂标准程序、原厂专利、商标等原有知识产权，仍归原制造厂商 / 供应商所有；供应商授予采购人永久、免费、仅限本海关研判室场地非独占使用权，采购人可开展设备调试、日常运维、故障排查、质保期内固件升级，无需额外支付软件授权费。未经采购人书面许可，供应商不得收回该使用许可。</w:t>
      </w:r>
    </w:p>
    <w:p w14:paraId="705CE3BA">
      <w:pPr>
        <w:spacing w:line="360" w:lineRule="auto"/>
        <w:ind w:firstLine="480" w:firstLineChars="200"/>
        <w:rPr>
          <w:rFonts w:hint="default" w:ascii="宋体" w:hAnsi="宋体"/>
          <w:sz w:val="24"/>
          <w:highlight w:val="none"/>
          <w:lang w:val="en-US" w:eastAsia="zh-CN"/>
        </w:rPr>
      </w:pPr>
      <w:r>
        <w:rPr>
          <w:rFonts w:hint="eastAsia" w:ascii="宋体" w:hAnsi="宋体"/>
          <w:sz w:val="24"/>
          <w:highlight w:val="none"/>
          <w:lang w:val="en-US" w:eastAsia="zh-CN"/>
        </w:rPr>
        <w:t xml:space="preserve">7.2 </w:t>
      </w:r>
      <w:r>
        <w:rPr>
          <w:rFonts w:hint="default" w:ascii="宋体" w:hAnsi="宋体"/>
          <w:sz w:val="24"/>
          <w:highlight w:val="none"/>
          <w:lang w:val="en-US" w:eastAsia="zh-CN"/>
        </w:rPr>
        <w:t>本项目定制成果权属 本项目实施过程中，供应商专为采购人定制的空间布局图纸、网络布线方案、系统调试配置文件、涉密施工方案、运维手册、会议配套文档、适配本场地专属程序脚本等全部成果，全部知识产权（著作权、修改权、复制使用权等）自验收合格之日起无偿、独家归采购人所有。供应商仅可留存内部存档副本，未经采购人书面同意，不得对外商用、复制、泄露、转让、授权第三方使用；项目结束后须销毁全部自有存档涉密定制资料。</w:t>
      </w:r>
    </w:p>
    <w:p w14:paraId="0AD3AF53">
      <w:pPr>
        <w:spacing w:line="360" w:lineRule="auto"/>
        <w:ind w:firstLine="480" w:firstLineChars="200"/>
        <w:rPr>
          <w:rFonts w:hint="default" w:ascii="宋体" w:hAnsi="宋体"/>
          <w:sz w:val="24"/>
          <w:highlight w:val="none"/>
          <w:lang w:val="en-US" w:eastAsia="zh-CN"/>
        </w:rPr>
      </w:pPr>
      <w:r>
        <w:rPr>
          <w:rFonts w:hint="eastAsia" w:ascii="宋体" w:hAnsi="宋体"/>
          <w:sz w:val="24"/>
          <w:highlight w:val="none"/>
          <w:lang w:val="en-US" w:eastAsia="zh-CN"/>
        </w:rPr>
        <w:t>7.3</w:t>
      </w:r>
      <w:r>
        <w:rPr>
          <w:rFonts w:hint="default" w:ascii="宋体" w:hAnsi="宋体"/>
          <w:sz w:val="24"/>
          <w:highlight w:val="none"/>
          <w:lang w:val="en-US" w:eastAsia="zh-CN"/>
        </w:rPr>
        <w:t>第三方知识产权担保责任 供应商承诺本项目全部硬件、软件、固件、配套文档均已取得完整合法第三方授权，不存在专利、著作权、商标侵权隐患；若因第三方知识产权维权给采购人造成罚款、诉讼、业务中断、声誉损失，全部赔偿责任、律师费、诉讼费由供应商全额承担，采购人有权直接从尾款、质保金中抵扣。</w:t>
      </w:r>
    </w:p>
    <w:p w14:paraId="45A7AB2A">
      <w:pPr>
        <w:spacing w:line="360" w:lineRule="auto"/>
        <w:ind w:firstLine="480" w:firstLineChars="200"/>
        <w:rPr>
          <w:rFonts w:hint="default" w:ascii="宋体" w:hAnsi="宋体"/>
          <w:sz w:val="24"/>
          <w:highlight w:val="none"/>
          <w:lang w:val="en-US" w:eastAsia="zh-CN"/>
        </w:rPr>
      </w:pPr>
      <w:r>
        <w:rPr>
          <w:rFonts w:hint="eastAsia" w:ascii="宋体" w:hAnsi="宋体"/>
          <w:sz w:val="24"/>
          <w:highlight w:val="none"/>
          <w:lang w:val="en-US" w:eastAsia="zh-CN"/>
        </w:rPr>
        <w:t xml:space="preserve">7.4 </w:t>
      </w:r>
      <w:r>
        <w:rPr>
          <w:rFonts w:hint="default" w:ascii="宋体" w:hAnsi="宋体"/>
          <w:sz w:val="24"/>
          <w:highlight w:val="none"/>
          <w:lang w:val="en-US" w:eastAsia="zh-CN"/>
        </w:rPr>
        <w:t>保密与违约责任 供应商及项目所有参与人员对本项目定制资料、涉密系统方案永久负有保密义务；违反本条约定擅自使用、泄露、转让定制成果知识产权的，须向采购人支付合同总金额10%的违约金，不足以弥补损失的另行全额赔偿。</w:t>
      </w:r>
    </w:p>
    <w:p w14:paraId="03DA5363">
      <w:pPr>
        <w:spacing w:line="360" w:lineRule="auto"/>
        <w:ind w:firstLine="480" w:firstLineChars="200"/>
        <w:rPr>
          <w:rFonts w:hint="default" w:ascii="宋体" w:hAnsi="宋体"/>
          <w:sz w:val="24"/>
          <w:highlight w:val="none"/>
          <w:lang w:val="en-US" w:eastAsia="zh-CN"/>
        </w:rPr>
      </w:pPr>
      <w:r>
        <w:rPr>
          <w:rFonts w:hint="eastAsia" w:ascii="宋体" w:hAnsi="宋体"/>
          <w:sz w:val="24"/>
          <w:highlight w:val="none"/>
          <w:lang w:val="en-US" w:eastAsia="zh-CN"/>
        </w:rPr>
        <w:t xml:space="preserve">7.5 </w:t>
      </w:r>
      <w:r>
        <w:rPr>
          <w:rFonts w:hint="default" w:ascii="宋体" w:hAnsi="宋体"/>
          <w:sz w:val="24"/>
          <w:highlight w:val="none"/>
          <w:lang w:val="en-US" w:eastAsia="zh-CN"/>
        </w:rPr>
        <w:t>本条款符合《中华人民共和国民法典》《中华人民共和国著作权法》及内蒙古自治区政府采购相关管理规定，双方自愿遵守。</w:t>
      </w:r>
    </w:p>
    <w:p w14:paraId="2322BA62">
      <w:p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8.</w:t>
      </w:r>
      <w:r>
        <w:rPr>
          <w:rFonts w:hint="eastAsia" w:ascii="宋体" w:hAnsi="宋体"/>
          <w:sz w:val="24"/>
          <w:highlight w:val="none"/>
        </w:rPr>
        <w:t>采购费用：合同中约定</w:t>
      </w:r>
    </w:p>
    <w:p w14:paraId="69ECE5D3">
      <w:p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8</w:t>
      </w:r>
      <w:r>
        <w:rPr>
          <w:rFonts w:hint="eastAsia" w:ascii="宋体" w:hAnsi="宋体"/>
          <w:sz w:val="24"/>
          <w:highlight w:val="none"/>
        </w:rPr>
        <w:t>.1参照有关规定，</w:t>
      </w:r>
      <w:bookmarkStart w:id="47" w:name="OLE_LINK2"/>
      <w:bookmarkStart w:id="48" w:name="OLE_LINK1"/>
      <w:r>
        <w:rPr>
          <w:rFonts w:hint="eastAsia" w:ascii="宋体" w:hAnsi="宋体"/>
          <w:sz w:val="24"/>
          <w:highlight w:val="none"/>
        </w:rPr>
        <w:t>投标报价必须是总价报价，结合项目实际和投标人自身情况自主报价。</w:t>
      </w:r>
      <w:bookmarkStart w:id="49" w:name="OLE_LINK60"/>
      <w:r>
        <w:rPr>
          <w:rFonts w:hint="eastAsia" w:ascii="宋体" w:hAnsi="宋体"/>
          <w:sz w:val="24"/>
          <w:highlight w:val="none"/>
        </w:rPr>
        <w:t>投标报价包括完成本项目招标范围内的全部费用</w:t>
      </w:r>
      <w:bookmarkStart w:id="50" w:name="OLE_LINK67"/>
      <w:bookmarkStart w:id="51" w:name="OLE_LINK63"/>
      <w:r>
        <w:rPr>
          <w:rFonts w:hint="eastAsia" w:ascii="宋体" w:hAnsi="宋体"/>
          <w:sz w:val="24"/>
          <w:highlight w:val="none"/>
        </w:rPr>
        <w:t>（包括运费、人工、税金等可能发生的全部费用）。</w:t>
      </w:r>
      <w:bookmarkEnd w:id="47"/>
      <w:bookmarkEnd w:id="48"/>
      <w:bookmarkEnd w:id="49"/>
      <w:bookmarkEnd w:id="50"/>
      <w:bookmarkEnd w:id="51"/>
    </w:p>
    <w:p w14:paraId="0C953983">
      <w:pPr>
        <w:spacing w:line="360" w:lineRule="auto"/>
        <w:ind w:firstLine="480" w:firstLineChars="200"/>
        <w:rPr>
          <w:rFonts w:hint="eastAsia" w:ascii="宋体" w:hAnsi="宋体"/>
          <w:sz w:val="24"/>
        </w:rPr>
      </w:pPr>
      <w:r>
        <w:rPr>
          <w:rFonts w:hint="eastAsia" w:ascii="宋体" w:hAnsi="宋体"/>
          <w:sz w:val="24"/>
        </w:rPr>
        <w:t>投标人认为完成本招标文件规定的采购内容所需发生的一切费用均应计入报价，凡未列入的，将被认为均已包含在投标报价中，且报价在合同实施过程中不予调整。</w:t>
      </w:r>
    </w:p>
    <w:p w14:paraId="29F06681">
      <w:pPr>
        <w:spacing w:line="360" w:lineRule="auto"/>
        <w:ind w:firstLine="480" w:firstLineChars="200"/>
        <w:rPr>
          <w:rFonts w:hint="eastAsia" w:ascii="宋体" w:hAnsi="宋体"/>
          <w:sz w:val="24"/>
        </w:rPr>
      </w:pPr>
      <w:r>
        <w:rPr>
          <w:rFonts w:hint="eastAsia" w:ascii="宋体" w:hAnsi="宋体"/>
          <w:sz w:val="24"/>
          <w:lang w:val="en-US" w:eastAsia="zh-CN"/>
        </w:rPr>
        <w:t>8</w:t>
      </w:r>
      <w:r>
        <w:rPr>
          <w:rFonts w:hint="eastAsia" w:ascii="宋体" w:hAnsi="宋体"/>
          <w:sz w:val="24"/>
        </w:rPr>
        <w:t>.2其他未说明的问题在合同中约定。</w:t>
      </w:r>
    </w:p>
    <w:p w14:paraId="45CD9089">
      <w:pPr>
        <w:spacing w:line="360" w:lineRule="auto"/>
        <w:ind w:firstLine="480" w:firstLineChars="200"/>
        <w:rPr>
          <w:rFonts w:hint="eastAsia" w:ascii="宋体" w:hAnsi="宋体"/>
          <w:sz w:val="24"/>
          <w:lang w:val="en-US" w:eastAsia="zh-CN"/>
        </w:rPr>
      </w:pPr>
      <w:r>
        <w:rPr>
          <w:rFonts w:hint="eastAsia" w:ascii="宋体" w:hAnsi="宋体"/>
          <w:sz w:val="24"/>
          <w:lang w:eastAsia="zh-CN"/>
        </w:rPr>
        <w:t>二、</w:t>
      </w:r>
      <w:r>
        <w:rPr>
          <w:rFonts w:hint="eastAsia" w:ascii="宋体" w:hAnsi="宋体"/>
          <w:sz w:val="24"/>
          <w:lang w:val="en-US" w:eastAsia="zh-CN"/>
        </w:rPr>
        <w:t>项目总体目标</w:t>
      </w:r>
    </w:p>
    <w:p w14:paraId="3F747596">
      <w:pPr>
        <w:spacing w:line="360" w:lineRule="auto"/>
        <w:ind w:firstLine="480" w:firstLineChars="200"/>
        <w:rPr>
          <w:rFonts w:hint="eastAsia" w:ascii="宋体" w:hAnsi="宋体" w:eastAsia="宋体"/>
          <w:sz w:val="24"/>
          <w:lang w:eastAsia="zh-CN"/>
        </w:rPr>
      </w:pPr>
      <w:r>
        <w:rPr>
          <w:rFonts w:hint="eastAsia" w:ascii="宋体" w:hAnsi="宋体"/>
          <w:sz w:val="24"/>
          <w:lang w:val="en-US" w:eastAsia="zh-CN"/>
        </w:rPr>
        <w:t>打造一体化多功能业务分析研判室，通过合理的空间布局优化与硬件配置，满足内部多场景使用需求，同步保障网络安全与使用便捷性，实现空间利用率最大化与功能多样化，为与会人员提供舒适、高效的工作环境。</w:t>
      </w:r>
    </w:p>
    <w:p w14:paraId="49801490">
      <w:pPr>
        <w:spacing w:line="360" w:lineRule="auto"/>
        <w:ind w:firstLine="480" w:firstLineChars="200"/>
        <w:rPr>
          <w:rFonts w:hint="eastAsia" w:ascii="宋体" w:hAnsi="宋体"/>
          <w:sz w:val="24"/>
          <w:lang w:val="en-US"/>
        </w:rPr>
      </w:pPr>
      <w:r>
        <w:rPr>
          <w:rFonts w:hint="eastAsia" w:ascii="宋体" w:hAnsi="宋体"/>
          <w:sz w:val="24"/>
          <w:lang w:val="en-US" w:eastAsia="zh-CN"/>
        </w:rPr>
        <w:t>三</w:t>
      </w:r>
      <w:r>
        <w:rPr>
          <w:rFonts w:hint="eastAsia" w:ascii="宋体" w:hAnsi="宋体"/>
          <w:sz w:val="24"/>
          <w:lang w:val="en-US"/>
        </w:rPr>
        <w:t>、硬件配置与部署要求</w:t>
      </w:r>
    </w:p>
    <w:p w14:paraId="2F10DDAA">
      <w:pPr>
        <w:spacing w:line="360" w:lineRule="auto"/>
        <w:ind w:firstLine="480" w:firstLineChars="200"/>
        <w:rPr>
          <w:rFonts w:hint="eastAsia" w:ascii="宋体" w:hAnsi="宋体"/>
          <w:sz w:val="24"/>
          <w:lang w:val="en-US"/>
        </w:rPr>
      </w:pPr>
      <w:r>
        <w:rPr>
          <w:rFonts w:hint="eastAsia" w:ascii="宋体" w:hAnsi="宋体"/>
          <w:sz w:val="24"/>
          <w:lang w:val="en-US"/>
        </w:rPr>
        <w:t>1.音视频与显示设备</w:t>
      </w:r>
      <w:r>
        <w:rPr>
          <w:rFonts w:hint="eastAsia" w:ascii="宋体" w:hAnsi="宋体"/>
          <w:sz w:val="24"/>
          <w:lang w:val="en-US" w:eastAsia="zh-CN"/>
        </w:rPr>
        <w:t>：</w:t>
      </w:r>
      <w:r>
        <w:rPr>
          <w:rFonts w:hint="eastAsia" w:ascii="宋体" w:hAnsi="宋体"/>
          <w:sz w:val="24"/>
          <w:lang w:val="en-US"/>
        </w:rPr>
        <w:t>配备简易音视频采集设备，包括全向麦克风、高清摄像头，保证录音清晰、视频画面稳定，支持全程录音与画面采集，采集数据可同步至核心加密服务器。配备专属显示设备，支持材料展示、音视频播放，显示设备与后台系统深度适配，支持内容放大、翻页、关键词检索，操作简单便捷。</w:t>
      </w:r>
    </w:p>
    <w:p w14:paraId="73AFB856">
      <w:pPr>
        <w:spacing w:line="360" w:lineRule="auto"/>
        <w:ind w:firstLine="480" w:firstLineChars="200"/>
        <w:rPr>
          <w:rFonts w:hint="eastAsia" w:ascii="宋体" w:hAnsi="宋体"/>
          <w:sz w:val="24"/>
          <w:lang w:val="en-US"/>
        </w:rPr>
      </w:pPr>
      <w:r>
        <w:rPr>
          <w:rFonts w:hint="eastAsia" w:ascii="宋体" w:hAnsi="宋体"/>
          <w:sz w:val="24"/>
          <w:lang w:val="en-US"/>
        </w:rPr>
        <w:t>2.网络设备</w:t>
      </w:r>
      <w:r>
        <w:rPr>
          <w:rFonts w:hint="eastAsia" w:ascii="宋体" w:hAnsi="宋体"/>
          <w:sz w:val="24"/>
          <w:lang w:val="en-US" w:eastAsia="zh-CN"/>
        </w:rPr>
        <w:t>：</w:t>
      </w:r>
      <w:r>
        <w:rPr>
          <w:rFonts w:hint="eastAsia" w:ascii="宋体" w:hAnsi="宋体"/>
          <w:sz w:val="24"/>
          <w:lang w:val="en-US"/>
        </w:rPr>
        <w:t>部署高安全级专属无线局域网设备，实现与核心服务器的网络互通，严格遵循海关网络安全要求，仅允许专属设备接入。预留充足的专属有线网络接口，分布于各个区域，作为无线局域网的应急备用，所有接口均与专属局域网直接连通，严格与外网、其他内网物理隔离。</w:t>
      </w:r>
    </w:p>
    <w:p w14:paraId="6A8C55D1">
      <w:pPr>
        <w:spacing w:line="360" w:lineRule="auto"/>
        <w:ind w:firstLine="480" w:firstLineChars="200"/>
        <w:rPr>
          <w:rFonts w:hint="eastAsia" w:ascii="宋体" w:hAnsi="宋体"/>
          <w:sz w:val="24"/>
          <w:lang w:val="en-US"/>
        </w:rPr>
      </w:pPr>
      <w:r>
        <w:rPr>
          <w:rFonts w:hint="eastAsia" w:ascii="宋体" w:hAnsi="宋体"/>
          <w:sz w:val="24"/>
          <w:lang w:val="en-US" w:eastAsia="zh-CN"/>
        </w:rPr>
        <w:t>3.</w:t>
      </w:r>
      <w:r>
        <w:rPr>
          <w:rFonts w:hint="eastAsia" w:ascii="宋体" w:hAnsi="宋体"/>
          <w:sz w:val="24"/>
        </w:rPr>
        <w:t>设备间配置</w:t>
      </w:r>
      <w:r>
        <w:rPr>
          <w:rFonts w:hint="eastAsia" w:ascii="宋体" w:hAnsi="宋体"/>
          <w:sz w:val="24"/>
          <w:lang w:eastAsia="zh-CN"/>
        </w:rPr>
        <w:t>：</w:t>
      </w:r>
      <w:r>
        <w:rPr>
          <w:rFonts w:hint="eastAsia" w:ascii="宋体" w:hAnsi="宋体"/>
          <w:sz w:val="24"/>
          <w:lang w:val="en-US"/>
        </w:rPr>
        <w:t>设备间内放置1组机柜，用于存放网络设备、音视频设备主机、电源设备等，机柜摆放整齐，线路整理规范。配备基础的散热、供电设备，保证设备间内温度适宜，供电稳定，避免设备因过热或断电出现故障。</w:t>
      </w:r>
    </w:p>
    <w:p w14:paraId="48AEADD3">
      <w:pPr>
        <w:spacing w:line="360" w:lineRule="auto"/>
        <w:ind w:firstLine="480" w:firstLineChars="200"/>
        <w:rPr>
          <w:rFonts w:hint="eastAsia" w:ascii="宋体" w:hAnsi="宋体"/>
          <w:sz w:val="24"/>
          <w:lang w:val="en-US"/>
        </w:rPr>
      </w:pPr>
      <w:r>
        <w:rPr>
          <w:rFonts w:hint="eastAsia" w:ascii="宋体" w:hAnsi="宋体"/>
          <w:sz w:val="24"/>
          <w:lang w:val="en-US" w:eastAsia="zh-CN"/>
        </w:rPr>
        <w:t>4.</w:t>
      </w:r>
      <w:r>
        <w:rPr>
          <w:rFonts w:hint="eastAsia" w:ascii="宋体" w:hAnsi="宋体"/>
          <w:sz w:val="24"/>
          <w:lang w:val="en-US"/>
        </w:rPr>
        <w:t>网络与安全要求</w:t>
      </w:r>
    </w:p>
    <w:p w14:paraId="2317B808">
      <w:pPr>
        <w:spacing w:line="360" w:lineRule="auto"/>
        <w:ind w:firstLine="480" w:firstLineChars="200"/>
        <w:rPr>
          <w:rFonts w:hint="eastAsia" w:ascii="宋体" w:hAnsi="宋体"/>
          <w:sz w:val="24"/>
          <w:lang w:val="en-US"/>
        </w:rPr>
      </w:pPr>
      <w:r>
        <w:rPr>
          <w:rFonts w:hint="eastAsia" w:ascii="宋体" w:hAnsi="宋体"/>
          <w:sz w:val="24"/>
          <w:lang w:val="en-US" w:eastAsia="zh-CN"/>
        </w:rPr>
        <w:t>4.1</w:t>
      </w:r>
      <w:r>
        <w:rPr>
          <w:rFonts w:hint="eastAsia" w:ascii="宋体" w:hAnsi="宋体"/>
          <w:sz w:val="24"/>
        </w:rPr>
        <w:t>网络架构</w:t>
      </w:r>
      <w:r>
        <w:rPr>
          <w:rFonts w:hint="eastAsia" w:ascii="宋体" w:hAnsi="宋体"/>
          <w:sz w:val="24"/>
          <w:lang w:eastAsia="zh-CN"/>
        </w:rPr>
        <w:t>：</w:t>
      </w:r>
      <w:r>
        <w:rPr>
          <w:rFonts w:hint="eastAsia" w:ascii="宋体" w:hAnsi="宋体"/>
          <w:sz w:val="24"/>
          <w:lang w:val="en-US"/>
        </w:rPr>
        <w:t>采用“无线为主、有线备用”的双接入模式，无线局域网为专属网络，与互联网物理隔离，仅承担设备连接与数据传输功能。部署白名单+密码双重认证机制，仅允许专属设备接入，禁止其他设备接入网络，保障网络安全。</w:t>
      </w:r>
    </w:p>
    <w:p w14:paraId="60A26C6D">
      <w:pPr>
        <w:spacing w:line="360" w:lineRule="auto"/>
        <w:ind w:firstLine="480" w:firstLineChars="200"/>
        <w:rPr>
          <w:rFonts w:hint="eastAsia" w:ascii="宋体" w:hAnsi="宋体"/>
          <w:sz w:val="24"/>
          <w:lang w:val="en-US"/>
        </w:rPr>
      </w:pPr>
      <w:r>
        <w:rPr>
          <w:rFonts w:hint="eastAsia" w:ascii="宋体" w:hAnsi="宋体"/>
          <w:sz w:val="24"/>
          <w:lang w:val="en-US" w:eastAsia="zh-CN"/>
        </w:rPr>
        <w:t>4.2</w:t>
      </w:r>
      <w:r>
        <w:rPr>
          <w:rFonts w:hint="eastAsia" w:ascii="宋体" w:hAnsi="宋体"/>
          <w:sz w:val="24"/>
        </w:rPr>
        <w:t>数据安全</w:t>
      </w:r>
      <w:r>
        <w:rPr>
          <w:rFonts w:hint="eastAsia" w:ascii="宋体" w:hAnsi="宋体"/>
          <w:sz w:val="24"/>
          <w:lang w:eastAsia="zh-CN"/>
        </w:rPr>
        <w:t>：</w:t>
      </w:r>
      <w:r>
        <w:rPr>
          <w:rFonts w:hint="eastAsia" w:ascii="宋体" w:hAnsi="宋体"/>
          <w:sz w:val="24"/>
          <w:lang w:val="en-US"/>
        </w:rPr>
        <w:t>所有数据（录音、材料、记录等）均进行存储与传输，存储于内部专属服务器，无外网导出、传输通道，防止数据泄露。建立操作日志记录机制，所有设备接入、数据传输、内容修改等操作均有迹可循，实现数据全流程溯源，日志保存期限不少于3年。</w:t>
      </w:r>
    </w:p>
    <w:p w14:paraId="522367EA">
      <w:pPr>
        <w:spacing w:line="360" w:lineRule="auto"/>
        <w:ind w:firstLine="480" w:firstLineChars="200"/>
        <w:rPr>
          <w:rFonts w:hint="eastAsia" w:ascii="宋体" w:hAnsi="宋体"/>
          <w:sz w:val="24"/>
          <w:lang w:val="en-US"/>
        </w:rPr>
      </w:pPr>
      <w:r>
        <w:rPr>
          <w:rFonts w:hint="eastAsia" w:ascii="宋体" w:hAnsi="宋体"/>
          <w:sz w:val="24"/>
          <w:lang w:val="en-US" w:eastAsia="zh-CN"/>
        </w:rPr>
        <w:t>四、</w:t>
      </w:r>
      <w:r>
        <w:rPr>
          <w:rFonts w:hint="eastAsia" w:ascii="宋体" w:hAnsi="宋体"/>
          <w:sz w:val="24"/>
          <w:lang w:val="en-US"/>
        </w:rPr>
        <w:t>施工与交付要求</w:t>
      </w:r>
    </w:p>
    <w:p w14:paraId="055FE2A6">
      <w:pPr>
        <w:spacing w:line="360" w:lineRule="auto"/>
        <w:ind w:firstLine="480" w:firstLineChars="200"/>
        <w:rPr>
          <w:rFonts w:hint="eastAsia" w:ascii="宋体" w:hAnsi="宋体"/>
          <w:sz w:val="24"/>
          <w:lang w:val="en-US"/>
        </w:rPr>
      </w:pPr>
      <w:r>
        <w:rPr>
          <w:rFonts w:hint="eastAsia" w:ascii="宋体" w:hAnsi="宋体"/>
          <w:sz w:val="24"/>
          <w:lang w:val="en-US" w:eastAsia="zh-CN"/>
        </w:rPr>
        <w:t>1.</w:t>
      </w:r>
      <w:r>
        <w:rPr>
          <w:rFonts w:hint="eastAsia" w:ascii="宋体" w:hAnsi="宋体"/>
          <w:sz w:val="24"/>
        </w:rPr>
        <w:t>施工要求</w:t>
      </w:r>
      <w:r>
        <w:rPr>
          <w:rFonts w:hint="eastAsia" w:ascii="宋体" w:hAnsi="宋体"/>
          <w:sz w:val="24"/>
          <w:lang w:eastAsia="zh-CN"/>
        </w:rPr>
        <w:t>：</w:t>
      </w:r>
      <w:r>
        <w:rPr>
          <w:rFonts w:hint="eastAsia" w:ascii="宋体" w:hAnsi="宋体"/>
          <w:sz w:val="24"/>
          <w:lang w:val="en-US"/>
        </w:rPr>
        <w:t>施工需选择非工作时间进行，减少对日常工作的影响，施工前制定详细的施工方案与应急预案。施工过程中做好现场防护，保护原有建筑结构与装修，避免损坏；布线采用隐藏式设计，通过墙面开槽、踢脚线走线等方式实现，保证空间整洁美观。施工后清理现场，无施工残留，所有设备部署到位，线路连接规范，经调试合格后交付使用。</w:t>
      </w:r>
    </w:p>
    <w:p w14:paraId="51D5FEBE">
      <w:pPr>
        <w:spacing w:line="360" w:lineRule="auto"/>
        <w:ind w:firstLine="480" w:firstLineChars="200"/>
        <w:rPr>
          <w:rFonts w:hint="eastAsia" w:ascii="宋体" w:hAnsi="宋体"/>
          <w:sz w:val="24"/>
          <w:lang w:val="en-US"/>
        </w:rPr>
      </w:pPr>
      <w:r>
        <w:rPr>
          <w:rFonts w:hint="eastAsia" w:ascii="宋体" w:hAnsi="宋体"/>
          <w:sz w:val="24"/>
          <w:lang w:val="en-US" w:eastAsia="zh-CN"/>
        </w:rPr>
        <w:t>2.</w:t>
      </w:r>
      <w:r>
        <w:rPr>
          <w:rFonts w:hint="eastAsia" w:ascii="宋体" w:hAnsi="宋体"/>
          <w:sz w:val="24"/>
        </w:rPr>
        <w:t>文档交付要求</w:t>
      </w:r>
      <w:r>
        <w:rPr>
          <w:rFonts w:hint="eastAsia" w:ascii="宋体" w:hAnsi="宋体"/>
          <w:sz w:val="24"/>
          <w:lang w:eastAsia="zh-CN"/>
        </w:rPr>
        <w:t>：</w:t>
      </w:r>
      <w:r>
        <w:rPr>
          <w:rFonts w:hint="eastAsia" w:ascii="宋体" w:hAnsi="宋体"/>
          <w:sz w:val="24"/>
          <w:lang w:val="en-US"/>
        </w:rPr>
        <w:t>项目实施过程中，提供空间布局设计图、设备部署图、网络布线图、设备采购清单等资料。项目验收后，提供完整的设备保修文件、硬件维护手册、安全管理手册，并提供设备故障应急处理方案。所有交付文档均为纸质版加加密电子版各一套，纸质版由专人保管，电子版仅存储于专属服务器。</w:t>
      </w:r>
    </w:p>
    <w:p w14:paraId="6390ED30">
      <w:pPr>
        <w:spacing w:line="360" w:lineRule="auto"/>
        <w:ind w:firstLine="480" w:firstLineChars="200"/>
        <w:rPr>
          <w:rFonts w:hint="eastAsia" w:ascii="宋体" w:hAnsi="宋体"/>
          <w:sz w:val="24"/>
        </w:rPr>
      </w:pPr>
      <w:r>
        <w:rPr>
          <w:rFonts w:hint="eastAsia" w:ascii="宋体" w:hAnsi="宋体"/>
          <w:sz w:val="24"/>
          <w:lang w:val="en-US" w:eastAsia="zh-CN"/>
        </w:rPr>
        <w:t>3.</w:t>
      </w:r>
      <w:r>
        <w:rPr>
          <w:rFonts w:hint="eastAsia" w:ascii="宋体" w:hAnsi="宋体"/>
          <w:sz w:val="24"/>
        </w:rPr>
        <w:t>后期维护要求</w:t>
      </w:r>
      <w:r>
        <w:rPr>
          <w:rFonts w:hint="eastAsia" w:ascii="宋体" w:hAnsi="宋体"/>
          <w:sz w:val="24"/>
          <w:lang w:eastAsia="zh-CN"/>
        </w:rPr>
        <w:t>：</w:t>
      </w:r>
      <w:r>
        <w:rPr>
          <w:rFonts w:hint="eastAsia" w:ascii="宋体" w:hAnsi="宋体"/>
          <w:sz w:val="24"/>
          <w:lang w:val="en-US"/>
        </w:rPr>
        <w:t>提供不少于3年的免费硬件维护服务，建立故障响应机制，故障报修后1小时内响应，现场处理不超过24小时。定期对设备、网络进行维护与检测，每季度进行一次全面调试，确保设备与网络始终处于最佳运行状态。</w:t>
      </w:r>
    </w:p>
    <w:p w14:paraId="4C2D7A8A">
      <w:pPr>
        <w:spacing w:line="360" w:lineRule="auto"/>
        <w:ind w:firstLine="480" w:firstLineChars="200"/>
        <w:rPr>
          <w:rFonts w:hint="default" w:ascii="宋体" w:hAnsi="宋体"/>
          <w:sz w:val="24"/>
          <w:highlight w:val="yellow"/>
          <w:lang w:val="en-US" w:eastAsia="zh-CN"/>
        </w:rPr>
      </w:pPr>
      <w:r>
        <w:rPr>
          <w:rFonts w:hint="eastAsia" w:ascii="宋体" w:hAnsi="宋体"/>
          <w:sz w:val="24"/>
          <w:highlight w:val="none"/>
          <w:lang w:val="en-US" w:eastAsia="zh-CN"/>
        </w:rPr>
        <w:t>五</w:t>
      </w:r>
      <w:r>
        <w:rPr>
          <w:rFonts w:hint="eastAsia" w:ascii="宋体" w:hAnsi="宋体"/>
          <w:sz w:val="24"/>
          <w:highlight w:val="none"/>
        </w:rPr>
        <w:t>、</w:t>
      </w:r>
      <w:r>
        <w:rPr>
          <w:rFonts w:hint="eastAsia" w:ascii="宋体" w:hAnsi="宋体"/>
          <w:b/>
          <w:bCs/>
          <w:sz w:val="24"/>
          <w:highlight w:val="none"/>
        </w:rPr>
        <w:t>采购需求及技术要求</w:t>
      </w:r>
      <w:r>
        <w:rPr>
          <w:rFonts w:hint="eastAsia" w:ascii="宋体" w:hAnsi="宋体"/>
          <w:b/>
          <w:bCs/>
          <w:sz w:val="24"/>
          <w:highlight w:val="none"/>
          <w:lang w:eastAsia="zh-CN"/>
        </w:rPr>
        <w:t>：详见附件</w:t>
      </w:r>
      <w:r>
        <w:rPr>
          <w:rFonts w:hint="eastAsia" w:ascii="宋体" w:hAnsi="宋体"/>
          <w:b/>
          <w:bCs/>
          <w:sz w:val="24"/>
          <w:highlight w:val="none"/>
          <w:lang w:val="en-US" w:eastAsia="zh-CN"/>
        </w:rPr>
        <w:t>-</w:t>
      </w:r>
      <w:r>
        <w:rPr>
          <w:rFonts w:hint="eastAsia" w:ascii="宋体" w:hAnsi="宋体"/>
          <w:b/>
          <w:bCs/>
          <w:sz w:val="24"/>
          <w:highlight w:val="none"/>
          <w:lang w:eastAsia="zh-CN"/>
        </w:rPr>
        <w:t>呼和浩特海关三层会议室设备清单</w:t>
      </w:r>
    </w:p>
    <w:p w14:paraId="46349901">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b/>
          <w:bCs/>
          <w:sz w:val="24"/>
        </w:rPr>
      </w:pPr>
      <w:r>
        <w:rPr>
          <w:rFonts w:hint="eastAsia" w:ascii="宋体" w:hAnsi="宋体"/>
          <w:b/>
          <w:bCs/>
          <w:sz w:val="24"/>
        </w:rPr>
        <w:t>注：以上参数所涉及的品牌、型号、具有指向性的条款仅仅代表“相当于”，投标人所提供的产品满足或优于该参数即可。</w:t>
      </w:r>
    </w:p>
    <w:p w14:paraId="0E8AF7CE">
      <w:pPr>
        <w:rPr>
          <w:rFonts w:hint="eastAsia" w:ascii="宋体" w:hAnsi="宋体"/>
          <w:b/>
          <w:bCs/>
          <w:sz w:val="24"/>
        </w:rPr>
      </w:pPr>
      <w:r>
        <w:rPr>
          <w:rFonts w:hint="eastAsia" w:ascii="宋体" w:hAnsi="宋体"/>
          <w:b/>
          <w:bCs/>
          <w:sz w:val="24"/>
        </w:rPr>
        <w:br w:type="page"/>
      </w:r>
    </w:p>
    <w:p w14:paraId="6021ACD5">
      <w:pPr>
        <w:pStyle w:val="2"/>
        <w:bidi w:val="0"/>
        <w:jc w:val="center"/>
        <w:rPr>
          <w:rFonts w:hint="eastAsia"/>
        </w:rPr>
      </w:pPr>
      <w:bookmarkStart w:id="52" w:name="_Toc26156"/>
      <w:bookmarkStart w:id="53" w:name="_Toc19778"/>
      <w:r>
        <w:rPr>
          <w:rFonts w:hint="eastAsia"/>
        </w:rPr>
        <w:t>第四章  合同条款及合同格式</w:t>
      </w:r>
      <w:bookmarkEnd w:id="52"/>
      <w:bookmarkEnd w:id="53"/>
    </w:p>
    <w:p w14:paraId="590BA94E">
      <w:pPr>
        <w:spacing w:line="600" w:lineRule="exact"/>
        <w:jc w:val="center"/>
        <w:rPr>
          <w:b/>
          <w:sz w:val="28"/>
          <w:szCs w:val="28"/>
        </w:rPr>
      </w:pPr>
      <w:r>
        <w:rPr>
          <w:rFonts w:hint="eastAsia"/>
          <w:b/>
          <w:sz w:val="28"/>
          <w:szCs w:val="28"/>
        </w:rPr>
        <w:t>（具体以实际签订合同为准）</w:t>
      </w:r>
    </w:p>
    <w:p w14:paraId="593AF0E4">
      <w:pPr>
        <w:spacing w:line="500" w:lineRule="exact"/>
        <w:ind w:firstLine="562" w:firstLineChars="200"/>
        <w:jc w:val="center"/>
        <w:rPr>
          <w:rFonts w:ascii="宋体" w:hAnsi="宋体" w:cs="宋体"/>
          <w:b/>
          <w:bCs/>
          <w:color w:val="000000" w:themeColor="text1"/>
          <w:sz w:val="28"/>
          <w:szCs w:val="28"/>
          <w14:textFill>
            <w14:solidFill>
              <w14:schemeClr w14:val="tx1"/>
            </w14:solidFill>
          </w14:textFill>
        </w:rPr>
      </w:pPr>
      <w:bookmarkStart w:id="54" w:name="_Toc11589"/>
      <w:r>
        <w:rPr>
          <w:rFonts w:hint="eastAsia" w:ascii="宋体" w:hAnsi="宋体" w:cs="宋体"/>
          <w:b/>
          <w:bCs/>
          <w:color w:val="000000" w:themeColor="text1"/>
          <w:sz w:val="28"/>
          <w:szCs w:val="28"/>
          <w14:textFill>
            <w14:solidFill>
              <w14:schemeClr w14:val="tx1"/>
            </w14:solidFill>
          </w14:textFill>
        </w:rPr>
        <w:t>采购合同</w:t>
      </w:r>
    </w:p>
    <w:p w14:paraId="31DECC30">
      <w:pPr>
        <w:spacing w:line="500" w:lineRule="exact"/>
        <w:ind w:firstLine="562" w:firstLineChars="200"/>
        <w:jc w:val="center"/>
        <w:rPr>
          <w:rFonts w:ascii="宋体" w:hAnsi="宋体" w:cs="宋体"/>
          <w:b/>
          <w:bCs/>
          <w:color w:val="000000" w:themeColor="text1"/>
          <w:sz w:val="28"/>
          <w:szCs w:val="28"/>
          <w14:textFill>
            <w14:solidFill>
              <w14:schemeClr w14:val="tx1"/>
            </w14:solidFill>
          </w14:textFill>
        </w:rPr>
      </w:pPr>
      <w:r>
        <w:rPr>
          <w:rFonts w:hint="eastAsia" w:ascii="宋体" w:hAnsi="宋体" w:cs="宋体"/>
          <w:b/>
          <w:bCs/>
          <w:color w:val="000000" w:themeColor="text1"/>
          <w:sz w:val="28"/>
          <w:szCs w:val="28"/>
          <w14:textFill>
            <w14:solidFill>
              <w14:schemeClr w14:val="tx1"/>
            </w14:solidFill>
          </w14:textFill>
        </w:rPr>
        <w:t>（货物类合同参考文本）</w:t>
      </w:r>
    </w:p>
    <w:p w14:paraId="09FD80D5">
      <w:pPr>
        <w:spacing w:line="500" w:lineRule="exact"/>
        <w:ind w:firstLine="6325" w:firstLineChars="2625"/>
        <w:jc w:val="left"/>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合同编号：</w:t>
      </w:r>
    </w:p>
    <w:p w14:paraId="1BA92D49">
      <w:pPr>
        <w:spacing w:line="500" w:lineRule="exact"/>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甲方：***（填写采购单位名称）</w:t>
      </w:r>
    </w:p>
    <w:p w14:paraId="224FA4C3">
      <w:pPr>
        <w:spacing w:line="500" w:lineRule="exact"/>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地址：***（填写详细地址）</w:t>
      </w:r>
    </w:p>
    <w:p w14:paraId="6469F35E">
      <w:pPr>
        <w:spacing w:line="500" w:lineRule="exact"/>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乙方：***（填写中标、成交投标人名称）</w:t>
      </w:r>
    </w:p>
    <w:p w14:paraId="58A8AA0F">
      <w:pPr>
        <w:spacing w:line="500" w:lineRule="exact"/>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地址：***（填写详细地址）</w:t>
      </w:r>
    </w:p>
    <w:p w14:paraId="1E1B01B4">
      <w:pPr>
        <w:spacing w:line="500" w:lineRule="exact"/>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根据《中华人民共和国政府采购法》《中华人民共和国政府采购法实施条例》《中华人民共和国民法典》等相关法律法规、规范性文件以及</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项目（填写项目名称）</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_（填写政府采购项目编号）的中标（成交）结果、招标（磋商、谈判）文件或询价通知书、投标（响应）文件等文件的相关内容，甲乙双方经平等协商，就如下合同条款达成一致意见。</w:t>
      </w:r>
    </w:p>
    <w:p w14:paraId="1D18BB8E">
      <w:pPr>
        <w:spacing w:line="500" w:lineRule="exact"/>
        <w:ind w:firstLine="482" w:firstLineChars="200"/>
        <w:jc w:val="left"/>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一、甲方向乙方采购的货物基本情况</w:t>
      </w:r>
    </w:p>
    <w:p w14:paraId="25B0FCD5">
      <w:pPr>
        <w:spacing w:line="500" w:lineRule="exact"/>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（一）根据招标（磋商、谈判）文件或询价通知书及中标（成交）结果公告，甲方所采购的货物、服务（如有）基本情况如下：</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w:t>
      </w:r>
    </w:p>
    <w:p w14:paraId="7514F6D2">
      <w:pPr>
        <w:spacing w:line="500" w:lineRule="exact"/>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（二）货物名称、数量、规格型号、生产厂家、品牌、单价、与货物相关的服务等详细内容，见合同附件-货物清单。</w:t>
      </w:r>
    </w:p>
    <w:p w14:paraId="1AE90966">
      <w:pPr>
        <w:spacing w:line="500" w:lineRule="exact"/>
        <w:ind w:firstLine="482" w:firstLineChars="200"/>
        <w:jc w:val="left"/>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二、乙方交付货物的时间及地点</w:t>
      </w:r>
    </w:p>
    <w:p w14:paraId="50813492">
      <w:pPr>
        <w:spacing w:line="500" w:lineRule="exact"/>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（一）交付时间：</w:t>
      </w:r>
      <w:r>
        <w:rPr>
          <w:rFonts w:hint="eastAsia" w:ascii="宋体" w:hAnsi="宋体" w:cs="宋体"/>
          <w:color w:val="000000" w:themeColor="text1"/>
          <w:sz w:val="24"/>
          <w:u w:val="single"/>
          <w14:textFill>
            <w14:solidFill>
              <w14:schemeClr w14:val="tx1"/>
            </w14:solidFill>
          </w14:textFill>
        </w:rPr>
        <w:t xml:space="preserve">                        </w:t>
      </w:r>
    </w:p>
    <w:p w14:paraId="3345E134">
      <w:pPr>
        <w:spacing w:line="500" w:lineRule="exact"/>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（二）交付地点：</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（填写详细地址）</w:t>
      </w:r>
    </w:p>
    <w:p w14:paraId="107BD676">
      <w:pPr>
        <w:spacing w:line="500" w:lineRule="exact"/>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（三）交付货物的名称及数量：</w:t>
      </w:r>
      <w:r>
        <w:rPr>
          <w:rFonts w:hint="eastAsia" w:ascii="宋体" w:hAnsi="宋体" w:cs="宋体"/>
          <w:color w:val="000000" w:themeColor="text1"/>
          <w:sz w:val="24"/>
          <w:u w:val="single"/>
          <w14:textFill>
            <w14:solidFill>
              <w14:schemeClr w14:val="tx1"/>
            </w14:solidFill>
          </w14:textFill>
        </w:rPr>
        <w:t xml:space="preserve">         </w:t>
      </w:r>
    </w:p>
    <w:p w14:paraId="64C58214">
      <w:pPr>
        <w:spacing w:line="500" w:lineRule="exact"/>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（四）乙方交付货物代表及联系电话：</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（填写姓名和联系电话）</w:t>
      </w:r>
    </w:p>
    <w:p w14:paraId="5388B7C1">
      <w:pPr>
        <w:spacing w:line="500" w:lineRule="exact"/>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（五）甲方接收货物代表及联系电话：</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（填写姓名和联系电话）</w:t>
      </w:r>
    </w:p>
    <w:p w14:paraId="334CAF74">
      <w:pPr>
        <w:spacing w:line="500" w:lineRule="exact"/>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注：货物为多批次交付的，应详细列明每批次交付的内容、数量、交付时间、交付地点等。</w:t>
      </w:r>
    </w:p>
    <w:p w14:paraId="5F461558">
      <w:pPr>
        <w:spacing w:line="500" w:lineRule="exact"/>
        <w:ind w:firstLine="482" w:firstLineChars="200"/>
        <w:jc w:val="left"/>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三、乙方交付货物的质量</w:t>
      </w:r>
    </w:p>
    <w:p w14:paraId="1CC1A2EE">
      <w:pPr>
        <w:spacing w:line="500" w:lineRule="exact"/>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一）乙方交付的货物应同时满足：1.符合国家法律法规和规范性文件对货物的质量要求；2.符合甲方招标（磋商、谈判）文件或询价通知书对货物的质量要求；3.符合乙方在投标（响应）文件中或磋商、谈判过程中对货物质量作出的书面承诺、声明或保证。上述质量要求作为甲方对乙方货物质量的验收依据。</w:t>
      </w:r>
    </w:p>
    <w:p w14:paraId="76083220">
      <w:pPr>
        <w:spacing w:line="500" w:lineRule="exact"/>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（二）乙方应根据国家法律法规和规范性文件的规定、招标（磋商、谈判）文件或询价通知书的相关要求、投标（响应）文件及乙方承诺、声明或保证，向甲方提供相应的货物质量证明文件。</w:t>
      </w:r>
    </w:p>
    <w:p w14:paraId="6E098AB8">
      <w:pPr>
        <w:spacing w:line="500" w:lineRule="exact"/>
        <w:ind w:firstLine="482" w:firstLineChars="200"/>
        <w:jc w:val="left"/>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四、乙方交付货物的包装及标识</w:t>
      </w:r>
    </w:p>
    <w:p w14:paraId="665E86C9">
      <w:pPr>
        <w:spacing w:line="500" w:lineRule="exact"/>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一）乙方交付货物的包装和标识应同时满足：1.符合国家法律法规和规范性文件对产品包装及标识的要求；2.符合甲方招标（磋商、谈判）文件或询价通知书对货物包装及标识的要求；3.符合乙方在投标（响应）文件中对货物包装及标识作出的承诺、声明或保证；4.符合绿色环保、运输及安全性等要求。</w:t>
      </w:r>
    </w:p>
    <w:p w14:paraId="3D933A37">
      <w:pPr>
        <w:spacing w:line="500" w:lineRule="exact"/>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（二）货物的包装费用由乙方承担。</w:t>
      </w:r>
    </w:p>
    <w:p w14:paraId="3AC16FD0">
      <w:pPr>
        <w:spacing w:line="500" w:lineRule="exact"/>
        <w:ind w:firstLine="482" w:firstLineChars="200"/>
        <w:jc w:val="left"/>
        <w:rPr>
          <w:rFonts w:ascii="宋体" w:hAnsi="宋体" w:cs="宋体"/>
          <w:b/>
          <w:bCs/>
          <w:color w:val="000000" w:themeColor="text1"/>
          <w:sz w:val="24"/>
          <w14:textFill>
            <w14:solidFill>
              <w14:schemeClr w14:val="tx1"/>
            </w14:solidFill>
          </w14:textFill>
        </w:rPr>
      </w:pPr>
      <w:r>
        <w:rPr>
          <w:rFonts w:ascii="宋体" w:hAnsi="宋体" w:cs="宋体"/>
          <w:b/>
          <w:bCs/>
          <w:color w:val="000000" w:themeColor="text1"/>
          <w:sz w:val="24"/>
          <w14:textFill>
            <w14:solidFill>
              <w14:schemeClr w14:val="tx1"/>
            </w14:solidFill>
          </w14:textFill>
        </w:rPr>
        <w:t>五、货物的运输要求</w:t>
      </w:r>
    </w:p>
    <w:p w14:paraId="2AC079A5">
      <w:pPr>
        <w:spacing w:line="500" w:lineRule="exact"/>
        <w:ind w:firstLine="480" w:firstLineChars="200"/>
        <w:jc w:val="left"/>
        <w:rPr>
          <w:rFonts w:ascii="宋体" w:hAns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（一）运输方式及运输线路：</w:t>
      </w:r>
      <w:r>
        <w:rPr>
          <w:rFonts w:hint="eastAsia" w:ascii="宋体" w:hAnsi="宋体" w:cs="宋体"/>
          <w:color w:val="000000" w:themeColor="text1"/>
          <w:sz w:val="24"/>
          <w:u w:val="single"/>
          <w14:textFill>
            <w14:solidFill>
              <w14:schemeClr w14:val="tx1"/>
            </w14:solidFill>
          </w14:textFill>
        </w:rPr>
        <w:t xml:space="preserve">         </w:t>
      </w:r>
      <w:r>
        <w:rPr>
          <w:rFonts w:ascii="宋体" w:hAnsi="宋体" w:cs="宋体"/>
          <w:color w:val="000000" w:themeColor="text1"/>
          <w:sz w:val="24"/>
          <w14:textFill>
            <w14:solidFill>
              <w14:schemeClr w14:val="tx1"/>
            </w14:solidFill>
          </w14:textFill>
        </w:rPr>
        <w:t>。</w:t>
      </w:r>
    </w:p>
    <w:p w14:paraId="589D5381">
      <w:pPr>
        <w:spacing w:line="500" w:lineRule="exact"/>
        <w:ind w:firstLine="480" w:firstLineChars="200"/>
        <w:jc w:val="left"/>
        <w:rPr>
          <w:rFonts w:ascii="宋体" w:hAns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（二）运输、保险及其他相关费用由乙方承担。</w:t>
      </w:r>
    </w:p>
    <w:p w14:paraId="2ED42F8B">
      <w:pPr>
        <w:spacing w:line="500" w:lineRule="exact"/>
        <w:ind w:firstLine="482" w:firstLineChars="200"/>
        <w:jc w:val="left"/>
        <w:rPr>
          <w:rFonts w:ascii="宋体" w:hAnsi="宋体" w:cs="宋体"/>
          <w:b/>
          <w:bCs/>
          <w:color w:val="000000" w:themeColor="text1"/>
          <w:sz w:val="24"/>
          <w14:textFill>
            <w14:solidFill>
              <w14:schemeClr w14:val="tx1"/>
            </w14:solidFill>
          </w14:textFill>
        </w:rPr>
      </w:pPr>
      <w:r>
        <w:rPr>
          <w:rFonts w:ascii="宋体" w:hAnsi="宋体" w:cs="宋体"/>
          <w:b/>
          <w:bCs/>
          <w:color w:val="000000" w:themeColor="text1"/>
          <w:sz w:val="24"/>
          <w14:textFill>
            <w14:solidFill>
              <w14:schemeClr w14:val="tx1"/>
            </w14:solidFill>
          </w14:textFill>
        </w:rPr>
        <w:t>六、甲方对货物的验收</w:t>
      </w:r>
    </w:p>
    <w:p w14:paraId="1F495447">
      <w:pPr>
        <w:spacing w:line="500" w:lineRule="exact"/>
        <w:ind w:firstLine="480" w:firstLineChars="200"/>
        <w:jc w:val="left"/>
        <w:rPr>
          <w:rFonts w:ascii="宋体" w:hAns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（一）乙方将货物送达至甲方指定的地点，应及时通知甲方。在甲方收到到货通知并在货物到达指定地点后</w:t>
      </w:r>
      <w:r>
        <w:rPr>
          <w:rFonts w:hint="eastAsia" w:ascii="宋体" w:hAnsi="宋体" w:cs="宋体"/>
          <w:color w:val="000000" w:themeColor="text1"/>
          <w:sz w:val="24"/>
          <w:u w:val="single"/>
          <w14:textFill>
            <w14:solidFill>
              <w14:schemeClr w14:val="tx1"/>
            </w14:solidFill>
          </w14:textFill>
        </w:rPr>
        <w:t xml:space="preserve">         </w:t>
      </w:r>
      <w:r>
        <w:rPr>
          <w:rFonts w:ascii="宋体" w:hAnsi="宋体" w:cs="宋体"/>
          <w:color w:val="000000" w:themeColor="text1"/>
          <w:sz w:val="24"/>
          <w14:textFill>
            <w14:solidFill>
              <w14:schemeClr w14:val="tx1"/>
            </w14:solidFill>
          </w14:textFill>
        </w:rPr>
        <w:t>日内，由甲乙双方及第三方（如有）对货物的数量、规格型号、生产厂家、品牌、外观进行验收，在条件允许的情况下，可以同步对货物质量进行初步验收，甲乙双方应签署书面验收记录，作为本项目的履行文件留存。</w:t>
      </w:r>
    </w:p>
    <w:p w14:paraId="0B87228A">
      <w:pPr>
        <w:spacing w:line="500" w:lineRule="exact"/>
        <w:ind w:firstLine="480" w:firstLineChars="200"/>
        <w:jc w:val="left"/>
        <w:rPr>
          <w:rFonts w:ascii="宋体" w:hAns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（二）在甲方收到货物</w:t>
      </w:r>
      <w:r>
        <w:rPr>
          <w:rFonts w:hint="eastAsia" w:ascii="宋体" w:hAnsi="宋体" w:cs="宋体"/>
          <w:color w:val="000000" w:themeColor="text1"/>
          <w:sz w:val="24"/>
          <w:u w:val="single"/>
          <w14:textFill>
            <w14:solidFill>
              <w14:schemeClr w14:val="tx1"/>
            </w14:solidFill>
          </w14:textFill>
        </w:rPr>
        <w:t xml:space="preserve">         </w:t>
      </w:r>
      <w:r>
        <w:rPr>
          <w:rFonts w:ascii="宋体" w:hAnsi="宋体" w:cs="宋体"/>
          <w:color w:val="000000" w:themeColor="text1"/>
          <w:sz w:val="24"/>
          <w14:textFill>
            <w14:solidFill>
              <w14:schemeClr w14:val="tx1"/>
            </w14:solidFill>
          </w14:textFill>
        </w:rPr>
        <w:t>日内，如发现质量问题，甲方应在</w:t>
      </w:r>
      <w:r>
        <w:rPr>
          <w:rFonts w:hint="eastAsia" w:ascii="宋体" w:hAnsi="宋体" w:cs="宋体"/>
          <w:color w:val="000000" w:themeColor="text1"/>
          <w:sz w:val="24"/>
          <w:u w:val="single"/>
          <w14:textFill>
            <w14:solidFill>
              <w14:schemeClr w14:val="tx1"/>
            </w14:solidFill>
          </w14:textFill>
        </w:rPr>
        <w:t xml:space="preserve">         </w:t>
      </w:r>
      <w:r>
        <w:rPr>
          <w:rFonts w:ascii="宋体" w:hAnsi="宋体" w:cs="宋体"/>
          <w:color w:val="000000" w:themeColor="text1"/>
          <w:sz w:val="24"/>
          <w14:textFill>
            <w14:solidFill>
              <w14:schemeClr w14:val="tx1"/>
            </w14:solidFill>
          </w14:textFill>
        </w:rPr>
        <w:t>日内向乙方提出书面异议，甲方逾期提出 的，视为乙方所交付的货物质量符合合同的约定。乙方在收到甲方关于质量问题的书面异议后，应当在</w:t>
      </w:r>
      <w:r>
        <w:rPr>
          <w:rFonts w:hint="eastAsia" w:ascii="宋体" w:hAnsi="宋体" w:cs="宋体"/>
          <w:color w:val="000000" w:themeColor="text1"/>
          <w:sz w:val="24"/>
          <w:u w:val="single"/>
          <w14:textFill>
            <w14:solidFill>
              <w14:schemeClr w14:val="tx1"/>
            </w14:solidFill>
          </w14:textFill>
        </w:rPr>
        <w:t xml:space="preserve">         </w:t>
      </w:r>
      <w:r>
        <w:rPr>
          <w:rFonts w:ascii="宋体" w:hAnsi="宋体" w:cs="宋体"/>
          <w:color w:val="000000" w:themeColor="text1"/>
          <w:sz w:val="24"/>
          <w14:textFill>
            <w14:solidFill>
              <w14:schemeClr w14:val="tx1"/>
            </w14:solidFill>
          </w14:textFill>
        </w:rPr>
        <w:t>日内负责解决处理。</w:t>
      </w:r>
    </w:p>
    <w:p w14:paraId="4247C54B">
      <w:pPr>
        <w:spacing w:line="500" w:lineRule="exact"/>
        <w:ind w:firstLine="480" w:firstLineChars="200"/>
        <w:jc w:val="left"/>
        <w:rPr>
          <w:rFonts w:ascii="宋体" w:hAns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（三）乙方提交的货物数量、规格型号及质量不符合本合同要求的，甲方应在验收记录中作出明确记载，保留相关的证 据，并有权拒绝接受货物，解除合同且不承担任何法律责任。</w:t>
      </w:r>
    </w:p>
    <w:p w14:paraId="4477819D">
      <w:pPr>
        <w:spacing w:line="500" w:lineRule="exact"/>
        <w:ind w:firstLine="482" w:firstLineChars="200"/>
        <w:jc w:val="left"/>
        <w:rPr>
          <w:rFonts w:ascii="宋体" w:hAnsi="宋体" w:cs="宋体"/>
          <w:b/>
          <w:bCs/>
          <w:color w:val="000000" w:themeColor="text1"/>
          <w:sz w:val="24"/>
          <w14:textFill>
            <w14:solidFill>
              <w14:schemeClr w14:val="tx1"/>
            </w14:solidFill>
          </w14:textFill>
        </w:rPr>
      </w:pPr>
      <w:r>
        <w:rPr>
          <w:rFonts w:ascii="宋体" w:hAnsi="宋体" w:cs="宋体"/>
          <w:b/>
          <w:bCs/>
          <w:color w:val="000000" w:themeColor="text1"/>
          <w:sz w:val="24"/>
          <w14:textFill>
            <w14:solidFill>
              <w14:schemeClr w14:val="tx1"/>
            </w14:solidFill>
          </w14:textFill>
        </w:rPr>
        <w:t>七、合同金额</w:t>
      </w:r>
    </w:p>
    <w:p w14:paraId="14B16F43">
      <w:pPr>
        <w:spacing w:line="500" w:lineRule="exact"/>
        <w:ind w:firstLine="480" w:firstLineChars="200"/>
        <w:jc w:val="left"/>
        <w:rPr>
          <w:rFonts w:ascii="宋体" w:hAns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在乙方提供完全符合合同要求的货物的前提下，本合同总金额为</w:t>
      </w:r>
      <w:r>
        <w:rPr>
          <w:rFonts w:hint="eastAsia" w:ascii="宋体" w:hAnsi="宋体" w:cs="宋体"/>
          <w:color w:val="000000" w:themeColor="text1"/>
          <w:sz w:val="24"/>
          <w:u w:val="single"/>
          <w14:textFill>
            <w14:solidFill>
              <w14:schemeClr w14:val="tx1"/>
            </w14:solidFill>
          </w14:textFill>
        </w:rPr>
        <w:t xml:space="preserve">         </w:t>
      </w:r>
      <w:r>
        <w:rPr>
          <w:rFonts w:ascii="宋体" w:hAnsi="宋体" w:cs="宋体"/>
          <w:color w:val="000000" w:themeColor="text1"/>
          <w:sz w:val="24"/>
          <w14:textFill>
            <w14:solidFill>
              <w14:schemeClr w14:val="tx1"/>
            </w14:solidFill>
          </w14:textFill>
        </w:rPr>
        <w:t>元（小写）</w:t>
      </w:r>
      <w:r>
        <w:rPr>
          <w:rFonts w:hint="eastAsia" w:ascii="宋体" w:hAnsi="宋体" w:cs="宋体"/>
          <w:color w:val="000000" w:themeColor="text1"/>
          <w:sz w:val="24"/>
          <w:u w:val="single"/>
          <w14:textFill>
            <w14:solidFill>
              <w14:schemeClr w14:val="tx1"/>
            </w14:solidFill>
          </w14:textFill>
        </w:rPr>
        <w:t xml:space="preserve">         </w:t>
      </w:r>
      <w:r>
        <w:rPr>
          <w:rFonts w:ascii="宋体" w:hAnsi="宋体" w:cs="宋体"/>
          <w:color w:val="000000" w:themeColor="text1"/>
          <w:sz w:val="24"/>
          <w14:textFill>
            <w14:solidFill>
              <w14:schemeClr w14:val="tx1"/>
            </w14:solidFill>
          </w14:textFill>
        </w:rPr>
        <w:t>（大写）</w:t>
      </w:r>
    </w:p>
    <w:p w14:paraId="285DD688">
      <w:pPr>
        <w:spacing w:line="500" w:lineRule="exact"/>
        <w:ind w:firstLine="482" w:firstLineChars="200"/>
        <w:jc w:val="left"/>
        <w:rPr>
          <w:rFonts w:ascii="宋体" w:hAnsi="宋体" w:cs="宋体"/>
          <w:b/>
          <w:bCs/>
          <w:color w:val="000000" w:themeColor="text1"/>
          <w:sz w:val="24"/>
          <w14:textFill>
            <w14:solidFill>
              <w14:schemeClr w14:val="tx1"/>
            </w14:solidFill>
          </w14:textFill>
        </w:rPr>
      </w:pPr>
      <w:r>
        <w:rPr>
          <w:rFonts w:ascii="宋体" w:hAnsi="宋体" w:cs="宋体"/>
          <w:b/>
          <w:bCs/>
          <w:color w:val="000000" w:themeColor="text1"/>
          <w:sz w:val="24"/>
          <w14:textFill>
            <w14:solidFill>
              <w14:schemeClr w14:val="tx1"/>
            </w14:solidFill>
          </w14:textFill>
        </w:rPr>
        <w:t>八、付款时间、金额及条件</w:t>
      </w:r>
    </w:p>
    <w:p w14:paraId="2CEA7C17">
      <w:pPr>
        <w:spacing w:line="500" w:lineRule="exact"/>
        <w:ind w:firstLine="480" w:firstLineChars="200"/>
        <w:jc w:val="left"/>
        <w:rPr>
          <w:rFonts w:ascii="宋体" w:hAns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（一）付款时间及付款金额：</w:t>
      </w:r>
      <w:r>
        <w:rPr>
          <w:rFonts w:hint="eastAsia" w:ascii="宋体" w:hAnsi="宋体" w:cs="宋体"/>
          <w:color w:val="000000" w:themeColor="text1"/>
          <w:sz w:val="24"/>
          <w:u w:val="single"/>
          <w14:textFill>
            <w14:solidFill>
              <w14:schemeClr w14:val="tx1"/>
            </w14:solidFill>
          </w14:textFill>
        </w:rPr>
        <w:t xml:space="preserve">         </w:t>
      </w:r>
    </w:p>
    <w:p w14:paraId="70CA634A">
      <w:pPr>
        <w:spacing w:line="500" w:lineRule="exact"/>
        <w:ind w:firstLine="480" w:firstLineChars="200"/>
        <w:jc w:val="left"/>
        <w:rPr>
          <w:rFonts w:ascii="宋体" w:hAns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（二）付款条件：</w:t>
      </w:r>
      <w:r>
        <w:rPr>
          <w:rFonts w:hint="eastAsia" w:ascii="宋体" w:hAnsi="宋体" w:cs="宋体"/>
          <w:color w:val="000000" w:themeColor="text1"/>
          <w:sz w:val="24"/>
          <w:u w:val="single"/>
          <w14:textFill>
            <w14:solidFill>
              <w14:schemeClr w14:val="tx1"/>
            </w14:solidFill>
          </w14:textFill>
        </w:rPr>
        <w:t xml:space="preserve">         </w:t>
      </w:r>
    </w:p>
    <w:p w14:paraId="40953BD6">
      <w:pPr>
        <w:spacing w:line="500" w:lineRule="exact"/>
        <w:ind w:firstLine="480" w:firstLineChars="200"/>
        <w:jc w:val="left"/>
        <w:rPr>
          <w:rFonts w:ascii="宋体" w:hAns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（三）乙方账户信息</w:t>
      </w:r>
    </w:p>
    <w:p w14:paraId="52D1C009">
      <w:pPr>
        <w:spacing w:line="500" w:lineRule="exact"/>
        <w:ind w:firstLine="480" w:firstLineChars="200"/>
        <w:jc w:val="left"/>
        <w:rPr>
          <w:rFonts w:ascii="宋体" w:hAns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乙方名称：</w:t>
      </w:r>
      <w:r>
        <w:rPr>
          <w:rFonts w:hint="eastAsia" w:ascii="宋体" w:hAnsi="宋体" w:cs="宋体"/>
          <w:color w:val="000000" w:themeColor="text1"/>
          <w:sz w:val="24"/>
          <w:u w:val="single"/>
          <w14:textFill>
            <w14:solidFill>
              <w14:schemeClr w14:val="tx1"/>
            </w14:solidFill>
          </w14:textFill>
        </w:rPr>
        <w:t xml:space="preserve">         </w:t>
      </w:r>
    </w:p>
    <w:p w14:paraId="2FF4DB5A">
      <w:pPr>
        <w:spacing w:line="500" w:lineRule="exact"/>
        <w:ind w:firstLine="480" w:firstLineChars="200"/>
        <w:jc w:val="left"/>
        <w:rPr>
          <w:rFonts w:ascii="宋体" w:hAns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开户银行：</w:t>
      </w:r>
      <w:r>
        <w:rPr>
          <w:rFonts w:hint="eastAsia" w:ascii="宋体" w:hAnsi="宋体" w:cs="宋体"/>
          <w:color w:val="000000" w:themeColor="text1"/>
          <w:sz w:val="24"/>
          <w:u w:val="single"/>
          <w14:textFill>
            <w14:solidFill>
              <w14:schemeClr w14:val="tx1"/>
            </w14:solidFill>
          </w14:textFill>
        </w:rPr>
        <w:t xml:space="preserve">         </w:t>
      </w:r>
    </w:p>
    <w:p w14:paraId="06CF144D">
      <w:pPr>
        <w:spacing w:line="500" w:lineRule="exact"/>
        <w:ind w:firstLine="480" w:firstLineChars="200"/>
        <w:jc w:val="left"/>
        <w:rPr>
          <w:rFonts w:ascii="宋体" w:hAns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银行账号：</w:t>
      </w:r>
      <w:r>
        <w:rPr>
          <w:rFonts w:hint="eastAsia" w:ascii="宋体" w:hAnsi="宋体" w:cs="宋体"/>
          <w:color w:val="000000" w:themeColor="text1"/>
          <w:sz w:val="24"/>
          <w:u w:val="single"/>
          <w14:textFill>
            <w14:solidFill>
              <w14:schemeClr w14:val="tx1"/>
            </w14:solidFill>
          </w14:textFill>
        </w:rPr>
        <w:t xml:space="preserve">         </w:t>
      </w:r>
    </w:p>
    <w:p w14:paraId="3B290327">
      <w:pPr>
        <w:spacing w:line="500" w:lineRule="exact"/>
        <w:ind w:firstLine="482" w:firstLineChars="200"/>
        <w:jc w:val="left"/>
        <w:rPr>
          <w:rFonts w:ascii="宋体" w:hAnsi="宋体" w:cs="宋体"/>
          <w:b/>
          <w:bCs/>
          <w:color w:val="000000" w:themeColor="text1"/>
          <w:sz w:val="24"/>
          <w14:textFill>
            <w14:solidFill>
              <w14:schemeClr w14:val="tx1"/>
            </w14:solidFill>
          </w14:textFill>
        </w:rPr>
      </w:pPr>
      <w:r>
        <w:rPr>
          <w:rFonts w:ascii="宋体" w:hAnsi="宋体" w:cs="宋体"/>
          <w:b/>
          <w:bCs/>
          <w:color w:val="000000" w:themeColor="text1"/>
          <w:sz w:val="24"/>
          <w14:textFill>
            <w14:solidFill>
              <w14:schemeClr w14:val="tx1"/>
            </w14:solidFill>
          </w14:textFill>
        </w:rPr>
        <w:t>九、货物质量保证及售后服务</w:t>
      </w:r>
    </w:p>
    <w:p w14:paraId="2976EBB7">
      <w:pPr>
        <w:spacing w:line="500" w:lineRule="exact"/>
        <w:ind w:firstLine="480" w:firstLineChars="200"/>
        <w:jc w:val="left"/>
        <w:rPr>
          <w:rFonts w:ascii="宋体" w:hAns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招标（磋商、谈判）文件或询价通知书对货物质量保证期及售后服务作出明确要求的，适用招标（磋商、谈判）文件或询价通知书对保证期和售后服务的规定，如乙方在投标（响应）文件及磋商、谈判过程中对货物质量保证期和售后服务作出更优 的承诺、声明或保证的，适用乙方的承诺、声明或保证。</w:t>
      </w:r>
    </w:p>
    <w:p w14:paraId="313CFC3D">
      <w:pPr>
        <w:spacing w:line="500" w:lineRule="exact"/>
        <w:ind w:firstLine="482" w:firstLineChars="200"/>
        <w:jc w:val="left"/>
        <w:rPr>
          <w:rFonts w:ascii="宋体" w:hAnsi="宋体" w:cs="宋体"/>
          <w:b/>
          <w:bCs/>
          <w:color w:val="000000" w:themeColor="text1"/>
          <w:sz w:val="24"/>
          <w14:textFill>
            <w14:solidFill>
              <w14:schemeClr w14:val="tx1"/>
            </w14:solidFill>
          </w14:textFill>
        </w:rPr>
      </w:pPr>
      <w:r>
        <w:rPr>
          <w:rFonts w:ascii="宋体" w:hAnsi="宋体" w:cs="宋体"/>
          <w:b/>
          <w:bCs/>
          <w:color w:val="000000" w:themeColor="text1"/>
          <w:sz w:val="24"/>
          <w14:textFill>
            <w14:solidFill>
              <w14:schemeClr w14:val="tx1"/>
            </w14:solidFill>
          </w14:textFill>
        </w:rPr>
        <w:t>十、知识产权</w:t>
      </w:r>
    </w:p>
    <w:p w14:paraId="48E72216">
      <w:pPr>
        <w:spacing w:line="500" w:lineRule="exact"/>
        <w:ind w:firstLine="480" w:firstLineChars="200"/>
        <w:jc w:val="left"/>
        <w:rPr>
          <w:rFonts w:ascii="宋体" w:hAnsi="宋体" w:cs="宋体"/>
          <w:b/>
          <w:bCs/>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乙方保证其提供的货物的全部及部分，均不存在任何侵犯第三方知识产权的情形。否则，乙方应向甲方承担违约责任及赔偿由此给甲方造成的名誉及经济损失。</w:t>
      </w:r>
    </w:p>
    <w:p w14:paraId="36118677">
      <w:pPr>
        <w:spacing w:line="500" w:lineRule="exact"/>
        <w:ind w:firstLine="482" w:firstLineChars="200"/>
        <w:jc w:val="left"/>
        <w:rPr>
          <w:rFonts w:ascii="宋体" w:hAnsi="宋体" w:cs="宋体"/>
          <w:b/>
          <w:bCs/>
          <w:color w:val="000000" w:themeColor="text1"/>
          <w:sz w:val="24"/>
          <w14:textFill>
            <w14:solidFill>
              <w14:schemeClr w14:val="tx1"/>
            </w14:solidFill>
          </w14:textFill>
        </w:rPr>
      </w:pPr>
      <w:r>
        <w:rPr>
          <w:rFonts w:ascii="宋体" w:hAnsi="宋体" w:cs="宋体"/>
          <w:b/>
          <w:bCs/>
          <w:color w:val="000000" w:themeColor="text1"/>
          <w:sz w:val="24"/>
          <w14:textFill>
            <w14:solidFill>
              <w14:schemeClr w14:val="tx1"/>
            </w14:solidFill>
          </w14:textFill>
        </w:rPr>
        <w:t>十一、违约条款</w:t>
      </w:r>
    </w:p>
    <w:p w14:paraId="45EF6199">
      <w:pPr>
        <w:spacing w:line="500" w:lineRule="exact"/>
        <w:ind w:firstLine="480" w:firstLineChars="200"/>
        <w:jc w:val="left"/>
        <w:rPr>
          <w:rFonts w:ascii="宋体" w:hAns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（一）甲方没有正当理由逾期支付合同款项的，每延期一日，甲方应按照逾期支付金额</w:t>
      </w:r>
      <w:r>
        <w:rPr>
          <w:rFonts w:hint="eastAsia" w:ascii="宋体" w:hAnsi="宋体" w:cs="宋体"/>
          <w:color w:val="000000" w:themeColor="text1"/>
          <w:sz w:val="24"/>
          <w:u w:val="single"/>
          <w14:textFill>
            <w14:solidFill>
              <w14:schemeClr w14:val="tx1"/>
            </w14:solidFill>
          </w14:textFill>
        </w:rPr>
        <w:t xml:space="preserve">         </w:t>
      </w:r>
      <w:r>
        <w:rPr>
          <w:rFonts w:ascii="宋体" w:hAnsi="宋体" w:cs="宋体"/>
          <w:color w:val="000000" w:themeColor="text1"/>
          <w:sz w:val="24"/>
          <w14:textFill>
            <w14:solidFill>
              <w14:schemeClr w14:val="tx1"/>
            </w14:solidFill>
          </w14:textFill>
        </w:rPr>
        <w:t>的</w:t>
      </w:r>
      <w:r>
        <w:rPr>
          <w:rFonts w:hint="eastAsia" w:ascii="宋体" w:hAnsi="宋体" w:cs="宋体"/>
          <w:color w:val="000000" w:themeColor="text1"/>
          <w:sz w:val="24"/>
          <w:u w:val="single"/>
          <w14:textFill>
            <w14:solidFill>
              <w14:schemeClr w14:val="tx1"/>
            </w14:solidFill>
          </w14:textFill>
        </w:rPr>
        <w:t xml:space="preserve">         </w:t>
      </w:r>
      <w:r>
        <w:rPr>
          <w:rFonts w:ascii="宋体" w:hAnsi="宋体" w:cs="宋体"/>
          <w:color w:val="000000" w:themeColor="text1"/>
          <w:sz w:val="24"/>
          <w14:textFill>
            <w14:solidFill>
              <w14:schemeClr w14:val="tx1"/>
            </w14:solidFill>
          </w14:textFill>
        </w:rPr>
        <w:t>承担违 约责任。延期达到</w:t>
      </w:r>
      <w:r>
        <w:rPr>
          <w:rFonts w:hint="eastAsia" w:ascii="宋体" w:hAnsi="宋体" w:cs="宋体"/>
          <w:color w:val="000000" w:themeColor="text1"/>
          <w:sz w:val="24"/>
          <w:u w:val="single"/>
          <w14:textFill>
            <w14:solidFill>
              <w14:schemeClr w14:val="tx1"/>
            </w14:solidFill>
          </w14:textFill>
        </w:rPr>
        <w:t xml:space="preserve">         </w:t>
      </w:r>
      <w:r>
        <w:rPr>
          <w:rFonts w:ascii="宋体" w:hAnsi="宋体" w:cs="宋体"/>
          <w:color w:val="000000" w:themeColor="text1"/>
          <w:sz w:val="24"/>
          <w14:textFill>
            <w14:solidFill>
              <w14:schemeClr w14:val="tx1"/>
            </w14:solidFill>
          </w14:textFill>
        </w:rPr>
        <w:t>日，乙方有权解除合同，并要求甲方赔偿由此造成的经济损失。</w:t>
      </w:r>
    </w:p>
    <w:p w14:paraId="76C6A681">
      <w:pPr>
        <w:spacing w:line="500" w:lineRule="exact"/>
        <w:ind w:firstLine="480" w:firstLineChars="200"/>
        <w:jc w:val="left"/>
        <w:rPr>
          <w:rFonts w:ascii="宋体" w:hAns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（二）甲方存在其他违反本合同的行为，应承担相应的违约责任（注：可以根据情况进行细化）；违约金不足以赔偿乙方 损失的，乙方有权要求甲方赔偿由此造成的经济损失。</w:t>
      </w:r>
    </w:p>
    <w:p w14:paraId="1B75046A">
      <w:pPr>
        <w:spacing w:line="500" w:lineRule="exact"/>
        <w:ind w:firstLine="480" w:firstLineChars="200"/>
        <w:jc w:val="left"/>
        <w:rPr>
          <w:rFonts w:ascii="宋体" w:hAns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（三）乙方逾期交付货物的，每延期一日，乙方应按照合同总金额的</w:t>
      </w:r>
      <w:r>
        <w:rPr>
          <w:rFonts w:hint="eastAsia" w:ascii="宋体" w:hAnsi="宋体" w:cs="宋体"/>
          <w:color w:val="000000" w:themeColor="text1"/>
          <w:sz w:val="24"/>
          <w:u w:val="single"/>
          <w14:textFill>
            <w14:solidFill>
              <w14:schemeClr w14:val="tx1"/>
            </w14:solidFill>
          </w14:textFill>
        </w:rPr>
        <w:t xml:space="preserve">         </w:t>
      </w:r>
      <w:r>
        <w:rPr>
          <w:rFonts w:ascii="宋体" w:hAnsi="宋体" w:cs="宋体"/>
          <w:color w:val="000000" w:themeColor="text1"/>
          <w:sz w:val="24"/>
          <w14:textFill>
            <w14:solidFill>
              <w14:schemeClr w14:val="tx1"/>
            </w14:solidFill>
          </w14:textFill>
        </w:rPr>
        <w:t>承担违约责任。延期达到</w:t>
      </w:r>
      <w:r>
        <w:rPr>
          <w:rFonts w:hint="eastAsia" w:ascii="宋体" w:hAnsi="宋体" w:cs="宋体"/>
          <w:color w:val="000000" w:themeColor="text1"/>
          <w:sz w:val="24"/>
          <w:u w:val="single"/>
          <w14:textFill>
            <w14:solidFill>
              <w14:schemeClr w14:val="tx1"/>
            </w14:solidFill>
          </w14:textFill>
        </w:rPr>
        <w:t xml:space="preserve">         </w:t>
      </w:r>
      <w:r>
        <w:rPr>
          <w:rFonts w:ascii="宋体" w:hAnsi="宋体" w:cs="宋体"/>
          <w:color w:val="000000" w:themeColor="text1"/>
          <w:sz w:val="24"/>
          <w14:textFill>
            <w14:solidFill>
              <w14:schemeClr w14:val="tx1"/>
            </w14:solidFill>
          </w14:textFill>
        </w:rPr>
        <w:t>日， 甲方有权解除合同，拒付延期部分货物的相应货款，并要求乙方赔偿甲方的经济损失。</w:t>
      </w:r>
    </w:p>
    <w:p w14:paraId="67EED9A9">
      <w:pPr>
        <w:spacing w:line="500" w:lineRule="exact"/>
        <w:ind w:firstLine="480" w:firstLineChars="200"/>
        <w:jc w:val="left"/>
        <w:rPr>
          <w:rFonts w:ascii="宋体" w:hAns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（四）乙方交付的货物不符合质量约定或乙方未履行相应的质量保证责任及售后服务义务、或存在侵权行为的，甲方有权退货，并要求乙方支付合同总金额</w:t>
      </w:r>
      <w:r>
        <w:rPr>
          <w:rFonts w:hint="eastAsia" w:ascii="宋体" w:hAnsi="宋体" w:cs="宋体"/>
          <w:color w:val="000000" w:themeColor="text1"/>
          <w:sz w:val="24"/>
          <w:u w:val="single"/>
          <w14:textFill>
            <w14:solidFill>
              <w14:schemeClr w14:val="tx1"/>
            </w14:solidFill>
          </w14:textFill>
        </w:rPr>
        <w:t xml:space="preserve">         </w:t>
      </w:r>
      <w:r>
        <w:rPr>
          <w:rFonts w:ascii="宋体" w:hAnsi="宋体" w:cs="宋体"/>
          <w:color w:val="000000" w:themeColor="text1"/>
          <w:sz w:val="24"/>
          <w14:textFill>
            <w14:solidFill>
              <w14:schemeClr w14:val="tx1"/>
            </w14:solidFill>
          </w14:textFill>
        </w:rPr>
        <w:t>%的违约金，违约金不足以赔偿甲方损失的，甲方有权要求乙方赔偿经济损失。</w:t>
      </w:r>
    </w:p>
    <w:p w14:paraId="3B193E04">
      <w:pPr>
        <w:spacing w:line="500" w:lineRule="exact"/>
        <w:ind w:firstLine="480" w:firstLineChars="200"/>
        <w:jc w:val="left"/>
        <w:rPr>
          <w:rFonts w:ascii="宋体" w:hAns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（五）乙方在参与本项目采购活动过程中，如存在提供虚假承诺、证明、串通投标等违法违规行为，除承担相应的行政责 任外，甲方有权解除合同，并要求乙方承担合同总金额</w:t>
      </w:r>
      <w:r>
        <w:rPr>
          <w:rFonts w:hint="eastAsia" w:ascii="宋体" w:hAnsi="宋体" w:cs="宋体"/>
          <w:color w:val="000000" w:themeColor="text1"/>
          <w:sz w:val="24"/>
          <w:u w:val="single"/>
          <w14:textFill>
            <w14:solidFill>
              <w14:schemeClr w14:val="tx1"/>
            </w14:solidFill>
          </w14:textFill>
        </w:rPr>
        <w:t xml:space="preserve">         </w:t>
      </w:r>
      <w:r>
        <w:rPr>
          <w:rFonts w:ascii="宋体" w:hAnsi="宋体" w:cs="宋体"/>
          <w:color w:val="000000" w:themeColor="text1"/>
          <w:sz w:val="24"/>
          <w14:textFill>
            <w14:solidFill>
              <w14:schemeClr w14:val="tx1"/>
            </w14:solidFill>
          </w14:textFill>
        </w:rPr>
        <w:t>%的违约金，违约金不足以赔偿甲方损失的，甲方有权要求乙方赔偿经济损失。</w:t>
      </w:r>
    </w:p>
    <w:p w14:paraId="359FB176">
      <w:pPr>
        <w:spacing w:line="500" w:lineRule="exact"/>
        <w:ind w:firstLine="480" w:firstLineChars="200"/>
        <w:jc w:val="left"/>
        <w:rPr>
          <w:rFonts w:ascii="宋体" w:hAns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（六）乙方存在其他违反本合同的行为，应承担相应的违约责任（注：可以根据情况进行细化）；违约金不足以赔偿甲方损失的，甲方有权要求乙方赔偿经济损失。</w:t>
      </w:r>
    </w:p>
    <w:p w14:paraId="1B393103">
      <w:pPr>
        <w:spacing w:line="500" w:lineRule="exact"/>
        <w:ind w:firstLine="482" w:firstLineChars="200"/>
        <w:jc w:val="left"/>
        <w:rPr>
          <w:rFonts w:ascii="宋体" w:hAnsi="宋体" w:cs="宋体"/>
          <w:b/>
          <w:bCs/>
          <w:color w:val="000000" w:themeColor="text1"/>
          <w:sz w:val="24"/>
          <w14:textFill>
            <w14:solidFill>
              <w14:schemeClr w14:val="tx1"/>
            </w14:solidFill>
          </w14:textFill>
        </w:rPr>
      </w:pPr>
      <w:r>
        <w:rPr>
          <w:rFonts w:ascii="宋体" w:hAnsi="宋体" w:cs="宋体"/>
          <w:b/>
          <w:bCs/>
          <w:color w:val="000000" w:themeColor="text1"/>
          <w:sz w:val="24"/>
          <w14:textFill>
            <w14:solidFill>
              <w14:schemeClr w14:val="tx1"/>
            </w14:solidFill>
          </w14:textFill>
        </w:rPr>
        <w:t>十二、不可抗力</w:t>
      </w:r>
    </w:p>
    <w:p w14:paraId="6761ADC0">
      <w:pPr>
        <w:spacing w:line="500" w:lineRule="exact"/>
        <w:ind w:firstLine="480" w:firstLineChars="200"/>
        <w:jc w:val="left"/>
        <w:rPr>
          <w:rFonts w:ascii="宋体" w:hAns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因不可抗力致使一方不能及时或完全履行合同的，应及时通知另一方，双方互不承担责任，并在</w:t>
      </w:r>
      <w:r>
        <w:rPr>
          <w:rFonts w:hint="eastAsia" w:ascii="宋体" w:hAnsi="宋体" w:cs="宋体"/>
          <w:color w:val="000000" w:themeColor="text1"/>
          <w:sz w:val="24"/>
          <w:u w:val="single"/>
          <w14:textFill>
            <w14:solidFill>
              <w14:schemeClr w14:val="tx1"/>
            </w14:solidFill>
          </w14:textFill>
        </w:rPr>
        <w:t xml:space="preserve">         </w:t>
      </w:r>
      <w:r>
        <w:rPr>
          <w:rFonts w:ascii="宋体" w:hAnsi="宋体" w:cs="宋体"/>
          <w:color w:val="000000" w:themeColor="text1"/>
          <w:sz w:val="24"/>
          <w14:textFill>
            <w14:solidFill>
              <w14:schemeClr w14:val="tx1"/>
            </w14:solidFill>
          </w14:textFill>
        </w:rPr>
        <w:t>天内提供有关 不可抗力的相关证明。合同未履行部分是否继续履行、如何履行等问题，双方协商解决。</w:t>
      </w:r>
    </w:p>
    <w:p w14:paraId="3E10E56F">
      <w:pPr>
        <w:spacing w:line="500" w:lineRule="exact"/>
        <w:ind w:firstLine="482" w:firstLineChars="200"/>
        <w:jc w:val="left"/>
        <w:rPr>
          <w:rFonts w:ascii="宋体" w:hAnsi="宋体" w:cs="宋体"/>
          <w:b/>
          <w:bCs/>
          <w:color w:val="000000" w:themeColor="text1"/>
          <w:sz w:val="24"/>
          <w14:textFill>
            <w14:solidFill>
              <w14:schemeClr w14:val="tx1"/>
            </w14:solidFill>
          </w14:textFill>
        </w:rPr>
      </w:pPr>
      <w:r>
        <w:rPr>
          <w:rFonts w:ascii="宋体" w:hAnsi="宋体" w:cs="宋体"/>
          <w:b/>
          <w:bCs/>
          <w:color w:val="000000" w:themeColor="text1"/>
          <w:sz w:val="24"/>
          <w14:textFill>
            <w14:solidFill>
              <w14:schemeClr w14:val="tx1"/>
            </w14:solidFill>
          </w14:textFill>
        </w:rPr>
        <w:t>十三、争议的解决方式</w:t>
      </w:r>
    </w:p>
    <w:p w14:paraId="768F4214">
      <w:pPr>
        <w:spacing w:line="500" w:lineRule="atLeas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合同发生纠纷时，双方应协商解决，协商不成，可以采用下列方式解决：</w:t>
      </w:r>
    </w:p>
    <w:p w14:paraId="744C8EEA">
      <w:pPr>
        <w:spacing w:line="500" w:lineRule="atLeas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（一）提交</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仲裁委员会仲裁。</w:t>
      </w:r>
    </w:p>
    <w:p w14:paraId="1488893B">
      <w:pPr>
        <w:spacing w:line="500" w:lineRule="atLeas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（二）向</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人民法院起诉。</w:t>
      </w:r>
    </w:p>
    <w:p w14:paraId="686946DA">
      <w:pPr>
        <w:spacing w:line="500" w:lineRule="atLeast"/>
        <w:ind w:firstLine="482" w:firstLineChars="200"/>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十四、合同保存</w:t>
      </w:r>
    </w:p>
    <w:p w14:paraId="24BB7594">
      <w:pPr>
        <w:spacing w:line="500" w:lineRule="atLeas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合同文本一式</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份，采购单位、中标（成交）人、</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各执  份。合同文本保存期限为从采购结束之日起至少保存十五年。</w:t>
      </w:r>
    </w:p>
    <w:p w14:paraId="5F6D392F">
      <w:pPr>
        <w:spacing w:line="500" w:lineRule="atLeast"/>
        <w:ind w:firstLine="482" w:firstLineChars="200"/>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十五、合同附件</w:t>
      </w:r>
    </w:p>
    <w:p w14:paraId="11405654">
      <w:pPr>
        <w:spacing w:line="500" w:lineRule="atLeas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本合同所附下列文件是构成本合同不可分割的组成部分，其内容与本合同具有同等的法律效力：</w:t>
      </w:r>
    </w:p>
    <w:p w14:paraId="7172DD64">
      <w:pPr>
        <w:spacing w:line="500" w:lineRule="atLeas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1、货物清单（双方应盖章确认）</w:t>
      </w:r>
    </w:p>
    <w:p w14:paraId="3326FCB7">
      <w:pPr>
        <w:spacing w:line="500" w:lineRule="atLeas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2、乙方出具的报价单（函）</w:t>
      </w:r>
    </w:p>
    <w:p w14:paraId="205A9E41">
      <w:pPr>
        <w:spacing w:line="500" w:lineRule="atLeas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3、中标（成交）结果公告及中标（成交）通知书</w:t>
      </w:r>
    </w:p>
    <w:p w14:paraId="27950381">
      <w:pPr>
        <w:spacing w:line="500" w:lineRule="atLeas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4、甲方招标（磋商、谈判）文件或询价通知书</w:t>
      </w:r>
    </w:p>
    <w:p w14:paraId="04492E1C">
      <w:pPr>
        <w:spacing w:line="500" w:lineRule="atLeas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5、乙方投标（响应）文件</w:t>
      </w:r>
    </w:p>
    <w:p w14:paraId="1410C866">
      <w:pPr>
        <w:spacing w:line="500" w:lineRule="atLeas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6、甲乙双方商定的其他文件</w:t>
      </w:r>
    </w:p>
    <w:p w14:paraId="1EC5D6AC">
      <w:pPr>
        <w:spacing w:line="500" w:lineRule="atLeast"/>
        <w:ind w:firstLine="482" w:firstLineChars="200"/>
        <w:rPr>
          <w:rFonts w:ascii="宋体" w:hAnsi="宋体" w:cs="宋体"/>
          <w:b/>
          <w:bCs/>
          <w:color w:val="000000" w:themeColor="text1"/>
          <w:sz w:val="24"/>
          <w14:textFill>
            <w14:solidFill>
              <w14:schemeClr w14:val="tx1"/>
            </w14:solidFill>
          </w14:textFill>
        </w:rPr>
      </w:pPr>
      <w:r>
        <w:rPr>
          <w:rFonts w:ascii="宋体" w:hAnsi="宋体" w:cs="宋体"/>
          <w:b/>
          <w:bCs/>
          <w:color w:val="000000" w:themeColor="text1"/>
          <w:sz w:val="24"/>
          <w14:textFill>
            <w14:solidFill>
              <w14:schemeClr w14:val="tx1"/>
            </w14:solidFill>
          </w14:textFill>
        </w:rPr>
        <w:t>十六、双方约定的其他条款</w:t>
      </w:r>
    </w:p>
    <w:p w14:paraId="6DB80F96">
      <w:pPr>
        <w:spacing w:line="500" w:lineRule="atLeas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w:t>
      </w:r>
    </w:p>
    <w:p w14:paraId="0CE90675">
      <w:pPr>
        <w:spacing w:line="500" w:lineRule="atLeast"/>
        <w:ind w:firstLine="482" w:firstLineChars="200"/>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十七、本合同未尽事宜，由双方另行签订补充协议，补充协议是本合同的组成部分。</w:t>
      </w:r>
    </w:p>
    <w:p w14:paraId="2052D06A">
      <w:pPr>
        <w:spacing w:line="500" w:lineRule="atLeast"/>
        <w:ind w:firstLine="482" w:firstLineChars="200"/>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十八、本合同由甲乙双方盖章生效</w:t>
      </w:r>
    </w:p>
    <w:p w14:paraId="61E35689">
      <w:pPr>
        <w:spacing w:line="500" w:lineRule="exact"/>
        <w:ind w:firstLine="480" w:firstLineChars="200"/>
        <w:jc w:val="left"/>
        <w:rPr>
          <w:rFonts w:ascii="宋体" w:hAnsi="宋体" w:cs="宋体"/>
          <w:color w:val="000000" w:themeColor="text1"/>
          <w:kern w:val="0"/>
          <w:sz w:val="24"/>
          <w:lang w:bidi="ar"/>
          <w14:textFill>
            <w14:solidFill>
              <w14:schemeClr w14:val="tx1"/>
            </w14:solidFill>
          </w14:textFill>
        </w:rPr>
      </w:pPr>
    </w:p>
    <w:p w14:paraId="0BA67643">
      <w:pPr>
        <w:spacing w:line="500" w:lineRule="exact"/>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lang w:bidi="ar"/>
          <w14:textFill>
            <w14:solidFill>
              <w14:schemeClr w14:val="tx1"/>
            </w14:solidFill>
          </w14:textFill>
        </w:rPr>
        <w:t>甲方名称：（章）                        乙方名称：（章）</w:t>
      </w:r>
    </w:p>
    <w:p w14:paraId="184B7E20">
      <w:pPr>
        <w:spacing w:line="500" w:lineRule="exact"/>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lang w:bidi="ar"/>
          <w14:textFill>
            <w14:solidFill>
              <w14:schemeClr w14:val="tx1"/>
            </w14:solidFill>
          </w14:textFill>
        </w:rPr>
        <w:t>甲方法定代表人或负责人：（签字）        乙方法定代表人或负责人：（签字）</w:t>
      </w:r>
    </w:p>
    <w:p w14:paraId="7BE4248E">
      <w:pPr>
        <w:spacing w:line="500" w:lineRule="exact"/>
        <w:ind w:firstLine="480" w:firstLineChars="200"/>
        <w:jc w:val="left"/>
        <w:rPr>
          <w:rFonts w:ascii="宋体" w:hAnsi="宋体" w:cs="宋体"/>
          <w:color w:val="000000" w:themeColor="text1"/>
          <w:kern w:val="0"/>
          <w:sz w:val="24"/>
          <w:lang w:bidi="ar"/>
          <w14:textFill>
            <w14:solidFill>
              <w14:schemeClr w14:val="tx1"/>
            </w14:solidFill>
          </w14:textFill>
        </w:rPr>
      </w:pPr>
      <w:r>
        <w:rPr>
          <w:rFonts w:hint="eastAsia" w:ascii="宋体" w:hAnsi="宋体" w:cs="宋体"/>
          <w:color w:val="000000" w:themeColor="text1"/>
          <w:kern w:val="0"/>
          <w:sz w:val="24"/>
          <w:lang w:bidi="ar"/>
          <w14:textFill>
            <w14:solidFill>
              <w14:schemeClr w14:val="tx1"/>
            </w14:solidFill>
          </w14:textFill>
        </w:rPr>
        <w:t>年 月 日                                年 月 日</w:t>
      </w:r>
    </w:p>
    <w:p w14:paraId="2FB2920D">
      <w:pPr>
        <w:widowControl/>
        <w:jc w:val="left"/>
        <w:rPr>
          <w:rFonts w:ascii="宋体" w:hAnsi="宋体"/>
          <w:b/>
          <w:bCs/>
          <w:kern w:val="36"/>
          <w:sz w:val="36"/>
          <w:szCs w:val="36"/>
        </w:rPr>
      </w:pPr>
      <w:r>
        <w:rPr>
          <w:rFonts w:ascii="宋体" w:hAnsi="宋体"/>
          <w:bCs/>
          <w:kern w:val="36"/>
          <w:sz w:val="36"/>
          <w:szCs w:val="36"/>
        </w:rPr>
        <w:br w:type="page"/>
      </w:r>
    </w:p>
    <w:p w14:paraId="1525018E">
      <w:pPr>
        <w:pStyle w:val="2"/>
        <w:bidi w:val="0"/>
        <w:jc w:val="center"/>
        <w:rPr>
          <w:rFonts w:hint="eastAsia"/>
        </w:rPr>
      </w:pPr>
      <w:bookmarkStart w:id="55" w:name="_Toc6892"/>
      <w:r>
        <w:rPr>
          <w:rFonts w:hint="eastAsia"/>
        </w:rPr>
        <w:t>第五章  评标办法（综合评分法）</w:t>
      </w:r>
      <w:bookmarkEnd w:id="54"/>
      <w:bookmarkEnd w:id="55"/>
    </w:p>
    <w:p w14:paraId="350CF711">
      <w:pPr>
        <w:pStyle w:val="6"/>
        <w:ind w:firstLine="0" w:firstLineChars="0"/>
        <w:jc w:val="center"/>
        <w:rPr>
          <w:rFonts w:hint="eastAsia"/>
          <w:b/>
          <w:color w:val="auto"/>
          <w:sz w:val="32"/>
        </w:rPr>
      </w:pPr>
      <w:r>
        <w:rPr>
          <w:rFonts w:hint="eastAsia"/>
          <w:b/>
          <w:color w:val="auto"/>
          <w:sz w:val="32"/>
        </w:rPr>
        <w:t>评标原则和评标办法</w:t>
      </w:r>
    </w:p>
    <w:p w14:paraId="1AF013DF">
      <w:pPr>
        <w:keepNext w:val="0"/>
        <w:keepLines w:val="0"/>
        <w:pageBreakBefore w:val="0"/>
        <w:widowControl w:val="0"/>
        <w:kinsoku/>
        <w:wordWrap/>
        <w:overflowPunct/>
        <w:topLinePunct w:val="0"/>
        <w:autoSpaceDE/>
        <w:autoSpaceDN/>
        <w:bidi w:val="0"/>
        <w:adjustRightInd/>
        <w:snapToGrid/>
        <w:spacing w:line="360" w:lineRule="auto"/>
        <w:ind w:firstLine="720" w:firstLineChars="300"/>
        <w:textAlignment w:val="auto"/>
      </w:pPr>
      <w:bookmarkStart w:id="56" w:name="_Toc4599588"/>
      <w:bookmarkStart w:id="57" w:name="_Toc503345375"/>
      <w:r>
        <w:rPr>
          <w:rFonts w:hint="eastAsia"/>
          <w:sz w:val="24"/>
        </w:rPr>
        <w:t>评标办法前附表</w:t>
      </w:r>
      <w:bookmarkEnd w:id="56"/>
      <w:bookmarkEnd w:id="57"/>
    </w:p>
    <w:tbl>
      <w:tblPr>
        <w:tblStyle w:val="21"/>
        <w:tblW w:w="94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
        <w:gridCol w:w="1259"/>
        <w:gridCol w:w="2210"/>
        <w:gridCol w:w="5103"/>
      </w:tblGrid>
      <w:tr w14:paraId="6DD16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2165" w:type="dxa"/>
            <w:gridSpan w:val="2"/>
            <w:tcBorders>
              <w:top w:val="single" w:color="auto" w:sz="4" w:space="0"/>
              <w:left w:val="single" w:color="auto" w:sz="4" w:space="0"/>
              <w:bottom w:val="single" w:color="auto" w:sz="4" w:space="0"/>
              <w:right w:val="single" w:color="auto" w:sz="4" w:space="0"/>
            </w:tcBorders>
            <w:vAlign w:val="center"/>
          </w:tcPr>
          <w:p w14:paraId="3DBFAAE5">
            <w:pPr>
              <w:spacing w:line="360" w:lineRule="auto"/>
              <w:jc w:val="center"/>
              <w:rPr>
                <w:rFonts w:cs="宋体" w:asciiTheme="minorEastAsia" w:hAnsiTheme="minorEastAsia" w:eastAsiaTheme="minorEastAsia"/>
                <w:b/>
                <w:sz w:val="24"/>
              </w:rPr>
            </w:pPr>
            <w:bookmarkStart w:id="58" w:name="_Toc503345376"/>
            <w:bookmarkStart w:id="59" w:name="_Toc4599589"/>
            <w:r>
              <w:rPr>
                <w:rFonts w:hint="eastAsia" w:cs="宋体" w:asciiTheme="minorEastAsia" w:hAnsiTheme="minorEastAsia" w:eastAsiaTheme="minorEastAsia"/>
                <w:b/>
                <w:sz w:val="24"/>
              </w:rPr>
              <w:t>条款号</w:t>
            </w:r>
          </w:p>
        </w:tc>
        <w:tc>
          <w:tcPr>
            <w:tcW w:w="2210" w:type="dxa"/>
            <w:tcBorders>
              <w:top w:val="single" w:color="auto" w:sz="4" w:space="0"/>
              <w:left w:val="single" w:color="auto" w:sz="4" w:space="0"/>
              <w:bottom w:val="single" w:color="auto" w:sz="4" w:space="0"/>
              <w:right w:val="single" w:color="auto" w:sz="4" w:space="0"/>
            </w:tcBorders>
            <w:vAlign w:val="center"/>
          </w:tcPr>
          <w:p w14:paraId="690FBED7">
            <w:pPr>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评审因素</w:t>
            </w:r>
          </w:p>
        </w:tc>
        <w:tc>
          <w:tcPr>
            <w:tcW w:w="5103" w:type="dxa"/>
            <w:tcBorders>
              <w:top w:val="single" w:color="auto" w:sz="4" w:space="0"/>
              <w:left w:val="single" w:color="auto" w:sz="4" w:space="0"/>
              <w:bottom w:val="single" w:color="auto" w:sz="4" w:space="0"/>
              <w:right w:val="single" w:color="auto" w:sz="4" w:space="0"/>
            </w:tcBorders>
            <w:vAlign w:val="center"/>
          </w:tcPr>
          <w:p w14:paraId="4B4EE37E">
            <w:pPr>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评审标准</w:t>
            </w:r>
          </w:p>
        </w:tc>
      </w:tr>
      <w:tr w14:paraId="11423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9" w:hRule="atLeast"/>
          <w:jc w:val="center"/>
        </w:trPr>
        <w:tc>
          <w:tcPr>
            <w:tcW w:w="906" w:type="dxa"/>
            <w:vMerge w:val="restart"/>
            <w:tcBorders>
              <w:top w:val="single" w:color="auto" w:sz="4" w:space="0"/>
              <w:left w:val="single" w:color="auto" w:sz="4" w:space="0"/>
              <w:bottom w:val="single" w:color="auto" w:sz="4" w:space="0"/>
              <w:right w:val="single" w:color="auto" w:sz="4" w:space="0"/>
            </w:tcBorders>
            <w:vAlign w:val="center"/>
          </w:tcPr>
          <w:p w14:paraId="19441D1C">
            <w:pPr>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2.1.1</w:t>
            </w:r>
          </w:p>
        </w:tc>
        <w:tc>
          <w:tcPr>
            <w:tcW w:w="1259" w:type="dxa"/>
            <w:vMerge w:val="restart"/>
            <w:tcBorders>
              <w:top w:val="single" w:color="auto" w:sz="4" w:space="0"/>
              <w:left w:val="single" w:color="auto" w:sz="4" w:space="0"/>
              <w:bottom w:val="single" w:color="auto" w:sz="4" w:space="0"/>
              <w:right w:val="single" w:color="auto" w:sz="4" w:space="0"/>
            </w:tcBorders>
            <w:vAlign w:val="center"/>
          </w:tcPr>
          <w:p w14:paraId="30566244">
            <w:pPr>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形式评审标准</w:t>
            </w:r>
          </w:p>
        </w:tc>
        <w:tc>
          <w:tcPr>
            <w:tcW w:w="2210" w:type="dxa"/>
            <w:tcBorders>
              <w:top w:val="single" w:color="auto" w:sz="4" w:space="0"/>
              <w:left w:val="single" w:color="auto" w:sz="4" w:space="0"/>
              <w:bottom w:val="single" w:color="auto" w:sz="4" w:space="0"/>
              <w:right w:val="single" w:color="auto" w:sz="4" w:space="0"/>
            </w:tcBorders>
          </w:tcPr>
          <w:p w14:paraId="6769056F">
            <w:pPr>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投标人名称</w:t>
            </w:r>
          </w:p>
        </w:tc>
        <w:tc>
          <w:tcPr>
            <w:tcW w:w="5103" w:type="dxa"/>
            <w:tcBorders>
              <w:top w:val="single" w:color="auto" w:sz="4" w:space="0"/>
              <w:left w:val="single" w:color="auto" w:sz="4" w:space="0"/>
              <w:bottom w:val="single" w:color="auto" w:sz="4" w:space="0"/>
              <w:right w:val="single" w:color="auto" w:sz="4" w:space="0"/>
            </w:tcBorders>
            <w:vAlign w:val="center"/>
          </w:tcPr>
          <w:p w14:paraId="6E925F41">
            <w:pPr>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与营业执照一致</w:t>
            </w:r>
          </w:p>
        </w:tc>
      </w:tr>
      <w:tr w14:paraId="4028B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8" w:hRule="atLeast"/>
          <w:jc w:val="center"/>
        </w:trPr>
        <w:tc>
          <w:tcPr>
            <w:tcW w:w="906" w:type="dxa"/>
            <w:vMerge w:val="continue"/>
            <w:tcBorders>
              <w:top w:val="single" w:color="auto" w:sz="4" w:space="0"/>
              <w:left w:val="single" w:color="auto" w:sz="4" w:space="0"/>
              <w:bottom w:val="single" w:color="auto" w:sz="4" w:space="0"/>
              <w:right w:val="single" w:color="auto" w:sz="4" w:space="0"/>
            </w:tcBorders>
            <w:vAlign w:val="center"/>
          </w:tcPr>
          <w:p w14:paraId="4C89AF89">
            <w:pPr>
              <w:spacing w:line="360" w:lineRule="auto"/>
              <w:jc w:val="center"/>
              <w:rPr>
                <w:rFonts w:cs="宋体" w:asciiTheme="minorEastAsia" w:hAnsiTheme="minorEastAsia" w:eastAsiaTheme="minorEastAsia"/>
                <w:sz w:val="24"/>
              </w:rPr>
            </w:pPr>
          </w:p>
        </w:tc>
        <w:tc>
          <w:tcPr>
            <w:tcW w:w="1259" w:type="dxa"/>
            <w:vMerge w:val="continue"/>
            <w:tcBorders>
              <w:top w:val="single" w:color="auto" w:sz="4" w:space="0"/>
              <w:left w:val="single" w:color="auto" w:sz="4" w:space="0"/>
              <w:bottom w:val="single" w:color="auto" w:sz="4" w:space="0"/>
              <w:right w:val="single" w:color="auto" w:sz="4" w:space="0"/>
            </w:tcBorders>
            <w:vAlign w:val="center"/>
          </w:tcPr>
          <w:p w14:paraId="2E12D9A3">
            <w:pPr>
              <w:spacing w:line="360" w:lineRule="auto"/>
              <w:jc w:val="center"/>
              <w:rPr>
                <w:rFonts w:cs="宋体" w:asciiTheme="minorEastAsia" w:hAnsiTheme="minorEastAsia" w:eastAsiaTheme="minorEastAsia"/>
                <w:sz w:val="24"/>
              </w:rPr>
            </w:pPr>
          </w:p>
        </w:tc>
        <w:tc>
          <w:tcPr>
            <w:tcW w:w="2210" w:type="dxa"/>
            <w:tcBorders>
              <w:top w:val="single" w:color="auto" w:sz="4" w:space="0"/>
              <w:left w:val="single" w:color="auto" w:sz="4" w:space="0"/>
              <w:bottom w:val="single" w:color="auto" w:sz="4" w:space="0"/>
              <w:right w:val="single" w:color="auto" w:sz="4" w:space="0"/>
            </w:tcBorders>
          </w:tcPr>
          <w:p w14:paraId="7ABF86BC">
            <w:pPr>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投标承诺书签字盖章</w:t>
            </w:r>
          </w:p>
        </w:tc>
        <w:tc>
          <w:tcPr>
            <w:tcW w:w="5103" w:type="dxa"/>
            <w:tcBorders>
              <w:top w:val="single" w:color="auto" w:sz="4" w:space="0"/>
              <w:left w:val="single" w:color="auto" w:sz="4" w:space="0"/>
              <w:bottom w:val="single" w:color="auto" w:sz="4" w:space="0"/>
              <w:right w:val="single" w:color="auto" w:sz="4" w:space="0"/>
            </w:tcBorders>
            <w:vAlign w:val="center"/>
          </w:tcPr>
          <w:p w14:paraId="41E97509">
            <w:pPr>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有法定代表人或其委托代理人签字和加盖公章</w:t>
            </w:r>
          </w:p>
        </w:tc>
      </w:tr>
      <w:tr w14:paraId="670EE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9" w:hRule="atLeast"/>
          <w:jc w:val="center"/>
        </w:trPr>
        <w:tc>
          <w:tcPr>
            <w:tcW w:w="906" w:type="dxa"/>
            <w:vMerge w:val="continue"/>
            <w:tcBorders>
              <w:top w:val="single" w:color="auto" w:sz="4" w:space="0"/>
              <w:left w:val="single" w:color="auto" w:sz="4" w:space="0"/>
              <w:bottom w:val="single" w:color="auto" w:sz="4" w:space="0"/>
              <w:right w:val="single" w:color="auto" w:sz="4" w:space="0"/>
            </w:tcBorders>
            <w:vAlign w:val="center"/>
          </w:tcPr>
          <w:p w14:paraId="2C987AF2">
            <w:pPr>
              <w:spacing w:line="360" w:lineRule="auto"/>
              <w:jc w:val="center"/>
              <w:rPr>
                <w:rFonts w:cs="宋体" w:asciiTheme="minorEastAsia" w:hAnsiTheme="minorEastAsia" w:eastAsiaTheme="minorEastAsia"/>
                <w:sz w:val="24"/>
              </w:rPr>
            </w:pPr>
          </w:p>
        </w:tc>
        <w:tc>
          <w:tcPr>
            <w:tcW w:w="1259" w:type="dxa"/>
            <w:vMerge w:val="continue"/>
            <w:tcBorders>
              <w:top w:val="single" w:color="auto" w:sz="4" w:space="0"/>
              <w:left w:val="single" w:color="auto" w:sz="4" w:space="0"/>
              <w:bottom w:val="single" w:color="auto" w:sz="4" w:space="0"/>
              <w:right w:val="single" w:color="auto" w:sz="4" w:space="0"/>
            </w:tcBorders>
            <w:vAlign w:val="center"/>
          </w:tcPr>
          <w:p w14:paraId="4A6127B7">
            <w:pPr>
              <w:spacing w:line="360" w:lineRule="auto"/>
              <w:jc w:val="center"/>
              <w:rPr>
                <w:rFonts w:cs="宋体" w:asciiTheme="minorEastAsia" w:hAnsiTheme="minorEastAsia" w:eastAsiaTheme="minorEastAsia"/>
                <w:sz w:val="24"/>
              </w:rPr>
            </w:pPr>
          </w:p>
        </w:tc>
        <w:tc>
          <w:tcPr>
            <w:tcW w:w="2210" w:type="dxa"/>
            <w:tcBorders>
              <w:top w:val="single" w:color="auto" w:sz="4" w:space="0"/>
              <w:left w:val="single" w:color="auto" w:sz="4" w:space="0"/>
              <w:bottom w:val="single" w:color="auto" w:sz="4" w:space="0"/>
              <w:right w:val="single" w:color="auto" w:sz="4" w:space="0"/>
            </w:tcBorders>
          </w:tcPr>
          <w:p w14:paraId="7EE0D059">
            <w:pPr>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投标文件格式</w:t>
            </w:r>
          </w:p>
        </w:tc>
        <w:tc>
          <w:tcPr>
            <w:tcW w:w="5103" w:type="dxa"/>
            <w:tcBorders>
              <w:top w:val="single" w:color="auto" w:sz="4" w:space="0"/>
              <w:left w:val="single" w:color="auto" w:sz="4" w:space="0"/>
              <w:bottom w:val="single" w:color="auto" w:sz="4" w:space="0"/>
              <w:right w:val="single" w:color="auto" w:sz="4" w:space="0"/>
            </w:tcBorders>
            <w:vAlign w:val="center"/>
          </w:tcPr>
          <w:p w14:paraId="7E4B89AE">
            <w:pPr>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符合“投标文件格式”的要求</w:t>
            </w:r>
          </w:p>
        </w:tc>
      </w:tr>
      <w:tr w14:paraId="45F40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9" w:hRule="atLeast"/>
          <w:jc w:val="center"/>
        </w:trPr>
        <w:tc>
          <w:tcPr>
            <w:tcW w:w="906" w:type="dxa"/>
            <w:vMerge w:val="continue"/>
            <w:tcBorders>
              <w:top w:val="single" w:color="auto" w:sz="4" w:space="0"/>
              <w:left w:val="single" w:color="auto" w:sz="4" w:space="0"/>
              <w:bottom w:val="single" w:color="auto" w:sz="4" w:space="0"/>
              <w:right w:val="single" w:color="auto" w:sz="4" w:space="0"/>
            </w:tcBorders>
            <w:vAlign w:val="center"/>
          </w:tcPr>
          <w:p w14:paraId="4FB23420">
            <w:pPr>
              <w:spacing w:line="360" w:lineRule="auto"/>
              <w:jc w:val="center"/>
              <w:rPr>
                <w:rFonts w:cs="宋体" w:asciiTheme="minorEastAsia" w:hAnsiTheme="minorEastAsia" w:eastAsiaTheme="minorEastAsia"/>
                <w:sz w:val="24"/>
              </w:rPr>
            </w:pPr>
          </w:p>
        </w:tc>
        <w:tc>
          <w:tcPr>
            <w:tcW w:w="1259" w:type="dxa"/>
            <w:vMerge w:val="continue"/>
            <w:tcBorders>
              <w:top w:val="single" w:color="auto" w:sz="4" w:space="0"/>
              <w:left w:val="single" w:color="auto" w:sz="4" w:space="0"/>
              <w:bottom w:val="single" w:color="auto" w:sz="4" w:space="0"/>
              <w:right w:val="single" w:color="auto" w:sz="4" w:space="0"/>
            </w:tcBorders>
            <w:vAlign w:val="center"/>
          </w:tcPr>
          <w:p w14:paraId="7E970538">
            <w:pPr>
              <w:spacing w:line="360" w:lineRule="auto"/>
              <w:jc w:val="center"/>
              <w:rPr>
                <w:rFonts w:cs="宋体" w:asciiTheme="minorEastAsia" w:hAnsiTheme="minorEastAsia" w:eastAsiaTheme="minorEastAsia"/>
                <w:sz w:val="24"/>
              </w:rPr>
            </w:pPr>
          </w:p>
        </w:tc>
        <w:tc>
          <w:tcPr>
            <w:tcW w:w="2210" w:type="dxa"/>
            <w:tcBorders>
              <w:top w:val="single" w:color="auto" w:sz="4" w:space="0"/>
              <w:left w:val="single" w:color="auto" w:sz="4" w:space="0"/>
              <w:bottom w:val="single" w:color="auto" w:sz="4" w:space="0"/>
              <w:right w:val="single" w:color="auto" w:sz="4" w:space="0"/>
            </w:tcBorders>
          </w:tcPr>
          <w:p w14:paraId="64FECE90">
            <w:pPr>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报价唯一</w:t>
            </w:r>
          </w:p>
        </w:tc>
        <w:tc>
          <w:tcPr>
            <w:tcW w:w="5103" w:type="dxa"/>
            <w:tcBorders>
              <w:top w:val="single" w:color="auto" w:sz="4" w:space="0"/>
              <w:left w:val="single" w:color="auto" w:sz="4" w:space="0"/>
              <w:bottom w:val="single" w:color="auto" w:sz="4" w:space="0"/>
              <w:right w:val="single" w:color="auto" w:sz="4" w:space="0"/>
            </w:tcBorders>
            <w:vAlign w:val="center"/>
          </w:tcPr>
          <w:p w14:paraId="02BCDDE9">
            <w:pPr>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只能有一个有效报价</w:t>
            </w:r>
          </w:p>
        </w:tc>
      </w:tr>
      <w:tr w14:paraId="38402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jc w:val="center"/>
        </w:trPr>
        <w:tc>
          <w:tcPr>
            <w:tcW w:w="906" w:type="dxa"/>
            <w:vMerge w:val="restart"/>
            <w:tcBorders>
              <w:top w:val="single" w:color="auto" w:sz="4" w:space="0"/>
              <w:left w:val="single" w:color="auto" w:sz="4" w:space="0"/>
              <w:right w:val="single" w:color="auto" w:sz="4" w:space="0"/>
            </w:tcBorders>
            <w:vAlign w:val="center"/>
          </w:tcPr>
          <w:p w14:paraId="7431895B">
            <w:pPr>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2.1.2</w:t>
            </w:r>
          </w:p>
        </w:tc>
        <w:tc>
          <w:tcPr>
            <w:tcW w:w="1259" w:type="dxa"/>
            <w:vMerge w:val="restart"/>
            <w:tcBorders>
              <w:top w:val="single" w:color="auto" w:sz="4" w:space="0"/>
              <w:left w:val="single" w:color="auto" w:sz="4" w:space="0"/>
              <w:right w:val="single" w:color="auto" w:sz="4" w:space="0"/>
            </w:tcBorders>
            <w:vAlign w:val="center"/>
          </w:tcPr>
          <w:p w14:paraId="166ED6E4">
            <w:pPr>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资格评审标准</w:t>
            </w:r>
          </w:p>
        </w:tc>
        <w:tc>
          <w:tcPr>
            <w:tcW w:w="2210" w:type="dxa"/>
            <w:tcBorders>
              <w:top w:val="single" w:color="auto" w:sz="4" w:space="0"/>
              <w:left w:val="single" w:color="auto" w:sz="4" w:space="0"/>
              <w:bottom w:val="single" w:color="auto" w:sz="4" w:space="0"/>
              <w:right w:val="single" w:color="auto" w:sz="4" w:space="0"/>
            </w:tcBorders>
            <w:vAlign w:val="center"/>
          </w:tcPr>
          <w:p w14:paraId="065EDFA9">
            <w:pPr>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营业执照</w:t>
            </w:r>
          </w:p>
        </w:tc>
        <w:tc>
          <w:tcPr>
            <w:tcW w:w="5103" w:type="dxa"/>
            <w:tcBorders>
              <w:top w:val="single" w:color="auto" w:sz="4" w:space="0"/>
              <w:left w:val="single" w:color="auto" w:sz="4" w:space="0"/>
              <w:bottom w:val="single" w:color="auto" w:sz="4" w:space="0"/>
              <w:right w:val="single" w:color="auto" w:sz="4" w:space="0"/>
            </w:tcBorders>
            <w:vAlign w:val="center"/>
          </w:tcPr>
          <w:p w14:paraId="2E639825">
            <w:pPr>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符合第二章“投标人须知”规定</w:t>
            </w:r>
          </w:p>
        </w:tc>
      </w:tr>
      <w:tr w14:paraId="32211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jc w:val="center"/>
        </w:trPr>
        <w:tc>
          <w:tcPr>
            <w:tcW w:w="906" w:type="dxa"/>
            <w:vMerge w:val="continue"/>
            <w:tcBorders>
              <w:left w:val="single" w:color="auto" w:sz="4" w:space="0"/>
              <w:right w:val="single" w:color="auto" w:sz="4" w:space="0"/>
            </w:tcBorders>
            <w:vAlign w:val="center"/>
          </w:tcPr>
          <w:p w14:paraId="0BF63D09">
            <w:pPr>
              <w:spacing w:line="360" w:lineRule="auto"/>
              <w:jc w:val="center"/>
              <w:rPr>
                <w:rFonts w:hint="eastAsia" w:cs="宋体" w:asciiTheme="minorEastAsia" w:hAnsiTheme="minorEastAsia" w:eastAsiaTheme="minorEastAsia"/>
                <w:sz w:val="24"/>
              </w:rPr>
            </w:pPr>
          </w:p>
        </w:tc>
        <w:tc>
          <w:tcPr>
            <w:tcW w:w="1259" w:type="dxa"/>
            <w:vMerge w:val="continue"/>
            <w:tcBorders>
              <w:left w:val="single" w:color="auto" w:sz="4" w:space="0"/>
              <w:right w:val="single" w:color="auto" w:sz="4" w:space="0"/>
            </w:tcBorders>
            <w:vAlign w:val="center"/>
          </w:tcPr>
          <w:p w14:paraId="3E0F740E">
            <w:pPr>
              <w:spacing w:line="360" w:lineRule="auto"/>
              <w:jc w:val="center"/>
              <w:rPr>
                <w:rFonts w:hint="eastAsia" w:cs="宋体" w:asciiTheme="minorEastAsia" w:hAnsiTheme="minorEastAsia" w:eastAsiaTheme="minorEastAsia"/>
                <w:sz w:val="24"/>
              </w:rPr>
            </w:pPr>
          </w:p>
        </w:tc>
        <w:tc>
          <w:tcPr>
            <w:tcW w:w="2210" w:type="dxa"/>
            <w:tcBorders>
              <w:top w:val="single" w:color="auto" w:sz="4" w:space="0"/>
              <w:left w:val="single" w:color="auto" w:sz="4" w:space="0"/>
              <w:bottom w:val="single" w:color="auto" w:sz="4" w:space="0"/>
              <w:right w:val="single" w:color="auto" w:sz="4" w:space="0"/>
            </w:tcBorders>
            <w:vAlign w:val="center"/>
          </w:tcPr>
          <w:p w14:paraId="34393615">
            <w:pPr>
              <w:spacing w:line="360" w:lineRule="auto"/>
              <w:jc w:val="center"/>
              <w:rPr>
                <w:rFonts w:hint="eastAsia" w:cs="宋体" w:asciiTheme="minorEastAsia" w:hAnsiTheme="minorEastAsia" w:eastAsiaTheme="minorEastAsia"/>
                <w:sz w:val="24"/>
                <w:lang w:eastAsia="zh-CN"/>
              </w:rPr>
            </w:pPr>
            <w:r>
              <w:rPr>
                <w:rFonts w:hint="eastAsia" w:cs="宋体" w:asciiTheme="minorEastAsia" w:hAnsiTheme="minorEastAsia" w:eastAsiaTheme="minorEastAsia"/>
                <w:sz w:val="24"/>
                <w:lang w:eastAsia="zh-CN"/>
              </w:rPr>
              <w:t>授权委托书</w:t>
            </w:r>
          </w:p>
        </w:tc>
        <w:tc>
          <w:tcPr>
            <w:tcW w:w="5103" w:type="dxa"/>
            <w:tcBorders>
              <w:top w:val="single" w:color="auto" w:sz="4" w:space="0"/>
              <w:left w:val="single" w:color="auto" w:sz="4" w:space="0"/>
              <w:bottom w:val="single" w:color="auto" w:sz="4" w:space="0"/>
              <w:right w:val="single" w:color="auto" w:sz="4" w:space="0"/>
            </w:tcBorders>
            <w:vAlign w:val="center"/>
          </w:tcPr>
          <w:p w14:paraId="74917666">
            <w:pPr>
              <w:spacing w:line="360" w:lineRule="auto"/>
              <w:jc w:val="center"/>
              <w:rPr>
                <w:rFonts w:hint="eastAsia" w:cs="宋体" w:asciiTheme="minorEastAsia" w:hAnsiTheme="minorEastAsia" w:eastAsiaTheme="minorEastAsia"/>
                <w:sz w:val="24"/>
              </w:rPr>
            </w:pPr>
            <w:r>
              <w:rPr>
                <w:rFonts w:hint="eastAsia" w:cs="宋体" w:asciiTheme="minorEastAsia" w:hAnsiTheme="minorEastAsia" w:eastAsiaTheme="minorEastAsia"/>
                <w:sz w:val="24"/>
              </w:rPr>
              <w:t>符合第二章“投标人须知”规定</w:t>
            </w:r>
          </w:p>
        </w:tc>
      </w:tr>
      <w:tr w14:paraId="793DF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2" w:hRule="atLeast"/>
          <w:jc w:val="center"/>
        </w:trPr>
        <w:tc>
          <w:tcPr>
            <w:tcW w:w="906" w:type="dxa"/>
            <w:vMerge w:val="continue"/>
            <w:tcBorders>
              <w:left w:val="single" w:color="auto" w:sz="4" w:space="0"/>
              <w:right w:val="single" w:color="auto" w:sz="4" w:space="0"/>
            </w:tcBorders>
            <w:vAlign w:val="center"/>
          </w:tcPr>
          <w:p w14:paraId="26FB9799">
            <w:pPr>
              <w:spacing w:line="360" w:lineRule="auto"/>
              <w:jc w:val="center"/>
              <w:rPr>
                <w:rFonts w:cs="宋体" w:asciiTheme="minorEastAsia" w:hAnsiTheme="minorEastAsia" w:eastAsiaTheme="minorEastAsia"/>
                <w:sz w:val="24"/>
              </w:rPr>
            </w:pPr>
          </w:p>
        </w:tc>
        <w:tc>
          <w:tcPr>
            <w:tcW w:w="1259" w:type="dxa"/>
            <w:vMerge w:val="continue"/>
            <w:tcBorders>
              <w:left w:val="single" w:color="auto" w:sz="4" w:space="0"/>
              <w:right w:val="single" w:color="auto" w:sz="4" w:space="0"/>
            </w:tcBorders>
            <w:vAlign w:val="center"/>
          </w:tcPr>
          <w:p w14:paraId="48365A5B">
            <w:pPr>
              <w:spacing w:line="360" w:lineRule="auto"/>
              <w:jc w:val="center"/>
              <w:rPr>
                <w:rFonts w:cs="宋体" w:asciiTheme="minorEastAsia" w:hAnsiTheme="minorEastAsia" w:eastAsiaTheme="minorEastAsia"/>
                <w:sz w:val="24"/>
              </w:rPr>
            </w:pPr>
          </w:p>
        </w:tc>
        <w:tc>
          <w:tcPr>
            <w:tcW w:w="2210" w:type="dxa"/>
            <w:tcBorders>
              <w:top w:val="single" w:color="auto" w:sz="4" w:space="0"/>
              <w:left w:val="single" w:color="auto" w:sz="4" w:space="0"/>
              <w:bottom w:val="single" w:color="auto" w:sz="4" w:space="0"/>
              <w:right w:val="single" w:color="auto" w:sz="4" w:space="0"/>
            </w:tcBorders>
            <w:vAlign w:val="center"/>
          </w:tcPr>
          <w:p w14:paraId="1A10FFCA">
            <w:pPr>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开户许可证或基本户证明</w:t>
            </w:r>
          </w:p>
        </w:tc>
        <w:tc>
          <w:tcPr>
            <w:tcW w:w="5103" w:type="dxa"/>
            <w:tcBorders>
              <w:top w:val="single" w:color="auto" w:sz="4" w:space="0"/>
              <w:left w:val="single" w:color="auto" w:sz="4" w:space="0"/>
              <w:bottom w:val="single" w:color="auto" w:sz="4" w:space="0"/>
              <w:right w:val="single" w:color="auto" w:sz="4" w:space="0"/>
            </w:tcBorders>
            <w:vAlign w:val="center"/>
          </w:tcPr>
          <w:p w14:paraId="6EDA4E34">
            <w:pPr>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符合第二章“投标人须知”规定</w:t>
            </w:r>
          </w:p>
        </w:tc>
      </w:tr>
      <w:tr w14:paraId="4994E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77" w:hRule="atLeast"/>
          <w:jc w:val="center"/>
        </w:trPr>
        <w:tc>
          <w:tcPr>
            <w:tcW w:w="906" w:type="dxa"/>
            <w:vMerge w:val="continue"/>
            <w:tcBorders>
              <w:left w:val="single" w:color="auto" w:sz="4" w:space="0"/>
              <w:right w:val="single" w:color="auto" w:sz="4" w:space="0"/>
            </w:tcBorders>
            <w:vAlign w:val="center"/>
          </w:tcPr>
          <w:p w14:paraId="2BA53D05">
            <w:pPr>
              <w:spacing w:line="360" w:lineRule="auto"/>
              <w:jc w:val="center"/>
              <w:rPr>
                <w:rFonts w:cs="宋体" w:asciiTheme="minorEastAsia" w:hAnsiTheme="minorEastAsia" w:eastAsiaTheme="minorEastAsia"/>
                <w:sz w:val="24"/>
              </w:rPr>
            </w:pPr>
          </w:p>
        </w:tc>
        <w:tc>
          <w:tcPr>
            <w:tcW w:w="1259" w:type="dxa"/>
            <w:vMerge w:val="continue"/>
            <w:tcBorders>
              <w:left w:val="single" w:color="auto" w:sz="4" w:space="0"/>
              <w:right w:val="single" w:color="auto" w:sz="4" w:space="0"/>
            </w:tcBorders>
            <w:vAlign w:val="center"/>
          </w:tcPr>
          <w:p w14:paraId="27673E64">
            <w:pPr>
              <w:spacing w:line="360" w:lineRule="auto"/>
              <w:jc w:val="center"/>
              <w:rPr>
                <w:rFonts w:cs="宋体" w:asciiTheme="minorEastAsia" w:hAnsiTheme="minorEastAsia" w:eastAsiaTheme="minorEastAsia"/>
                <w:sz w:val="24"/>
              </w:rPr>
            </w:pPr>
          </w:p>
        </w:tc>
        <w:tc>
          <w:tcPr>
            <w:tcW w:w="2210" w:type="dxa"/>
            <w:tcBorders>
              <w:top w:val="single" w:color="auto" w:sz="4" w:space="0"/>
              <w:left w:val="single" w:color="auto" w:sz="4" w:space="0"/>
              <w:bottom w:val="single" w:color="auto" w:sz="4" w:space="0"/>
              <w:right w:val="single" w:color="auto" w:sz="4" w:space="0"/>
            </w:tcBorders>
            <w:vAlign w:val="center"/>
          </w:tcPr>
          <w:p w14:paraId="4280E5F5">
            <w:pPr>
              <w:spacing w:line="360" w:lineRule="auto"/>
              <w:jc w:val="center"/>
              <w:rPr>
                <w:rFonts w:hint="eastAsia" w:cs="宋体" w:asciiTheme="minorEastAsia" w:hAnsiTheme="minorEastAsia" w:eastAsiaTheme="minorEastAsia"/>
                <w:sz w:val="24"/>
              </w:rPr>
            </w:pPr>
            <w:r>
              <w:rPr>
                <w:rFonts w:hint="eastAsia" w:ascii="宋体" w:hAnsi="宋体" w:eastAsia="宋体" w:cs="宋体"/>
                <w:sz w:val="24"/>
                <w:lang w:val="en-US" w:eastAsia="zh-CN"/>
              </w:rPr>
              <w:t>具有良好的商业信誉和健全的财务会计制度</w:t>
            </w:r>
          </w:p>
        </w:tc>
        <w:tc>
          <w:tcPr>
            <w:tcW w:w="5103" w:type="dxa"/>
            <w:tcBorders>
              <w:top w:val="single" w:color="auto" w:sz="4" w:space="0"/>
              <w:left w:val="single" w:color="auto" w:sz="4" w:space="0"/>
              <w:bottom w:val="single" w:color="auto" w:sz="4" w:space="0"/>
              <w:right w:val="single" w:color="auto" w:sz="4" w:space="0"/>
            </w:tcBorders>
            <w:vAlign w:val="center"/>
          </w:tcPr>
          <w:p w14:paraId="27B33019">
            <w:pPr>
              <w:spacing w:line="360" w:lineRule="auto"/>
              <w:jc w:val="center"/>
              <w:rPr>
                <w:rFonts w:hint="eastAsia" w:cs="宋体" w:asciiTheme="minorEastAsia" w:hAnsiTheme="minorEastAsia" w:eastAsiaTheme="minorEastAsia"/>
                <w:sz w:val="24"/>
              </w:rPr>
            </w:pPr>
            <w:r>
              <w:rPr>
                <w:rFonts w:hint="eastAsia" w:cs="宋体" w:asciiTheme="minorEastAsia" w:hAnsiTheme="minorEastAsia" w:eastAsiaTheme="minorEastAsia"/>
                <w:sz w:val="24"/>
              </w:rPr>
              <w:t>符合第二章“投标人须知”规定</w:t>
            </w:r>
          </w:p>
        </w:tc>
      </w:tr>
      <w:tr w14:paraId="030C8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77" w:hRule="atLeast"/>
          <w:jc w:val="center"/>
        </w:trPr>
        <w:tc>
          <w:tcPr>
            <w:tcW w:w="906" w:type="dxa"/>
            <w:vMerge w:val="continue"/>
            <w:tcBorders>
              <w:left w:val="single" w:color="auto" w:sz="4" w:space="0"/>
              <w:right w:val="single" w:color="auto" w:sz="4" w:space="0"/>
            </w:tcBorders>
            <w:vAlign w:val="center"/>
          </w:tcPr>
          <w:p w14:paraId="2DE331DA">
            <w:pPr>
              <w:spacing w:line="360" w:lineRule="auto"/>
              <w:jc w:val="center"/>
              <w:rPr>
                <w:rFonts w:cs="宋体" w:asciiTheme="minorEastAsia" w:hAnsiTheme="minorEastAsia" w:eastAsiaTheme="minorEastAsia"/>
                <w:sz w:val="24"/>
              </w:rPr>
            </w:pPr>
          </w:p>
        </w:tc>
        <w:tc>
          <w:tcPr>
            <w:tcW w:w="1259" w:type="dxa"/>
            <w:vMerge w:val="continue"/>
            <w:tcBorders>
              <w:left w:val="single" w:color="auto" w:sz="4" w:space="0"/>
              <w:right w:val="single" w:color="auto" w:sz="4" w:space="0"/>
            </w:tcBorders>
            <w:vAlign w:val="center"/>
          </w:tcPr>
          <w:p w14:paraId="49431DFC">
            <w:pPr>
              <w:spacing w:line="360" w:lineRule="auto"/>
              <w:jc w:val="center"/>
              <w:rPr>
                <w:rFonts w:cs="宋体" w:asciiTheme="minorEastAsia" w:hAnsiTheme="minorEastAsia" w:eastAsiaTheme="minorEastAsia"/>
                <w:sz w:val="24"/>
              </w:rPr>
            </w:pPr>
          </w:p>
        </w:tc>
        <w:tc>
          <w:tcPr>
            <w:tcW w:w="2210" w:type="dxa"/>
            <w:tcBorders>
              <w:top w:val="single" w:color="auto" w:sz="4" w:space="0"/>
              <w:left w:val="single" w:color="auto" w:sz="4" w:space="0"/>
              <w:bottom w:val="single" w:color="auto" w:sz="4" w:space="0"/>
              <w:right w:val="single" w:color="auto" w:sz="4" w:space="0"/>
            </w:tcBorders>
            <w:vAlign w:val="center"/>
          </w:tcPr>
          <w:p w14:paraId="5A5D6616">
            <w:pPr>
              <w:spacing w:line="360" w:lineRule="auto"/>
              <w:jc w:val="center"/>
              <w:rPr>
                <w:rFonts w:hint="eastAsia" w:cs="宋体" w:asciiTheme="minorEastAsia" w:hAnsiTheme="minorEastAsia" w:eastAsiaTheme="minorEastAsia"/>
                <w:sz w:val="24"/>
              </w:rPr>
            </w:pPr>
            <w:r>
              <w:rPr>
                <w:rFonts w:hint="eastAsia" w:ascii="宋体" w:hAnsi="宋体" w:eastAsia="宋体" w:cs="宋体"/>
                <w:sz w:val="24"/>
                <w:lang w:val="en-US" w:eastAsia="zh-CN"/>
              </w:rPr>
              <w:t>具有履行合同所必需的设备和专业技术能力</w:t>
            </w:r>
          </w:p>
        </w:tc>
        <w:tc>
          <w:tcPr>
            <w:tcW w:w="5103" w:type="dxa"/>
            <w:tcBorders>
              <w:top w:val="single" w:color="auto" w:sz="4" w:space="0"/>
              <w:left w:val="single" w:color="auto" w:sz="4" w:space="0"/>
              <w:bottom w:val="single" w:color="auto" w:sz="4" w:space="0"/>
              <w:right w:val="single" w:color="auto" w:sz="4" w:space="0"/>
            </w:tcBorders>
            <w:vAlign w:val="center"/>
          </w:tcPr>
          <w:p w14:paraId="6983AAA2">
            <w:pPr>
              <w:spacing w:line="360" w:lineRule="auto"/>
              <w:jc w:val="center"/>
              <w:rPr>
                <w:rFonts w:hint="eastAsia" w:cs="宋体" w:asciiTheme="minorEastAsia" w:hAnsiTheme="minorEastAsia" w:eastAsiaTheme="minorEastAsia"/>
                <w:sz w:val="24"/>
              </w:rPr>
            </w:pPr>
            <w:r>
              <w:rPr>
                <w:rFonts w:hint="eastAsia" w:cs="宋体" w:asciiTheme="minorEastAsia" w:hAnsiTheme="minorEastAsia" w:eastAsiaTheme="minorEastAsia"/>
                <w:sz w:val="24"/>
              </w:rPr>
              <w:t>符合第二章“投标人须知”规定</w:t>
            </w:r>
          </w:p>
        </w:tc>
      </w:tr>
      <w:tr w14:paraId="36A23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77" w:hRule="atLeast"/>
          <w:jc w:val="center"/>
        </w:trPr>
        <w:tc>
          <w:tcPr>
            <w:tcW w:w="906" w:type="dxa"/>
            <w:vMerge w:val="continue"/>
            <w:tcBorders>
              <w:left w:val="single" w:color="auto" w:sz="4" w:space="0"/>
              <w:right w:val="single" w:color="auto" w:sz="4" w:space="0"/>
            </w:tcBorders>
            <w:vAlign w:val="center"/>
          </w:tcPr>
          <w:p w14:paraId="0215E226">
            <w:pPr>
              <w:spacing w:line="360" w:lineRule="auto"/>
              <w:jc w:val="center"/>
              <w:rPr>
                <w:rFonts w:cs="宋体" w:asciiTheme="minorEastAsia" w:hAnsiTheme="minorEastAsia" w:eastAsiaTheme="minorEastAsia"/>
                <w:sz w:val="24"/>
              </w:rPr>
            </w:pPr>
          </w:p>
        </w:tc>
        <w:tc>
          <w:tcPr>
            <w:tcW w:w="1259" w:type="dxa"/>
            <w:vMerge w:val="continue"/>
            <w:tcBorders>
              <w:left w:val="single" w:color="auto" w:sz="4" w:space="0"/>
              <w:right w:val="single" w:color="auto" w:sz="4" w:space="0"/>
            </w:tcBorders>
            <w:vAlign w:val="center"/>
          </w:tcPr>
          <w:p w14:paraId="7DCB8359">
            <w:pPr>
              <w:spacing w:line="360" w:lineRule="auto"/>
              <w:jc w:val="center"/>
              <w:rPr>
                <w:rFonts w:cs="宋体" w:asciiTheme="minorEastAsia" w:hAnsiTheme="minorEastAsia" w:eastAsiaTheme="minorEastAsia"/>
                <w:sz w:val="24"/>
              </w:rPr>
            </w:pPr>
          </w:p>
        </w:tc>
        <w:tc>
          <w:tcPr>
            <w:tcW w:w="2210" w:type="dxa"/>
            <w:tcBorders>
              <w:top w:val="single" w:color="auto" w:sz="4" w:space="0"/>
              <w:left w:val="single" w:color="auto" w:sz="4" w:space="0"/>
              <w:bottom w:val="single" w:color="auto" w:sz="4" w:space="0"/>
              <w:right w:val="single" w:color="auto" w:sz="4" w:space="0"/>
            </w:tcBorders>
            <w:vAlign w:val="center"/>
          </w:tcPr>
          <w:p w14:paraId="3602C0F6">
            <w:pPr>
              <w:spacing w:line="360" w:lineRule="auto"/>
              <w:jc w:val="center"/>
              <w:rPr>
                <w:rFonts w:hint="eastAsia" w:cs="宋体" w:asciiTheme="minorEastAsia" w:hAnsiTheme="minorEastAsia" w:eastAsiaTheme="minorEastAsia"/>
                <w:sz w:val="24"/>
              </w:rPr>
            </w:pPr>
            <w:r>
              <w:rPr>
                <w:rFonts w:hint="eastAsia" w:ascii="宋体" w:hAnsi="宋体" w:eastAsia="宋体" w:cs="宋体"/>
                <w:sz w:val="24"/>
                <w:lang w:val="en-US" w:eastAsia="zh-CN"/>
              </w:rPr>
              <w:t>具有依法缴纳税收和社会保障资金的良好记录</w:t>
            </w:r>
          </w:p>
        </w:tc>
        <w:tc>
          <w:tcPr>
            <w:tcW w:w="5103" w:type="dxa"/>
            <w:tcBorders>
              <w:top w:val="single" w:color="auto" w:sz="4" w:space="0"/>
              <w:left w:val="single" w:color="auto" w:sz="4" w:space="0"/>
              <w:bottom w:val="single" w:color="auto" w:sz="4" w:space="0"/>
              <w:right w:val="single" w:color="auto" w:sz="4" w:space="0"/>
            </w:tcBorders>
            <w:vAlign w:val="center"/>
          </w:tcPr>
          <w:p w14:paraId="272DD38E">
            <w:pPr>
              <w:spacing w:line="360" w:lineRule="auto"/>
              <w:jc w:val="center"/>
              <w:rPr>
                <w:rFonts w:hint="eastAsia" w:cs="宋体" w:asciiTheme="minorEastAsia" w:hAnsiTheme="minorEastAsia" w:eastAsiaTheme="minorEastAsia"/>
                <w:sz w:val="24"/>
              </w:rPr>
            </w:pPr>
            <w:r>
              <w:rPr>
                <w:rFonts w:hint="eastAsia" w:cs="宋体" w:asciiTheme="minorEastAsia" w:hAnsiTheme="minorEastAsia" w:eastAsiaTheme="minorEastAsia"/>
                <w:sz w:val="24"/>
              </w:rPr>
              <w:t>符合第二章“投标人须知”规定</w:t>
            </w:r>
          </w:p>
        </w:tc>
      </w:tr>
      <w:tr w14:paraId="5FADF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66" w:hRule="atLeast"/>
          <w:jc w:val="center"/>
        </w:trPr>
        <w:tc>
          <w:tcPr>
            <w:tcW w:w="906" w:type="dxa"/>
            <w:vMerge w:val="continue"/>
            <w:tcBorders>
              <w:left w:val="single" w:color="auto" w:sz="4" w:space="0"/>
              <w:right w:val="single" w:color="auto" w:sz="4" w:space="0"/>
            </w:tcBorders>
            <w:vAlign w:val="center"/>
          </w:tcPr>
          <w:p w14:paraId="332E3A2A">
            <w:pPr>
              <w:spacing w:line="360" w:lineRule="auto"/>
              <w:jc w:val="center"/>
              <w:rPr>
                <w:rFonts w:cs="宋体" w:asciiTheme="minorEastAsia" w:hAnsiTheme="minorEastAsia" w:eastAsiaTheme="minorEastAsia"/>
                <w:sz w:val="24"/>
              </w:rPr>
            </w:pPr>
          </w:p>
        </w:tc>
        <w:tc>
          <w:tcPr>
            <w:tcW w:w="1259" w:type="dxa"/>
            <w:vMerge w:val="continue"/>
            <w:tcBorders>
              <w:left w:val="single" w:color="auto" w:sz="4" w:space="0"/>
              <w:right w:val="single" w:color="auto" w:sz="4" w:space="0"/>
            </w:tcBorders>
            <w:vAlign w:val="center"/>
          </w:tcPr>
          <w:p w14:paraId="3F6C53A7">
            <w:pPr>
              <w:spacing w:line="360" w:lineRule="auto"/>
              <w:jc w:val="center"/>
              <w:rPr>
                <w:rFonts w:cs="宋体" w:asciiTheme="minorEastAsia" w:hAnsiTheme="minorEastAsia" w:eastAsiaTheme="minorEastAsia"/>
                <w:sz w:val="24"/>
              </w:rPr>
            </w:pPr>
          </w:p>
        </w:tc>
        <w:tc>
          <w:tcPr>
            <w:tcW w:w="2210" w:type="dxa"/>
            <w:tcBorders>
              <w:top w:val="single" w:color="auto" w:sz="4" w:space="0"/>
              <w:left w:val="single" w:color="auto" w:sz="4" w:space="0"/>
              <w:bottom w:val="single" w:color="auto" w:sz="4" w:space="0"/>
              <w:right w:val="single" w:color="auto" w:sz="4" w:space="0"/>
            </w:tcBorders>
            <w:vAlign w:val="center"/>
          </w:tcPr>
          <w:p w14:paraId="65F1732B">
            <w:pPr>
              <w:spacing w:line="360" w:lineRule="auto"/>
              <w:jc w:val="center"/>
              <w:rPr>
                <w:rFonts w:hint="eastAsia" w:cs="宋体" w:asciiTheme="minorEastAsia" w:hAnsiTheme="minorEastAsia" w:eastAsiaTheme="minorEastAsia"/>
                <w:sz w:val="24"/>
              </w:rPr>
            </w:pPr>
            <w:r>
              <w:rPr>
                <w:rFonts w:hint="eastAsia" w:ascii="宋体" w:hAnsi="宋体" w:eastAsia="宋体" w:cs="宋体"/>
                <w:sz w:val="24"/>
                <w:lang w:val="en-US" w:eastAsia="zh-CN"/>
              </w:rPr>
              <w:t>参加本次采购活动前3年内，在经营活动中没有重大违法记录</w:t>
            </w:r>
          </w:p>
        </w:tc>
        <w:tc>
          <w:tcPr>
            <w:tcW w:w="5103" w:type="dxa"/>
            <w:tcBorders>
              <w:top w:val="single" w:color="auto" w:sz="4" w:space="0"/>
              <w:left w:val="single" w:color="auto" w:sz="4" w:space="0"/>
              <w:bottom w:val="single" w:color="auto" w:sz="4" w:space="0"/>
              <w:right w:val="single" w:color="auto" w:sz="4" w:space="0"/>
            </w:tcBorders>
            <w:vAlign w:val="center"/>
          </w:tcPr>
          <w:p w14:paraId="2FA2C8D5">
            <w:pPr>
              <w:spacing w:line="360" w:lineRule="auto"/>
              <w:jc w:val="center"/>
              <w:rPr>
                <w:rFonts w:hint="eastAsia" w:cs="宋体" w:asciiTheme="minorEastAsia" w:hAnsiTheme="minorEastAsia" w:eastAsiaTheme="minorEastAsia"/>
                <w:sz w:val="24"/>
              </w:rPr>
            </w:pPr>
            <w:r>
              <w:rPr>
                <w:rFonts w:hint="eastAsia" w:cs="宋体" w:asciiTheme="minorEastAsia" w:hAnsiTheme="minorEastAsia" w:eastAsiaTheme="minorEastAsia"/>
                <w:sz w:val="24"/>
              </w:rPr>
              <w:t>符合第二章“投标人须知”规定</w:t>
            </w:r>
          </w:p>
        </w:tc>
      </w:tr>
      <w:tr w14:paraId="2D9FC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1" w:hRule="atLeast"/>
          <w:jc w:val="center"/>
        </w:trPr>
        <w:tc>
          <w:tcPr>
            <w:tcW w:w="906" w:type="dxa"/>
            <w:vMerge w:val="continue"/>
            <w:tcBorders>
              <w:left w:val="single" w:color="auto" w:sz="4" w:space="0"/>
              <w:right w:val="single" w:color="auto" w:sz="4" w:space="0"/>
            </w:tcBorders>
            <w:vAlign w:val="center"/>
          </w:tcPr>
          <w:p w14:paraId="5A85F4C4">
            <w:pPr>
              <w:spacing w:line="360" w:lineRule="auto"/>
              <w:jc w:val="center"/>
              <w:rPr>
                <w:rFonts w:cs="宋体" w:asciiTheme="minorEastAsia" w:hAnsiTheme="minorEastAsia" w:eastAsiaTheme="minorEastAsia"/>
                <w:sz w:val="24"/>
              </w:rPr>
            </w:pPr>
          </w:p>
        </w:tc>
        <w:tc>
          <w:tcPr>
            <w:tcW w:w="1259" w:type="dxa"/>
            <w:vMerge w:val="continue"/>
            <w:tcBorders>
              <w:left w:val="single" w:color="auto" w:sz="4" w:space="0"/>
              <w:right w:val="single" w:color="auto" w:sz="4" w:space="0"/>
            </w:tcBorders>
            <w:vAlign w:val="center"/>
          </w:tcPr>
          <w:p w14:paraId="6FBA0EE1">
            <w:pPr>
              <w:spacing w:line="360" w:lineRule="auto"/>
              <w:jc w:val="center"/>
              <w:rPr>
                <w:rFonts w:cs="宋体" w:asciiTheme="minorEastAsia" w:hAnsiTheme="minorEastAsia" w:eastAsiaTheme="minorEastAsia"/>
                <w:sz w:val="24"/>
              </w:rPr>
            </w:pPr>
          </w:p>
        </w:tc>
        <w:tc>
          <w:tcPr>
            <w:tcW w:w="2210" w:type="dxa"/>
            <w:tcBorders>
              <w:top w:val="single" w:color="auto" w:sz="4" w:space="0"/>
              <w:left w:val="single" w:color="auto" w:sz="4" w:space="0"/>
              <w:bottom w:val="single" w:color="auto" w:sz="4" w:space="0"/>
              <w:right w:val="single" w:color="auto" w:sz="4" w:space="0"/>
            </w:tcBorders>
            <w:vAlign w:val="center"/>
          </w:tcPr>
          <w:p w14:paraId="1BEC305B">
            <w:pPr>
              <w:spacing w:line="360" w:lineRule="auto"/>
              <w:jc w:val="center"/>
              <w:rPr>
                <w:rFonts w:hint="eastAsia" w:ascii="宋体" w:hAnsi="宋体" w:eastAsia="宋体" w:cs="宋体"/>
                <w:sz w:val="24"/>
                <w:lang w:val="en-US" w:eastAsia="zh-CN"/>
              </w:rPr>
            </w:pPr>
            <w:r>
              <w:rPr>
                <w:rFonts w:hint="eastAsia" w:ascii="宋体" w:hAnsi="宋体" w:eastAsia="宋体" w:cs="宋体"/>
                <w:sz w:val="24"/>
                <w:lang w:val="en-US" w:eastAsia="zh-CN"/>
              </w:rPr>
              <w:t>信用要求</w:t>
            </w:r>
          </w:p>
        </w:tc>
        <w:tc>
          <w:tcPr>
            <w:tcW w:w="5103" w:type="dxa"/>
            <w:tcBorders>
              <w:top w:val="single" w:color="auto" w:sz="4" w:space="0"/>
              <w:left w:val="single" w:color="auto" w:sz="4" w:space="0"/>
              <w:bottom w:val="single" w:color="auto" w:sz="4" w:space="0"/>
              <w:right w:val="single" w:color="auto" w:sz="4" w:space="0"/>
            </w:tcBorders>
            <w:vAlign w:val="center"/>
          </w:tcPr>
          <w:p w14:paraId="2BA7714F">
            <w:pPr>
              <w:spacing w:line="360" w:lineRule="auto"/>
              <w:jc w:val="center"/>
              <w:rPr>
                <w:rFonts w:hint="eastAsia" w:cs="宋体" w:asciiTheme="minorEastAsia" w:hAnsiTheme="minorEastAsia" w:eastAsiaTheme="minorEastAsia"/>
                <w:sz w:val="24"/>
              </w:rPr>
            </w:pPr>
            <w:r>
              <w:rPr>
                <w:rFonts w:hint="eastAsia" w:cs="宋体" w:asciiTheme="minorEastAsia" w:hAnsiTheme="minorEastAsia" w:eastAsiaTheme="minorEastAsia"/>
                <w:sz w:val="24"/>
              </w:rPr>
              <w:t>符合第二章“投标人须知”规定</w:t>
            </w:r>
          </w:p>
        </w:tc>
      </w:tr>
      <w:tr w14:paraId="36AB0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06" w:type="dxa"/>
            <w:vMerge w:val="restart"/>
            <w:tcBorders>
              <w:top w:val="single" w:color="auto" w:sz="4" w:space="0"/>
              <w:left w:val="single" w:color="auto" w:sz="4" w:space="0"/>
              <w:right w:val="single" w:color="auto" w:sz="4" w:space="0"/>
            </w:tcBorders>
            <w:vAlign w:val="center"/>
          </w:tcPr>
          <w:p w14:paraId="2FB03F23">
            <w:pPr>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2.1.3</w:t>
            </w:r>
          </w:p>
        </w:tc>
        <w:tc>
          <w:tcPr>
            <w:tcW w:w="1259" w:type="dxa"/>
            <w:vMerge w:val="restart"/>
            <w:tcBorders>
              <w:top w:val="single" w:color="auto" w:sz="4" w:space="0"/>
              <w:left w:val="single" w:color="auto" w:sz="4" w:space="0"/>
              <w:right w:val="single" w:color="auto" w:sz="4" w:space="0"/>
            </w:tcBorders>
            <w:vAlign w:val="center"/>
          </w:tcPr>
          <w:p w14:paraId="5FA769BE">
            <w:pPr>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响应性评审标准</w:t>
            </w:r>
          </w:p>
        </w:tc>
        <w:tc>
          <w:tcPr>
            <w:tcW w:w="2210" w:type="dxa"/>
            <w:tcBorders>
              <w:top w:val="single" w:color="auto" w:sz="4" w:space="0"/>
              <w:left w:val="single" w:color="auto" w:sz="4" w:space="0"/>
              <w:bottom w:val="single" w:color="auto" w:sz="4" w:space="0"/>
              <w:right w:val="single" w:color="auto" w:sz="4" w:space="0"/>
            </w:tcBorders>
            <w:vAlign w:val="center"/>
          </w:tcPr>
          <w:p w14:paraId="431DB3D1">
            <w:pPr>
              <w:spacing w:line="360" w:lineRule="auto"/>
              <w:jc w:val="center"/>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eastAsia="zh-CN"/>
              </w:rPr>
              <w:t>供货期</w:t>
            </w:r>
          </w:p>
        </w:tc>
        <w:tc>
          <w:tcPr>
            <w:tcW w:w="5103" w:type="dxa"/>
            <w:tcBorders>
              <w:top w:val="single" w:color="auto" w:sz="4" w:space="0"/>
              <w:left w:val="single" w:color="auto" w:sz="4" w:space="0"/>
              <w:bottom w:val="single" w:color="auto" w:sz="4" w:space="0"/>
              <w:right w:val="single" w:color="auto" w:sz="4" w:space="0"/>
            </w:tcBorders>
            <w:vAlign w:val="center"/>
          </w:tcPr>
          <w:p w14:paraId="1D9CD8B6">
            <w:pPr>
              <w:spacing w:line="360" w:lineRule="auto"/>
              <w:jc w:val="center"/>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符合第二章“投标人须知”规定</w:t>
            </w:r>
          </w:p>
        </w:tc>
      </w:tr>
      <w:tr w14:paraId="5B17E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06" w:type="dxa"/>
            <w:vMerge w:val="continue"/>
            <w:tcBorders>
              <w:left w:val="single" w:color="auto" w:sz="4" w:space="0"/>
              <w:right w:val="single" w:color="auto" w:sz="4" w:space="0"/>
            </w:tcBorders>
            <w:vAlign w:val="center"/>
          </w:tcPr>
          <w:p w14:paraId="21B8E2FD">
            <w:pPr>
              <w:spacing w:line="360" w:lineRule="auto"/>
              <w:jc w:val="center"/>
              <w:rPr>
                <w:rFonts w:cs="宋体" w:asciiTheme="minorEastAsia" w:hAnsiTheme="minorEastAsia" w:eastAsiaTheme="minorEastAsia"/>
                <w:sz w:val="24"/>
              </w:rPr>
            </w:pPr>
          </w:p>
        </w:tc>
        <w:tc>
          <w:tcPr>
            <w:tcW w:w="1259" w:type="dxa"/>
            <w:vMerge w:val="continue"/>
            <w:tcBorders>
              <w:left w:val="single" w:color="auto" w:sz="4" w:space="0"/>
              <w:right w:val="single" w:color="auto" w:sz="4" w:space="0"/>
            </w:tcBorders>
            <w:vAlign w:val="center"/>
          </w:tcPr>
          <w:p w14:paraId="16E808A9">
            <w:pPr>
              <w:spacing w:line="360" w:lineRule="auto"/>
              <w:jc w:val="center"/>
              <w:rPr>
                <w:rFonts w:cs="宋体" w:asciiTheme="minorEastAsia" w:hAnsiTheme="minorEastAsia" w:eastAsiaTheme="minorEastAsia"/>
                <w:sz w:val="24"/>
              </w:rPr>
            </w:pPr>
          </w:p>
        </w:tc>
        <w:tc>
          <w:tcPr>
            <w:tcW w:w="2210" w:type="dxa"/>
            <w:tcBorders>
              <w:top w:val="single" w:color="auto" w:sz="4" w:space="0"/>
              <w:left w:val="single" w:color="auto" w:sz="4" w:space="0"/>
              <w:bottom w:val="single" w:color="auto" w:sz="4" w:space="0"/>
              <w:right w:val="single" w:color="auto" w:sz="4" w:space="0"/>
            </w:tcBorders>
            <w:vAlign w:val="center"/>
          </w:tcPr>
          <w:p w14:paraId="3B302FDC">
            <w:pPr>
              <w:spacing w:line="360" w:lineRule="auto"/>
              <w:jc w:val="center"/>
              <w:rPr>
                <w:rFonts w:cs="宋体" w:asciiTheme="minorEastAsia" w:hAnsiTheme="minorEastAsia" w:eastAsiaTheme="minorEastAsia"/>
                <w:sz w:val="24"/>
                <w:highlight w:val="none"/>
              </w:rPr>
            </w:pPr>
            <w:r>
              <w:rPr>
                <w:rFonts w:hint="eastAsia" w:asciiTheme="minorEastAsia" w:hAnsiTheme="minorEastAsia" w:eastAsiaTheme="minorEastAsia"/>
                <w:sz w:val="24"/>
                <w:highlight w:val="none"/>
              </w:rPr>
              <w:t>供货地点</w:t>
            </w:r>
          </w:p>
        </w:tc>
        <w:tc>
          <w:tcPr>
            <w:tcW w:w="5103" w:type="dxa"/>
            <w:tcBorders>
              <w:top w:val="single" w:color="auto" w:sz="4" w:space="0"/>
              <w:left w:val="single" w:color="auto" w:sz="4" w:space="0"/>
              <w:bottom w:val="single" w:color="auto" w:sz="4" w:space="0"/>
              <w:right w:val="single" w:color="auto" w:sz="4" w:space="0"/>
            </w:tcBorders>
            <w:vAlign w:val="center"/>
          </w:tcPr>
          <w:p w14:paraId="6AAEAD18">
            <w:pPr>
              <w:spacing w:line="360" w:lineRule="auto"/>
              <w:jc w:val="center"/>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符合第二章“投标人须知”规定</w:t>
            </w:r>
          </w:p>
        </w:tc>
      </w:tr>
      <w:tr w14:paraId="212AE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906" w:type="dxa"/>
            <w:vMerge w:val="continue"/>
            <w:tcBorders>
              <w:left w:val="single" w:color="auto" w:sz="4" w:space="0"/>
              <w:right w:val="single" w:color="auto" w:sz="4" w:space="0"/>
            </w:tcBorders>
            <w:vAlign w:val="center"/>
          </w:tcPr>
          <w:p w14:paraId="16AADCFF">
            <w:pPr>
              <w:spacing w:line="360" w:lineRule="auto"/>
              <w:jc w:val="center"/>
              <w:rPr>
                <w:rFonts w:cs="宋体" w:asciiTheme="minorEastAsia" w:hAnsiTheme="minorEastAsia" w:eastAsiaTheme="minorEastAsia"/>
                <w:sz w:val="24"/>
              </w:rPr>
            </w:pPr>
          </w:p>
        </w:tc>
        <w:tc>
          <w:tcPr>
            <w:tcW w:w="1259" w:type="dxa"/>
            <w:vMerge w:val="continue"/>
            <w:tcBorders>
              <w:left w:val="single" w:color="auto" w:sz="4" w:space="0"/>
              <w:right w:val="single" w:color="auto" w:sz="4" w:space="0"/>
            </w:tcBorders>
            <w:vAlign w:val="center"/>
          </w:tcPr>
          <w:p w14:paraId="27FCFE31">
            <w:pPr>
              <w:spacing w:line="360" w:lineRule="auto"/>
              <w:jc w:val="center"/>
              <w:rPr>
                <w:rFonts w:cs="宋体" w:asciiTheme="minorEastAsia" w:hAnsiTheme="minorEastAsia" w:eastAsiaTheme="minorEastAsia"/>
                <w:sz w:val="24"/>
              </w:rPr>
            </w:pPr>
          </w:p>
        </w:tc>
        <w:tc>
          <w:tcPr>
            <w:tcW w:w="2210" w:type="dxa"/>
            <w:tcBorders>
              <w:top w:val="single" w:color="auto" w:sz="4" w:space="0"/>
              <w:left w:val="single" w:color="auto" w:sz="4" w:space="0"/>
              <w:bottom w:val="single" w:color="auto" w:sz="4" w:space="0"/>
              <w:right w:val="single" w:color="auto" w:sz="4" w:space="0"/>
            </w:tcBorders>
            <w:vAlign w:val="center"/>
          </w:tcPr>
          <w:p w14:paraId="16B8B93A">
            <w:pPr>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技术标准和要求</w:t>
            </w:r>
          </w:p>
        </w:tc>
        <w:tc>
          <w:tcPr>
            <w:tcW w:w="5103" w:type="dxa"/>
            <w:tcBorders>
              <w:top w:val="single" w:color="auto" w:sz="4" w:space="0"/>
              <w:left w:val="single" w:color="auto" w:sz="4" w:space="0"/>
              <w:bottom w:val="single" w:color="auto" w:sz="4" w:space="0"/>
              <w:right w:val="single" w:color="auto" w:sz="4" w:space="0"/>
            </w:tcBorders>
            <w:vAlign w:val="center"/>
          </w:tcPr>
          <w:p w14:paraId="324B6C69">
            <w:pPr>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符合第三章“采购需求及技术要求”规定</w:t>
            </w:r>
          </w:p>
        </w:tc>
      </w:tr>
      <w:tr w14:paraId="41688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906" w:type="dxa"/>
            <w:vMerge w:val="continue"/>
            <w:tcBorders>
              <w:left w:val="single" w:color="auto" w:sz="4" w:space="0"/>
              <w:right w:val="single" w:color="auto" w:sz="4" w:space="0"/>
            </w:tcBorders>
            <w:vAlign w:val="center"/>
          </w:tcPr>
          <w:p w14:paraId="7256F525">
            <w:pPr>
              <w:spacing w:line="360" w:lineRule="auto"/>
              <w:jc w:val="center"/>
              <w:rPr>
                <w:rFonts w:cs="宋体" w:asciiTheme="minorEastAsia" w:hAnsiTheme="minorEastAsia" w:eastAsiaTheme="minorEastAsia"/>
                <w:sz w:val="24"/>
              </w:rPr>
            </w:pPr>
          </w:p>
        </w:tc>
        <w:tc>
          <w:tcPr>
            <w:tcW w:w="1259" w:type="dxa"/>
            <w:vMerge w:val="continue"/>
            <w:tcBorders>
              <w:left w:val="single" w:color="auto" w:sz="4" w:space="0"/>
              <w:right w:val="single" w:color="auto" w:sz="4" w:space="0"/>
            </w:tcBorders>
            <w:vAlign w:val="center"/>
          </w:tcPr>
          <w:p w14:paraId="3CFBFA6B">
            <w:pPr>
              <w:spacing w:line="360" w:lineRule="auto"/>
              <w:jc w:val="center"/>
              <w:rPr>
                <w:rFonts w:cs="宋体" w:asciiTheme="minorEastAsia" w:hAnsiTheme="minorEastAsia" w:eastAsiaTheme="minorEastAsia"/>
                <w:sz w:val="24"/>
              </w:rPr>
            </w:pPr>
          </w:p>
        </w:tc>
        <w:tc>
          <w:tcPr>
            <w:tcW w:w="2210" w:type="dxa"/>
            <w:tcBorders>
              <w:top w:val="single" w:color="auto" w:sz="4" w:space="0"/>
              <w:left w:val="single" w:color="auto" w:sz="4" w:space="0"/>
              <w:bottom w:val="single" w:color="auto" w:sz="4" w:space="0"/>
              <w:right w:val="single" w:color="auto" w:sz="4" w:space="0"/>
            </w:tcBorders>
            <w:vAlign w:val="center"/>
          </w:tcPr>
          <w:p w14:paraId="2B04F218">
            <w:pPr>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投标价格</w:t>
            </w:r>
          </w:p>
        </w:tc>
        <w:tc>
          <w:tcPr>
            <w:tcW w:w="5103" w:type="dxa"/>
            <w:tcBorders>
              <w:top w:val="single" w:color="auto" w:sz="4" w:space="0"/>
              <w:left w:val="single" w:color="auto" w:sz="4" w:space="0"/>
              <w:bottom w:val="single" w:color="auto" w:sz="4" w:space="0"/>
              <w:right w:val="single" w:color="auto" w:sz="4" w:space="0"/>
            </w:tcBorders>
            <w:vAlign w:val="center"/>
          </w:tcPr>
          <w:p w14:paraId="0B4B33BF">
            <w:pPr>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低于（含等于）最高投标限价</w:t>
            </w:r>
          </w:p>
        </w:tc>
      </w:tr>
      <w:tr w14:paraId="16E68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906" w:type="dxa"/>
            <w:vMerge w:val="continue"/>
            <w:tcBorders>
              <w:left w:val="single" w:color="auto" w:sz="4" w:space="0"/>
              <w:bottom w:val="single" w:color="auto" w:sz="4" w:space="0"/>
              <w:right w:val="single" w:color="auto" w:sz="4" w:space="0"/>
            </w:tcBorders>
            <w:vAlign w:val="center"/>
          </w:tcPr>
          <w:p w14:paraId="7FA64621">
            <w:pPr>
              <w:spacing w:line="360" w:lineRule="auto"/>
              <w:jc w:val="center"/>
              <w:rPr>
                <w:rFonts w:cs="宋体" w:asciiTheme="minorEastAsia" w:hAnsiTheme="minorEastAsia" w:eastAsiaTheme="minorEastAsia"/>
                <w:sz w:val="24"/>
              </w:rPr>
            </w:pPr>
          </w:p>
        </w:tc>
        <w:tc>
          <w:tcPr>
            <w:tcW w:w="1259" w:type="dxa"/>
            <w:vMerge w:val="continue"/>
            <w:tcBorders>
              <w:left w:val="single" w:color="auto" w:sz="4" w:space="0"/>
              <w:bottom w:val="single" w:color="auto" w:sz="4" w:space="0"/>
              <w:right w:val="single" w:color="auto" w:sz="4" w:space="0"/>
            </w:tcBorders>
            <w:vAlign w:val="center"/>
          </w:tcPr>
          <w:p w14:paraId="4E8152AC">
            <w:pPr>
              <w:spacing w:line="360" w:lineRule="auto"/>
              <w:jc w:val="center"/>
              <w:rPr>
                <w:rFonts w:cs="宋体" w:asciiTheme="minorEastAsia" w:hAnsiTheme="minorEastAsia" w:eastAsiaTheme="minorEastAsia"/>
                <w:sz w:val="24"/>
              </w:rPr>
            </w:pPr>
          </w:p>
        </w:tc>
        <w:tc>
          <w:tcPr>
            <w:tcW w:w="2210" w:type="dxa"/>
            <w:tcBorders>
              <w:top w:val="single" w:color="auto" w:sz="4" w:space="0"/>
              <w:left w:val="single" w:color="auto" w:sz="4" w:space="0"/>
              <w:bottom w:val="single" w:color="auto" w:sz="4" w:space="0"/>
              <w:right w:val="single" w:color="auto" w:sz="4" w:space="0"/>
            </w:tcBorders>
            <w:vAlign w:val="center"/>
          </w:tcPr>
          <w:p w14:paraId="0B765AA3">
            <w:pPr>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投标有效期</w:t>
            </w:r>
          </w:p>
        </w:tc>
        <w:tc>
          <w:tcPr>
            <w:tcW w:w="5103" w:type="dxa"/>
            <w:tcBorders>
              <w:top w:val="single" w:color="auto" w:sz="4" w:space="0"/>
              <w:left w:val="single" w:color="auto" w:sz="4" w:space="0"/>
              <w:bottom w:val="single" w:color="auto" w:sz="4" w:space="0"/>
              <w:right w:val="single" w:color="auto" w:sz="4" w:space="0"/>
            </w:tcBorders>
            <w:vAlign w:val="center"/>
          </w:tcPr>
          <w:p w14:paraId="38E4E53A">
            <w:pPr>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符合第二章“投标人须知”规定</w:t>
            </w:r>
          </w:p>
        </w:tc>
      </w:tr>
      <w:tr w14:paraId="2A11D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2165" w:type="dxa"/>
            <w:gridSpan w:val="2"/>
            <w:tcBorders>
              <w:top w:val="single" w:color="auto" w:sz="4" w:space="0"/>
              <w:left w:val="single" w:color="auto" w:sz="4" w:space="0"/>
              <w:bottom w:val="single" w:color="auto" w:sz="4" w:space="0"/>
              <w:right w:val="single" w:color="auto" w:sz="4" w:space="0"/>
            </w:tcBorders>
            <w:vAlign w:val="center"/>
          </w:tcPr>
          <w:p w14:paraId="0B8957DB">
            <w:pPr>
              <w:spacing w:line="360" w:lineRule="auto"/>
              <w:jc w:val="center"/>
              <w:rPr>
                <w:rFonts w:cs="宋体" w:asciiTheme="minorEastAsia" w:hAnsiTheme="minorEastAsia" w:eastAsiaTheme="minorEastAsia"/>
                <w:b/>
                <w:sz w:val="24"/>
              </w:rPr>
            </w:pPr>
            <w:bookmarkStart w:id="60" w:name="OLE_LINK102"/>
            <w:bookmarkStart w:id="61" w:name="OLE_LINK103"/>
            <w:r>
              <w:rPr>
                <w:rFonts w:hint="eastAsia" w:cs="宋体" w:asciiTheme="minorEastAsia" w:hAnsiTheme="minorEastAsia" w:eastAsiaTheme="minorEastAsia"/>
                <w:b/>
                <w:sz w:val="24"/>
              </w:rPr>
              <w:t>条款号</w:t>
            </w:r>
          </w:p>
        </w:tc>
        <w:tc>
          <w:tcPr>
            <w:tcW w:w="2210" w:type="dxa"/>
            <w:tcBorders>
              <w:top w:val="single" w:color="auto" w:sz="4" w:space="0"/>
              <w:left w:val="single" w:color="auto" w:sz="4" w:space="0"/>
              <w:bottom w:val="single" w:color="auto" w:sz="4" w:space="0"/>
              <w:right w:val="single" w:color="auto" w:sz="4" w:space="0"/>
            </w:tcBorders>
            <w:vAlign w:val="center"/>
          </w:tcPr>
          <w:p w14:paraId="72B76E94">
            <w:pPr>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条款内容</w:t>
            </w:r>
          </w:p>
        </w:tc>
        <w:tc>
          <w:tcPr>
            <w:tcW w:w="5103" w:type="dxa"/>
            <w:tcBorders>
              <w:top w:val="single" w:color="auto" w:sz="4" w:space="0"/>
              <w:left w:val="single" w:color="auto" w:sz="4" w:space="0"/>
              <w:bottom w:val="single" w:color="auto" w:sz="4" w:space="0"/>
              <w:right w:val="single" w:color="auto" w:sz="4" w:space="0"/>
            </w:tcBorders>
            <w:vAlign w:val="center"/>
          </w:tcPr>
          <w:p w14:paraId="5195DE98">
            <w:pPr>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编列内容</w:t>
            </w:r>
          </w:p>
        </w:tc>
      </w:tr>
      <w:tr w14:paraId="73B1A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7" w:hRule="atLeast"/>
          <w:jc w:val="center"/>
        </w:trPr>
        <w:tc>
          <w:tcPr>
            <w:tcW w:w="2165" w:type="dxa"/>
            <w:gridSpan w:val="2"/>
            <w:tcBorders>
              <w:top w:val="single" w:color="auto" w:sz="4" w:space="0"/>
              <w:left w:val="single" w:color="auto" w:sz="4" w:space="0"/>
              <w:bottom w:val="single" w:color="auto" w:sz="4" w:space="0"/>
              <w:right w:val="single" w:color="auto" w:sz="4" w:space="0"/>
            </w:tcBorders>
            <w:vAlign w:val="center"/>
          </w:tcPr>
          <w:p w14:paraId="708A658B">
            <w:pPr>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2.2.1</w:t>
            </w:r>
          </w:p>
        </w:tc>
        <w:tc>
          <w:tcPr>
            <w:tcW w:w="2210" w:type="dxa"/>
            <w:tcBorders>
              <w:top w:val="single" w:color="auto" w:sz="4" w:space="0"/>
              <w:left w:val="single" w:color="auto" w:sz="4" w:space="0"/>
              <w:bottom w:val="single" w:color="auto" w:sz="4" w:space="0"/>
              <w:right w:val="single" w:color="auto" w:sz="4" w:space="0"/>
            </w:tcBorders>
            <w:vAlign w:val="center"/>
          </w:tcPr>
          <w:p w14:paraId="743BD60E">
            <w:pPr>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分值构成</w:t>
            </w:r>
          </w:p>
          <w:p w14:paraId="0EE17292">
            <w:pPr>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(总分100分)</w:t>
            </w:r>
          </w:p>
        </w:tc>
        <w:tc>
          <w:tcPr>
            <w:tcW w:w="5103" w:type="dxa"/>
            <w:tcBorders>
              <w:top w:val="single" w:color="auto" w:sz="4" w:space="0"/>
              <w:left w:val="single" w:color="auto" w:sz="4" w:space="0"/>
              <w:bottom w:val="single" w:color="auto" w:sz="4" w:space="0"/>
              <w:right w:val="single" w:color="auto" w:sz="4" w:space="0"/>
            </w:tcBorders>
            <w:vAlign w:val="center"/>
          </w:tcPr>
          <w:p w14:paraId="53C65FDE">
            <w:pPr>
              <w:spacing w:line="360" w:lineRule="auto"/>
              <w:rPr>
                <w:rFonts w:cs="宋体" w:asciiTheme="minorEastAsia" w:hAnsiTheme="minorEastAsia" w:eastAsiaTheme="minorEastAsia"/>
                <w:b/>
                <w:sz w:val="24"/>
              </w:rPr>
            </w:pPr>
            <w:r>
              <w:rPr>
                <w:rFonts w:hint="eastAsia" w:cs="宋体" w:asciiTheme="minorEastAsia" w:hAnsiTheme="minorEastAsia" w:eastAsiaTheme="minorEastAsia"/>
                <w:b/>
                <w:sz w:val="24"/>
              </w:rPr>
              <w:t>投标报价：30分</w:t>
            </w:r>
          </w:p>
          <w:p w14:paraId="6A9BE70C">
            <w:pPr>
              <w:spacing w:line="360" w:lineRule="auto"/>
              <w:rPr>
                <w:rFonts w:cs="宋体" w:asciiTheme="minorEastAsia" w:hAnsiTheme="minorEastAsia" w:eastAsiaTheme="minorEastAsia"/>
                <w:b/>
                <w:sz w:val="24"/>
              </w:rPr>
            </w:pPr>
            <w:r>
              <w:rPr>
                <w:rFonts w:hint="eastAsia" w:cs="宋体" w:asciiTheme="minorEastAsia" w:hAnsiTheme="minorEastAsia" w:eastAsiaTheme="minorEastAsia"/>
                <w:b/>
                <w:sz w:val="24"/>
              </w:rPr>
              <w:t>技术评审：60分</w:t>
            </w:r>
          </w:p>
          <w:p w14:paraId="00A1FF99">
            <w:pPr>
              <w:spacing w:line="360" w:lineRule="auto"/>
              <w:rPr>
                <w:rFonts w:cs="宋体" w:asciiTheme="minorEastAsia" w:hAnsiTheme="minorEastAsia" w:eastAsiaTheme="minorEastAsia"/>
                <w:sz w:val="24"/>
              </w:rPr>
            </w:pPr>
            <w:r>
              <w:rPr>
                <w:rFonts w:hint="eastAsia" w:cs="宋体" w:asciiTheme="minorEastAsia" w:hAnsiTheme="minorEastAsia" w:eastAsiaTheme="minorEastAsia"/>
                <w:b/>
                <w:sz w:val="24"/>
              </w:rPr>
              <w:t>商务评审：10分</w:t>
            </w:r>
          </w:p>
        </w:tc>
      </w:tr>
      <w:tr w14:paraId="65762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2" w:hRule="atLeast"/>
          <w:jc w:val="center"/>
        </w:trPr>
        <w:tc>
          <w:tcPr>
            <w:tcW w:w="2165" w:type="dxa"/>
            <w:gridSpan w:val="2"/>
            <w:tcBorders>
              <w:top w:val="single" w:color="auto" w:sz="4" w:space="0"/>
              <w:left w:val="single" w:color="auto" w:sz="4" w:space="0"/>
              <w:bottom w:val="single" w:color="auto" w:sz="4" w:space="0"/>
              <w:right w:val="single" w:color="auto" w:sz="4" w:space="0"/>
            </w:tcBorders>
            <w:vAlign w:val="center"/>
          </w:tcPr>
          <w:p w14:paraId="28252B78">
            <w:pPr>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2.2.2</w:t>
            </w:r>
          </w:p>
        </w:tc>
        <w:tc>
          <w:tcPr>
            <w:tcW w:w="2210" w:type="dxa"/>
            <w:tcBorders>
              <w:top w:val="single" w:color="auto" w:sz="4" w:space="0"/>
              <w:left w:val="single" w:color="auto" w:sz="4" w:space="0"/>
              <w:bottom w:val="single" w:color="auto" w:sz="4" w:space="0"/>
              <w:right w:val="single" w:color="auto" w:sz="4" w:space="0"/>
            </w:tcBorders>
            <w:vAlign w:val="center"/>
          </w:tcPr>
          <w:p w14:paraId="67FCB9FB">
            <w:pPr>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评标基准价计算方法</w:t>
            </w:r>
          </w:p>
        </w:tc>
        <w:tc>
          <w:tcPr>
            <w:tcW w:w="5103" w:type="dxa"/>
            <w:tcBorders>
              <w:top w:val="single" w:color="auto" w:sz="4" w:space="0"/>
              <w:left w:val="single" w:color="auto" w:sz="4" w:space="0"/>
              <w:bottom w:val="single" w:color="auto" w:sz="4" w:space="0"/>
              <w:right w:val="single" w:color="auto" w:sz="4" w:space="0"/>
            </w:tcBorders>
            <w:vAlign w:val="center"/>
          </w:tcPr>
          <w:p w14:paraId="5A6BF6FB">
            <w:pPr>
              <w:pStyle w:val="12"/>
              <w:spacing w:line="360" w:lineRule="auto"/>
              <w:ind w:left="0" w:leftChars="0"/>
              <w:rPr>
                <w:rFonts w:cs="宋体" w:asciiTheme="minorEastAsia" w:hAnsiTheme="minorEastAsia" w:eastAsiaTheme="minorEastAsia"/>
                <w:sz w:val="24"/>
              </w:rPr>
            </w:pPr>
            <w:bookmarkStart w:id="62" w:name="OLE_LINK14"/>
            <w:r>
              <w:rPr>
                <w:rFonts w:hint="eastAsia" w:cs="宋体" w:asciiTheme="minorEastAsia" w:hAnsiTheme="minorEastAsia" w:eastAsiaTheme="minorEastAsia"/>
                <w:sz w:val="24"/>
              </w:rPr>
              <w:t>对价格的评分采用低价优先法计算，即：满足招标文件要求且投标价格最低的投标报价为基准价，其价格分为满分</w:t>
            </w:r>
            <w:bookmarkEnd w:id="62"/>
            <w:r>
              <w:rPr>
                <w:rFonts w:hint="eastAsia" w:cs="宋体" w:asciiTheme="minorEastAsia" w:hAnsiTheme="minorEastAsia" w:eastAsiaTheme="minorEastAsia"/>
                <w:sz w:val="24"/>
              </w:rPr>
              <w:t>。</w:t>
            </w:r>
          </w:p>
        </w:tc>
      </w:tr>
      <w:tr w14:paraId="00DE4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jc w:val="center"/>
        </w:trPr>
        <w:tc>
          <w:tcPr>
            <w:tcW w:w="2165" w:type="dxa"/>
            <w:gridSpan w:val="2"/>
            <w:tcBorders>
              <w:top w:val="single" w:color="auto" w:sz="4" w:space="0"/>
              <w:left w:val="single" w:color="auto" w:sz="4" w:space="0"/>
              <w:bottom w:val="single" w:color="auto" w:sz="4" w:space="0"/>
              <w:right w:val="single" w:color="auto" w:sz="4" w:space="0"/>
            </w:tcBorders>
            <w:vAlign w:val="center"/>
          </w:tcPr>
          <w:p w14:paraId="4758D75F">
            <w:pPr>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2.2.3</w:t>
            </w:r>
          </w:p>
        </w:tc>
        <w:tc>
          <w:tcPr>
            <w:tcW w:w="2210" w:type="dxa"/>
            <w:tcBorders>
              <w:top w:val="single" w:color="auto" w:sz="4" w:space="0"/>
              <w:left w:val="single" w:color="auto" w:sz="4" w:space="0"/>
              <w:bottom w:val="single" w:color="auto" w:sz="4" w:space="0"/>
              <w:right w:val="single" w:color="auto" w:sz="4" w:space="0"/>
            </w:tcBorders>
            <w:vAlign w:val="center"/>
          </w:tcPr>
          <w:p w14:paraId="5A48BF36">
            <w:pPr>
              <w:spacing w:line="360" w:lineRule="auto"/>
              <w:jc w:val="center"/>
              <w:rPr>
                <w:rFonts w:cs="宋体" w:asciiTheme="minorEastAsia" w:hAnsiTheme="minorEastAsia" w:eastAsiaTheme="minorEastAsia"/>
                <w:sz w:val="24"/>
              </w:rPr>
            </w:pPr>
            <w:bookmarkStart w:id="63" w:name="OLE_LINK15"/>
            <w:bookmarkStart w:id="64" w:name="OLE_LINK18"/>
            <w:r>
              <w:rPr>
                <w:rFonts w:hint="eastAsia" w:cs="宋体" w:asciiTheme="minorEastAsia" w:hAnsiTheme="minorEastAsia" w:eastAsiaTheme="minorEastAsia"/>
                <w:sz w:val="24"/>
              </w:rPr>
              <w:t>投标报价得分计算公式</w:t>
            </w:r>
            <w:bookmarkEnd w:id="63"/>
            <w:bookmarkEnd w:id="64"/>
          </w:p>
        </w:tc>
        <w:tc>
          <w:tcPr>
            <w:tcW w:w="5103" w:type="dxa"/>
            <w:tcBorders>
              <w:top w:val="single" w:color="auto" w:sz="4" w:space="0"/>
              <w:left w:val="single" w:color="auto" w:sz="4" w:space="0"/>
              <w:bottom w:val="single" w:color="auto" w:sz="4" w:space="0"/>
              <w:right w:val="single" w:color="auto" w:sz="4" w:space="0"/>
            </w:tcBorders>
            <w:vAlign w:val="center"/>
          </w:tcPr>
          <w:p w14:paraId="02217670">
            <w:pPr>
              <w:spacing w:line="360" w:lineRule="auto"/>
              <w:rPr>
                <w:rFonts w:cs="宋体" w:asciiTheme="minorEastAsia" w:hAnsiTheme="minorEastAsia" w:eastAsiaTheme="minorEastAsia"/>
                <w:sz w:val="24"/>
              </w:rPr>
            </w:pPr>
            <w:bookmarkStart w:id="65" w:name="OLE_LINK21"/>
            <w:bookmarkStart w:id="66" w:name="OLE_LINK22"/>
            <w:r>
              <w:rPr>
                <w:rFonts w:hint="eastAsia" w:cs="宋体" w:asciiTheme="minorEastAsia" w:hAnsiTheme="minorEastAsia" w:eastAsiaTheme="minorEastAsia"/>
                <w:sz w:val="24"/>
              </w:rPr>
              <w:t>投标报价得分</w:t>
            </w:r>
            <w:r>
              <w:rPr>
                <w:rFonts w:cs="宋体" w:asciiTheme="minorEastAsia" w:hAnsiTheme="minorEastAsia" w:eastAsiaTheme="minorEastAsia"/>
                <w:sz w:val="24"/>
              </w:rPr>
              <w:t>=</w:t>
            </w:r>
            <w:r>
              <w:rPr>
                <w:rFonts w:hint="eastAsia" w:cs="宋体" w:asciiTheme="minorEastAsia" w:hAnsiTheme="minorEastAsia" w:eastAsiaTheme="minorEastAsia"/>
                <w:sz w:val="24"/>
              </w:rPr>
              <w:t>（评标基准价</w:t>
            </w:r>
            <w:r>
              <w:rPr>
                <w:rFonts w:cs="宋体" w:asciiTheme="minorEastAsia" w:hAnsiTheme="minorEastAsia" w:eastAsiaTheme="minorEastAsia"/>
                <w:sz w:val="24"/>
              </w:rPr>
              <w:t>/</w:t>
            </w:r>
            <w:r>
              <w:rPr>
                <w:rFonts w:hint="eastAsia" w:cs="宋体" w:asciiTheme="minorEastAsia" w:hAnsiTheme="minorEastAsia" w:eastAsiaTheme="minorEastAsia"/>
                <w:sz w:val="24"/>
              </w:rPr>
              <w:t>投标报价）×价格</w:t>
            </w:r>
            <w:r>
              <w:rPr>
                <w:rFonts w:hint="eastAsia" w:cs="宋体" w:asciiTheme="minorEastAsia" w:hAnsiTheme="minorEastAsia" w:eastAsiaTheme="minorEastAsia"/>
                <w:sz w:val="24"/>
                <w:lang w:eastAsia="zh-CN"/>
              </w:rPr>
              <w:t>分</w:t>
            </w:r>
            <w:r>
              <w:rPr>
                <w:rFonts w:hint="eastAsia" w:cs="宋体" w:asciiTheme="minorEastAsia" w:hAnsiTheme="minorEastAsia" w:eastAsiaTheme="minorEastAsia"/>
                <w:sz w:val="24"/>
              </w:rPr>
              <w:t>（</w:t>
            </w:r>
            <w:r>
              <w:rPr>
                <w:rFonts w:cs="宋体" w:asciiTheme="minorEastAsia" w:hAnsiTheme="minorEastAsia" w:eastAsiaTheme="minorEastAsia"/>
                <w:sz w:val="24"/>
              </w:rPr>
              <w:t>30</w:t>
            </w:r>
            <w:r>
              <w:rPr>
                <w:rFonts w:hint="eastAsia" w:cs="宋体" w:asciiTheme="minorEastAsia" w:hAnsiTheme="minorEastAsia" w:eastAsiaTheme="minorEastAsia"/>
                <w:sz w:val="24"/>
              </w:rPr>
              <w:t>）</w:t>
            </w:r>
            <w:bookmarkEnd w:id="65"/>
            <w:bookmarkEnd w:id="66"/>
          </w:p>
        </w:tc>
      </w:tr>
      <w:tr w14:paraId="3EC9F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2165" w:type="dxa"/>
            <w:gridSpan w:val="2"/>
            <w:tcBorders>
              <w:top w:val="single" w:color="auto" w:sz="4" w:space="0"/>
              <w:left w:val="single" w:color="auto" w:sz="4" w:space="0"/>
              <w:bottom w:val="single" w:color="auto" w:sz="4" w:space="0"/>
              <w:right w:val="single" w:color="auto" w:sz="4" w:space="0"/>
            </w:tcBorders>
            <w:vAlign w:val="center"/>
          </w:tcPr>
          <w:p w14:paraId="56851BBA">
            <w:pPr>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条款号</w:t>
            </w:r>
          </w:p>
        </w:tc>
        <w:tc>
          <w:tcPr>
            <w:tcW w:w="2210" w:type="dxa"/>
            <w:tcBorders>
              <w:top w:val="single" w:color="auto" w:sz="4" w:space="0"/>
              <w:left w:val="single" w:color="auto" w:sz="4" w:space="0"/>
              <w:bottom w:val="single" w:color="auto" w:sz="4" w:space="0"/>
              <w:right w:val="single" w:color="auto" w:sz="4" w:space="0"/>
            </w:tcBorders>
            <w:vAlign w:val="center"/>
          </w:tcPr>
          <w:p w14:paraId="4880334E">
            <w:pPr>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评分因素</w:t>
            </w:r>
          </w:p>
        </w:tc>
        <w:tc>
          <w:tcPr>
            <w:tcW w:w="5103" w:type="dxa"/>
            <w:tcBorders>
              <w:top w:val="single" w:color="auto" w:sz="4" w:space="0"/>
              <w:left w:val="single" w:color="auto" w:sz="4" w:space="0"/>
              <w:bottom w:val="single" w:color="auto" w:sz="4" w:space="0"/>
              <w:right w:val="single" w:color="auto" w:sz="4" w:space="0"/>
            </w:tcBorders>
            <w:vAlign w:val="center"/>
          </w:tcPr>
          <w:p w14:paraId="39AC5962">
            <w:pPr>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评分标准</w:t>
            </w:r>
          </w:p>
        </w:tc>
      </w:tr>
      <w:tr w14:paraId="2F400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3" w:hRule="atLeast"/>
          <w:jc w:val="center"/>
        </w:trPr>
        <w:tc>
          <w:tcPr>
            <w:tcW w:w="906" w:type="dxa"/>
            <w:tcBorders>
              <w:top w:val="single" w:color="auto" w:sz="4" w:space="0"/>
              <w:left w:val="single" w:color="auto" w:sz="4" w:space="0"/>
              <w:bottom w:val="single" w:color="auto" w:sz="4" w:space="0"/>
              <w:right w:val="single" w:color="auto" w:sz="4" w:space="0"/>
            </w:tcBorders>
            <w:vAlign w:val="center"/>
          </w:tcPr>
          <w:p w14:paraId="272A71DE">
            <w:pPr>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2.2.4（1）</w:t>
            </w:r>
          </w:p>
        </w:tc>
        <w:tc>
          <w:tcPr>
            <w:tcW w:w="1259" w:type="dxa"/>
            <w:tcBorders>
              <w:top w:val="single" w:color="auto" w:sz="4" w:space="0"/>
              <w:left w:val="single" w:color="auto" w:sz="4" w:space="0"/>
              <w:bottom w:val="single" w:color="auto" w:sz="4" w:space="0"/>
              <w:right w:val="single" w:color="auto" w:sz="4" w:space="0"/>
            </w:tcBorders>
            <w:vAlign w:val="center"/>
          </w:tcPr>
          <w:p w14:paraId="28C36986">
            <w:pPr>
              <w:spacing w:line="360" w:lineRule="auto"/>
              <w:jc w:val="center"/>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投标报价评分标准</w:t>
            </w:r>
          </w:p>
          <w:p w14:paraId="6E0F013D">
            <w:pPr>
              <w:spacing w:line="360" w:lineRule="auto"/>
              <w:jc w:val="center"/>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(30分)</w:t>
            </w:r>
          </w:p>
        </w:tc>
        <w:tc>
          <w:tcPr>
            <w:tcW w:w="2210" w:type="dxa"/>
            <w:tcBorders>
              <w:top w:val="single" w:color="auto" w:sz="4" w:space="0"/>
              <w:left w:val="single" w:color="auto" w:sz="4" w:space="0"/>
              <w:bottom w:val="single" w:color="auto" w:sz="4" w:space="0"/>
              <w:right w:val="single" w:color="auto" w:sz="4" w:space="0"/>
            </w:tcBorders>
            <w:vAlign w:val="center"/>
          </w:tcPr>
          <w:p w14:paraId="701FCB68">
            <w:pPr>
              <w:spacing w:line="360" w:lineRule="auto"/>
              <w:jc w:val="center"/>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计算方法</w:t>
            </w:r>
          </w:p>
        </w:tc>
        <w:tc>
          <w:tcPr>
            <w:tcW w:w="5103" w:type="dxa"/>
            <w:tcBorders>
              <w:top w:val="single" w:color="auto" w:sz="4" w:space="0"/>
              <w:left w:val="single" w:color="auto" w:sz="4" w:space="0"/>
              <w:bottom w:val="single" w:color="auto" w:sz="4" w:space="0"/>
              <w:right w:val="single" w:color="auto" w:sz="4" w:space="0"/>
            </w:tcBorders>
            <w:vAlign w:val="center"/>
          </w:tcPr>
          <w:p w14:paraId="41B87942">
            <w:pPr>
              <w:spacing w:line="360" w:lineRule="auto"/>
              <w:jc w:val="left"/>
              <w:rPr>
                <w:rFonts w:hint="eastAsia"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投标报价得分=（评标基准价/投标报价）×价格</w:t>
            </w:r>
            <w:r>
              <w:rPr>
                <w:rFonts w:hint="eastAsia" w:cs="宋体" w:asciiTheme="minorEastAsia" w:hAnsiTheme="minorEastAsia" w:eastAsiaTheme="minorEastAsia"/>
                <w:sz w:val="24"/>
                <w:highlight w:val="none"/>
                <w:lang w:eastAsia="zh-CN"/>
              </w:rPr>
              <w:t>分值</w:t>
            </w:r>
            <w:r>
              <w:rPr>
                <w:rFonts w:hint="eastAsia" w:cs="宋体" w:asciiTheme="minorEastAsia" w:hAnsiTheme="minorEastAsia" w:eastAsiaTheme="minorEastAsia"/>
                <w:sz w:val="24"/>
                <w:highlight w:val="none"/>
              </w:rPr>
              <w:t>（30）</w:t>
            </w:r>
          </w:p>
          <w:p w14:paraId="7B0AE2AA">
            <w:pPr>
              <w:spacing w:line="360" w:lineRule="auto"/>
              <w:jc w:val="left"/>
              <w:rPr>
                <w:rFonts w:hint="eastAsia" w:cs="宋体" w:asciiTheme="minorEastAsia" w:hAnsiTheme="minorEastAsia" w:eastAsiaTheme="minorEastAsia"/>
                <w:sz w:val="24"/>
                <w:highlight w:val="none"/>
                <w:lang w:eastAsia="zh-CN"/>
              </w:rPr>
            </w:pPr>
            <w:r>
              <w:rPr>
                <w:rFonts w:hint="eastAsia" w:cs="宋体" w:asciiTheme="minorEastAsia" w:hAnsiTheme="minorEastAsia" w:eastAsiaTheme="minorEastAsia"/>
                <w:sz w:val="24"/>
                <w:highlight w:val="none"/>
                <w:lang w:eastAsia="zh-CN"/>
              </w:rPr>
              <w:t>【注：满足招标文件要求且投标价格最低的投标报价为评标基准价。】最低报价不是中标唯一依据。因落实政府采购进行价格调整的，以调整的价格计算评标基准价和投标报价。</w:t>
            </w:r>
          </w:p>
        </w:tc>
      </w:tr>
      <w:tr w14:paraId="1FA5F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jc w:val="center"/>
        </w:trPr>
        <w:tc>
          <w:tcPr>
            <w:tcW w:w="906" w:type="dxa"/>
            <w:vMerge w:val="restart"/>
            <w:tcBorders>
              <w:top w:val="single" w:color="auto" w:sz="4" w:space="0"/>
              <w:left w:val="single" w:color="auto" w:sz="4" w:space="0"/>
              <w:bottom w:val="single" w:color="auto" w:sz="4" w:space="0"/>
              <w:right w:val="single" w:color="auto" w:sz="4" w:space="0"/>
            </w:tcBorders>
            <w:vAlign w:val="center"/>
          </w:tcPr>
          <w:p w14:paraId="563B0551">
            <w:pPr>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2.2.4（2）</w:t>
            </w:r>
          </w:p>
        </w:tc>
        <w:tc>
          <w:tcPr>
            <w:tcW w:w="1259" w:type="dxa"/>
            <w:vMerge w:val="restart"/>
            <w:tcBorders>
              <w:top w:val="single" w:color="auto" w:sz="4" w:space="0"/>
              <w:left w:val="single" w:color="auto" w:sz="4" w:space="0"/>
              <w:bottom w:val="single" w:color="auto" w:sz="4" w:space="0"/>
              <w:right w:val="single" w:color="auto" w:sz="4" w:space="0"/>
            </w:tcBorders>
            <w:vAlign w:val="center"/>
          </w:tcPr>
          <w:p w14:paraId="4172C9F2">
            <w:pPr>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技术</w:t>
            </w:r>
          </w:p>
          <w:p w14:paraId="0A7CC6A5">
            <w:pPr>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评审</w:t>
            </w:r>
          </w:p>
          <w:p w14:paraId="5F7E9D6E">
            <w:pPr>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（60分）</w:t>
            </w:r>
          </w:p>
        </w:tc>
        <w:tc>
          <w:tcPr>
            <w:tcW w:w="2210" w:type="dxa"/>
            <w:tcBorders>
              <w:top w:val="single" w:color="auto" w:sz="4" w:space="0"/>
              <w:left w:val="single" w:color="auto" w:sz="4" w:space="0"/>
              <w:bottom w:val="single" w:color="auto" w:sz="4" w:space="0"/>
              <w:right w:val="single" w:color="auto" w:sz="4" w:space="0"/>
            </w:tcBorders>
            <w:vAlign w:val="center"/>
          </w:tcPr>
          <w:p w14:paraId="22377B6A">
            <w:pPr>
              <w:spacing w:line="360" w:lineRule="auto"/>
              <w:jc w:val="center"/>
              <w:rPr>
                <w:rFonts w:cs="宋体" w:asciiTheme="minorEastAsia" w:hAnsiTheme="minorEastAsia" w:eastAsiaTheme="minorEastAsia"/>
                <w:sz w:val="24"/>
                <w:highlight w:val="none"/>
              </w:rPr>
            </w:pPr>
            <w:r>
              <w:rPr>
                <w:rFonts w:cs="宋体" w:asciiTheme="minorEastAsia" w:hAnsiTheme="minorEastAsia" w:eastAsiaTheme="minorEastAsia"/>
                <w:sz w:val="24"/>
                <w:highlight w:val="none"/>
                <w:lang w:val="en-US" w:eastAsia="zh-CN"/>
              </w:rPr>
              <w:t>会议系统核心设备参数匹配度（</w:t>
            </w:r>
            <w:r>
              <w:rPr>
                <w:rFonts w:hint="eastAsia" w:cs="宋体" w:asciiTheme="minorEastAsia" w:hAnsiTheme="minorEastAsia" w:eastAsiaTheme="minorEastAsia"/>
                <w:sz w:val="24"/>
                <w:highlight w:val="none"/>
                <w:lang w:val="en-US" w:eastAsia="zh-CN"/>
              </w:rPr>
              <w:t>0-</w:t>
            </w:r>
            <w:r>
              <w:rPr>
                <w:rFonts w:cs="宋体" w:asciiTheme="minorEastAsia" w:hAnsiTheme="minorEastAsia" w:eastAsiaTheme="minorEastAsia"/>
                <w:sz w:val="24"/>
                <w:highlight w:val="none"/>
                <w:lang w:val="en-US" w:eastAsia="zh-CN"/>
              </w:rPr>
              <w:t>25分）</w:t>
            </w:r>
          </w:p>
        </w:tc>
        <w:tc>
          <w:tcPr>
            <w:tcW w:w="5103" w:type="dxa"/>
            <w:tcBorders>
              <w:top w:val="single" w:color="auto" w:sz="4" w:space="0"/>
              <w:left w:val="single" w:color="auto" w:sz="4" w:space="0"/>
              <w:bottom w:val="single" w:color="auto" w:sz="4" w:space="0"/>
              <w:right w:val="single" w:color="auto" w:sz="4" w:space="0"/>
            </w:tcBorders>
            <w:vAlign w:val="center"/>
          </w:tcPr>
          <w:p w14:paraId="4A28B7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color w:val="000000"/>
                <w:sz w:val="24"/>
                <w:szCs w:val="24"/>
                <w:highlight w:val="none"/>
              </w:rPr>
            </w:pPr>
            <w:r>
              <w:rPr>
                <w:color w:val="000000"/>
                <w:sz w:val="24"/>
                <w:szCs w:val="24"/>
                <w:highlight w:val="none"/>
              </w:rPr>
              <w:t>投标人所投设备技术参数完全满足或正偏离招标文件要求的，本项得满分25分。</w:t>
            </w:r>
          </w:p>
          <w:p w14:paraId="7D97CB2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color w:val="000000"/>
                <w:sz w:val="24"/>
                <w:szCs w:val="24"/>
                <w:highlight w:val="none"/>
              </w:rPr>
            </w:pPr>
            <w:r>
              <w:rPr>
                <w:color w:val="000000"/>
                <w:sz w:val="24"/>
                <w:szCs w:val="24"/>
                <w:highlight w:val="none"/>
              </w:rPr>
              <w:t>标注“▲”的</w:t>
            </w:r>
            <w:r>
              <w:rPr>
                <w:rFonts w:hint="eastAsia"/>
                <w:color w:val="000000"/>
                <w:sz w:val="24"/>
                <w:szCs w:val="24"/>
                <w:highlight w:val="none"/>
                <w:lang w:eastAsia="zh-CN"/>
              </w:rPr>
              <w:t>为</w:t>
            </w:r>
            <w:r>
              <w:rPr>
                <w:color w:val="000000"/>
                <w:sz w:val="24"/>
                <w:szCs w:val="24"/>
                <w:highlight w:val="none"/>
              </w:rPr>
              <w:t>重要技术参数（共50项）：每出现1项不满足、负偏离或无响应，扣1分；本项累计最多扣15分，扣完即止。未标注“▲”的</w:t>
            </w:r>
            <w:r>
              <w:rPr>
                <w:rFonts w:hint="eastAsia"/>
                <w:color w:val="000000"/>
                <w:sz w:val="24"/>
                <w:szCs w:val="24"/>
                <w:highlight w:val="none"/>
                <w:lang w:eastAsia="zh-CN"/>
              </w:rPr>
              <w:t>为</w:t>
            </w:r>
            <w:r>
              <w:rPr>
                <w:color w:val="000000"/>
                <w:sz w:val="24"/>
                <w:szCs w:val="24"/>
                <w:highlight w:val="none"/>
              </w:rPr>
              <w:t>一般技术参数：每出现1项不满足、负偏离或无响应，扣0.1分；本项累计最多扣10分，扣完即止。本项最低得分为0分，不计负分；正偏离不额外加分。</w:t>
            </w:r>
          </w:p>
          <w:p w14:paraId="441DEEB2">
            <w:pPr>
              <w:keepNext w:val="0"/>
              <w:keepLines w:val="0"/>
              <w:widowControl/>
              <w:suppressLineNumbers w:val="0"/>
              <w:spacing w:line="360" w:lineRule="auto"/>
              <w:jc w:val="left"/>
              <w:rPr>
                <w:rFonts w:hint="eastAsia" w:ascii="宋体" w:hAnsi="宋体" w:eastAsia="宋体" w:cs="宋体"/>
                <w:kern w:val="0"/>
                <w:sz w:val="24"/>
                <w:szCs w:val="24"/>
                <w:highlight w:val="none"/>
                <w:lang w:val="en-US" w:eastAsia="zh-CN" w:bidi="ar"/>
              </w:rPr>
            </w:pPr>
            <w:r>
              <w:rPr>
                <w:rFonts w:hint="eastAsia" w:cs="宋体" w:asciiTheme="minorEastAsia" w:hAnsiTheme="minorEastAsia" w:eastAsiaTheme="minorEastAsia"/>
                <w:b/>
                <w:bCs/>
                <w:sz w:val="24"/>
                <w:highlight w:val="none"/>
                <w:lang w:val="en-US" w:eastAsia="zh-CN"/>
              </w:rPr>
              <w:t>注：</w:t>
            </w:r>
            <w:r>
              <w:rPr>
                <w:b/>
                <w:bCs/>
                <w:color w:val="000000"/>
                <w:sz w:val="24"/>
                <w:szCs w:val="24"/>
                <w:highlight w:val="none"/>
              </w:rPr>
              <w:t>证明材料要求须提供技术参数偏离表及对应设备技术佐证资料，未提供有效证明材料的本项不得分</w:t>
            </w:r>
            <w:r>
              <w:rPr>
                <w:rFonts w:hint="eastAsia" w:cs="宋体" w:asciiTheme="minorEastAsia" w:hAnsiTheme="minorEastAsia" w:eastAsiaTheme="minorEastAsia"/>
                <w:b/>
                <w:bCs/>
                <w:sz w:val="24"/>
                <w:highlight w:val="none"/>
                <w:lang w:val="en-US" w:eastAsia="zh-CN"/>
              </w:rPr>
              <w:t>。</w:t>
            </w:r>
          </w:p>
        </w:tc>
      </w:tr>
      <w:tr w14:paraId="4D049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18" w:hRule="atLeast"/>
          <w:jc w:val="center"/>
        </w:trPr>
        <w:tc>
          <w:tcPr>
            <w:tcW w:w="906" w:type="dxa"/>
            <w:vMerge w:val="continue"/>
            <w:tcBorders>
              <w:top w:val="single" w:color="auto" w:sz="4" w:space="0"/>
              <w:left w:val="single" w:color="auto" w:sz="4" w:space="0"/>
              <w:bottom w:val="single" w:color="auto" w:sz="4" w:space="0"/>
              <w:right w:val="single" w:color="auto" w:sz="4" w:space="0"/>
            </w:tcBorders>
            <w:vAlign w:val="center"/>
          </w:tcPr>
          <w:p w14:paraId="6E6821E7">
            <w:pPr>
              <w:spacing w:line="360" w:lineRule="auto"/>
              <w:jc w:val="center"/>
              <w:rPr>
                <w:rFonts w:cs="宋体" w:asciiTheme="minorEastAsia" w:hAnsiTheme="minorEastAsia" w:eastAsiaTheme="minorEastAsia"/>
                <w:sz w:val="24"/>
              </w:rPr>
            </w:pPr>
          </w:p>
        </w:tc>
        <w:tc>
          <w:tcPr>
            <w:tcW w:w="1259" w:type="dxa"/>
            <w:vMerge w:val="continue"/>
            <w:tcBorders>
              <w:top w:val="single" w:color="auto" w:sz="4" w:space="0"/>
              <w:left w:val="single" w:color="auto" w:sz="4" w:space="0"/>
              <w:bottom w:val="single" w:color="auto" w:sz="4" w:space="0"/>
              <w:right w:val="single" w:color="auto" w:sz="4" w:space="0"/>
            </w:tcBorders>
            <w:vAlign w:val="center"/>
          </w:tcPr>
          <w:p w14:paraId="309AA753">
            <w:pPr>
              <w:spacing w:line="360" w:lineRule="auto"/>
              <w:jc w:val="center"/>
              <w:rPr>
                <w:rFonts w:cs="宋体" w:asciiTheme="minorEastAsia" w:hAnsiTheme="minorEastAsia" w:eastAsiaTheme="minorEastAsia"/>
                <w:sz w:val="24"/>
              </w:rPr>
            </w:pPr>
          </w:p>
        </w:tc>
        <w:tc>
          <w:tcPr>
            <w:tcW w:w="2210" w:type="dxa"/>
            <w:tcBorders>
              <w:top w:val="single" w:color="auto" w:sz="4" w:space="0"/>
              <w:left w:val="single" w:color="auto" w:sz="4" w:space="0"/>
              <w:right w:val="single" w:color="auto" w:sz="4" w:space="0"/>
            </w:tcBorders>
            <w:vAlign w:val="center"/>
          </w:tcPr>
          <w:p w14:paraId="32FD48D2">
            <w:pPr>
              <w:spacing w:line="360" w:lineRule="auto"/>
              <w:jc w:val="center"/>
              <w:rPr>
                <w:rFonts w:cs="宋体" w:asciiTheme="minorEastAsia" w:hAnsiTheme="minorEastAsia" w:eastAsiaTheme="minorEastAsia"/>
                <w:sz w:val="24"/>
                <w:highlight w:val="none"/>
              </w:rPr>
            </w:pPr>
            <w:r>
              <w:rPr>
                <w:rFonts w:cs="宋体" w:asciiTheme="minorEastAsia" w:hAnsiTheme="minorEastAsia" w:eastAsiaTheme="minorEastAsia"/>
                <w:sz w:val="24"/>
                <w:highlight w:val="none"/>
                <w:lang w:val="en-US" w:eastAsia="zh-CN"/>
              </w:rPr>
              <w:t>会议系统品质与涉密安全可靠性（</w:t>
            </w:r>
            <w:r>
              <w:rPr>
                <w:rFonts w:hint="eastAsia" w:cs="宋体" w:asciiTheme="minorEastAsia" w:hAnsiTheme="minorEastAsia" w:eastAsiaTheme="minorEastAsia"/>
                <w:sz w:val="24"/>
                <w:highlight w:val="none"/>
                <w:lang w:val="en-US" w:eastAsia="zh-CN"/>
              </w:rPr>
              <w:t>0-</w:t>
            </w:r>
            <w:r>
              <w:rPr>
                <w:rFonts w:cs="宋体" w:asciiTheme="minorEastAsia" w:hAnsiTheme="minorEastAsia" w:eastAsiaTheme="minorEastAsia"/>
                <w:sz w:val="24"/>
                <w:highlight w:val="none"/>
                <w:lang w:val="en-US" w:eastAsia="zh-CN"/>
              </w:rPr>
              <w:t>15分）</w:t>
            </w:r>
          </w:p>
        </w:tc>
        <w:tc>
          <w:tcPr>
            <w:tcW w:w="5103" w:type="dxa"/>
            <w:tcBorders>
              <w:top w:val="single" w:color="auto" w:sz="4" w:space="0"/>
              <w:left w:val="single" w:color="auto" w:sz="4" w:space="0"/>
              <w:bottom w:val="single" w:color="auto" w:sz="4" w:space="0"/>
              <w:right w:val="single" w:color="auto" w:sz="4" w:space="0"/>
            </w:tcBorders>
            <w:vAlign w:val="top"/>
          </w:tcPr>
          <w:p w14:paraId="6555255C">
            <w:pPr>
              <w:spacing w:line="360" w:lineRule="auto"/>
              <w:rPr>
                <w:rFonts w:hint="eastAsia" w:eastAsia="宋体" w:cs="宋体" w:asciiTheme="minorEastAsia" w:hAnsiTheme="minorEastAsia"/>
                <w:sz w:val="24"/>
                <w:highlight w:val="none"/>
                <w:lang w:val="en-US" w:eastAsia="zh-CN"/>
              </w:rPr>
            </w:pPr>
            <w:r>
              <w:rPr>
                <w:rFonts w:hint="eastAsia" w:eastAsia="宋体" w:cs="宋体" w:asciiTheme="minorEastAsia" w:hAnsiTheme="minorEastAsia"/>
                <w:sz w:val="24"/>
                <w:highlight w:val="none"/>
                <w:lang w:val="en-US" w:eastAsia="zh-CN"/>
              </w:rPr>
              <w:t>本项满分15分，针对所投会议系统设备整体品质、品牌实力、权威认证、涉密适配安全性等内容进行量化评审，依据有效证明材料逐项打分，具体细化评分标准如下：</w:t>
            </w:r>
          </w:p>
          <w:p w14:paraId="10F7721C">
            <w:pPr>
              <w:spacing w:line="360" w:lineRule="auto"/>
              <w:rPr>
                <w:rFonts w:hint="eastAsia" w:eastAsia="宋体" w:cs="宋体" w:asciiTheme="minorEastAsia" w:hAnsiTheme="minorEastAsia"/>
                <w:sz w:val="24"/>
                <w:highlight w:val="none"/>
                <w:lang w:val="en-US" w:eastAsia="zh-CN"/>
              </w:rPr>
            </w:pPr>
            <w:r>
              <w:rPr>
                <w:rFonts w:hint="eastAsia" w:eastAsia="宋体" w:cs="宋体" w:asciiTheme="minorEastAsia" w:hAnsiTheme="minorEastAsia"/>
                <w:b/>
                <w:bCs/>
                <w:sz w:val="24"/>
                <w:highlight w:val="none"/>
                <w:lang w:val="en-US" w:eastAsia="zh-CN"/>
              </w:rPr>
              <w:t>①品牌实力与原厂资质（4分）</w:t>
            </w:r>
            <w:r>
              <w:rPr>
                <w:rFonts w:hint="eastAsia" w:eastAsia="宋体" w:cs="宋体" w:asciiTheme="minorEastAsia" w:hAnsiTheme="minorEastAsia"/>
                <w:sz w:val="24"/>
                <w:highlight w:val="none"/>
                <w:lang w:val="en-US" w:eastAsia="zh-CN"/>
              </w:rPr>
              <w:t>：所投会议系统设备品牌行业认可度高、原厂资质完整有效、产品市场应用成熟广泛，得3分（含）～4分；原厂资质齐全、品牌正规合规、具备常规行业应用案例，得2分（含）～3分；原厂资质基本齐全、品牌合规、可满足基础使用需求，得0分（含）～2分；原厂资质缺失、无有效品牌及资质佐证，得0分。</w:t>
            </w:r>
          </w:p>
          <w:p w14:paraId="67D79E14">
            <w:pPr>
              <w:spacing w:line="360" w:lineRule="auto"/>
              <w:rPr>
                <w:rFonts w:hint="eastAsia" w:eastAsia="宋体" w:cs="宋体" w:asciiTheme="minorEastAsia" w:hAnsiTheme="minorEastAsia"/>
                <w:sz w:val="24"/>
                <w:highlight w:val="none"/>
                <w:lang w:val="en-US" w:eastAsia="zh-CN"/>
              </w:rPr>
            </w:pPr>
            <w:r>
              <w:rPr>
                <w:rFonts w:hint="eastAsia" w:eastAsia="宋体" w:cs="宋体" w:asciiTheme="minorEastAsia" w:hAnsiTheme="minorEastAsia"/>
                <w:b/>
                <w:bCs/>
                <w:sz w:val="24"/>
                <w:highlight w:val="none"/>
                <w:lang w:val="en-US" w:eastAsia="zh-CN"/>
              </w:rPr>
              <w:t>②权威检测与安全认证（4分）</w:t>
            </w:r>
            <w:r>
              <w:rPr>
                <w:rFonts w:hint="eastAsia" w:eastAsia="宋体" w:cs="宋体" w:asciiTheme="minorEastAsia" w:hAnsiTheme="minorEastAsia"/>
                <w:sz w:val="24"/>
                <w:highlight w:val="none"/>
                <w:lang w:val="en-US" w:eastAsia="zh-CN"/>
              </w:rPr>
              <w:t xml:space="preserve">：所投设备具备完整有效的国家及行业权威检测认证、齐全的信息安全相关认证，所有认证资料真实有效且在有效期内，得3分（含）～4分；具备核心权威检测及安全认证，少量非核心认证缺失，得2分（含）～3分；仅具备基础通用认证，专项涉密、信息安全认证缺失，得0分（含）～2分；无任何有效权威检测报告及安全认证，不得分。 </w:t>
            </w:r>
            <w:r>
              <w:rPr>
                <w:rFonts w:hint="eastAsia" w:eastAsia="宋体" w:cs="宋体" w:asciiTheme="minorEastAsia" w:hAnsiTheme="minorEastAsia"/>
                <w:b/>
                <w:bCs/>
                <w:sz w:val="24"/>
                <w:highlight w:val="none"/>
                <w:lang w:val="en-US" w:eastAsia="zh-CN"/>
              </w:rPr>
              <w:t>③产品成熟稳定性（3分）</w:t>
            </w:r>
            <w:r>
              <w:rPr>
                <w:rFonts w:hint="eastAsia" w:eastAsia="宋体" w:cs="宋体" w:asciiTheme="minorEastAsia" w:hAnsiTheme="minorEastAsia"/>
                <w:sz w:val="24"/>
                <w:highlight w:val="none"/>
                <w:lang w:val="en-US" w:eastAsia="zh-CN"/>
              </w:rPr>
              <w:t>：所投会议系统产品技术成熟、运行稳定、故障率极低，适配长期高频次会议使用场景，得2分（含）～3分；产品性能稳定、无质量缺陷，可满足涉密会议常规使用需求，得1分（含）～2分；产品性能基本稳定，仅可满足普通常规会议使用，得0分（含）～1分；产品性能不稳定、技术成熟度不足，存在运行故障隐患，不得分。</w:t>
            </w:r>
          </w:p>
          <w:p w14:paraId="0D93F7F9">
            <w:pPr>
              <w:spacing w:line="360" w:lineRule="auto"/>
              <w:rPr>
                <w:rFonts w:hint="eastAsia" w:eastAsia="宋体" w:cs="宋体" w:asciiTheme="minorEastAsia" w:hAnsiTheme="minorEastAsia"/>
                <w:sz w:val="24"/>
                <w:highlight w:val="none"/>
                <w:lang w:val="en-US" w:eastAsia="zh-CN"/>
              </w:rPr>
            </w:pPr>
            <w:r>
              <w:rPr>
                <w:rFonts w:hint="eastAsia" w:eastAsia="宋体" w:cs="宋体" w:asciiTheme="minorEastAsia" w:hAnsiTheme="minorEastAsia"/>
                <w:b/>
                <w:bCs/>
                <w:sz w:val="24"/>
                <w:highlight w:val="none"/>
                <w:lang w:val="en-US" w:eastAsia="zh-CN"/>
              </w:rPr>
              <w:t>④涉密场景适配安全（4分）</w:t>
            </w:r>
            <w:r>
              <w:rPr>
                <w:rFonts w:hint="eastAsia" w:eastAsia="宋体" w:cs="宋体" w:asciiTheme="minorEastAsia" w:hAnsiTheme="minorEastAsia"/>
                <w:sz w:val="24"/>
                <w:highlight w:val="none"/>
                <w:lang w:val="en-US" w:eastAsia="zh-CN"/>
              </w:rPr>
              <w:t>：所投设备完全适配海关涉密办公环境，涉密适配管控措施完善，无任何信息泄露安全风险，得3分（含）～4分；设备适配涉密会议场景，核心安全防护措施齐全，可满足涉密会议基本安全使用要求，得2分（含）～3分；设备涉密适配措施一般，仅适配普通办公会议场景，涉密防护能力有限，得0分（含）～2分；设备无法适配涉密办公场景、无涉密安全防护措施、存在安全泄露风险，不得分。</w:t>
            </w:r>
          </w:p>
          <w:p w14:paraId="113FF406">
            <w:pPr>
              <w:spacing w:line="360" w:lineRule="auto"/>
              <w:rPr>
                <w:rFonts w:hint="eastAsia" w:eastAsia="宋体" w:cs="宋体" w:asciiTheme="minorEastAsia" w:hAnsiTheme="minorEastAsia"/>
                <w:sz w:val="24"/>
                <w:highlight w:val="none"/>
                <w:lang w:val="en-US" w:eastAsia="zh-CN"/>
              </w:rPr>
            </w:pPr>
            <w:r>
              <w:rPr>
                <w:rFonts w:hint="eastAsia" w:eastAsia="宋体" w:cs="宋体" w:asciiTheme="minorEastAsia" w:hAnsiTheme="minorEastAsia"/>
                <w:b/>
                <w:bCs/>
                <w:sz w:val="24"/>
                <w:highlight w:val="none"/>
                <w:lang w:val="en-US" w:eastAsia="zh-CN"/>
              </w:rPr>
              <w:t>注：任一评审子项无有效证明材料，该子项不予计分；全部子项无有效证明材料的，本项整体不得分</w:t>
            </w:r>
          </w:p>
        </w:tc>
      </w:tr>
      <w:tr w14:paraId="12BD9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9" w:hRule="atLeast"/>
          <w:jc w:val="center"/>
        </w:trPr>
        <w:tc>
          <w:tcPr>
            <w:tcW w:w="906" w:type="dxa"/>
            <w:vMerge w:val="continue"/>
            <w:tcBorders>
              <w:top w:val="single" w:color="auto" w:sz="4" w:space="0"/>
              <w:left w:val="single" w:color="auto" w:sz="4" w:space="0"/>
              <w:bottom w:val="single" w:color="auto" w:sz="4" w:space="0"/>
              <w:right w:val="single" w:color="auto" w:sz="4" w:space="0"/>
            </w:tcBorders>
            <w:vAlign w:val="center"/>
          </w:tcPr>
          <w:p w14:paraId="37410367">
            <w:pPr>
              <w:spacing w:line="360" w:lineRule="auto"/>
              <w:jc w:val="center"/>
              <w:rPr>
                <w:rFonts w:cs="宋体" w:asciiTheme="minorEastAsia" w:hAnsiTheme="minorEastAsia" w:eastAsiaTheme="minorEastAsia"/>
                <w:sz w:val="24"/>
              </w:rPr>
            </w:pPr>
          </w:p>
        </w:tc>
        <w:tc>
          <w:tcPr>
            <w:tcW w:w="1259" w:type="dxa"/>
            <w:vMerge w:val="continue"/>
            <w:tcBorders>
              <w:top w:val="single" w:color="auto" w:sz="4" w:space="0"/>
              <w:left w:val="single" w:color="auto" w:sz="4" w:space="0"/>
              <w:bottom w:val="single" w:color="auto" w:sz="4" w:space="0"/>
              <w:right w:val="single" w:color="auto" w:sz="4" w:space="0"/>
            </w:tcBorders>
            <w:vAlign w:val="center"/>
          </w:tcPr>
          <w:p w14:paraId="75804827">
            <w:pPr>
              <w:spacing w:line="360" w:lineRule="auto"/>
              <w:jc w:val="center"/>
              <w:rPr>
                <w:rFonts w:cs="宋体" w:asciiTheme="minorEastAsia" w:hAnsiTheme="minorEastAsia" w:eastAsiaTheme="minorEastAsia"/>
                <w:sz w:val="24"/>
              </w:rPr>
            </w:pPr>
          </w:p>
        </w:tc>
        <w:tc>
          <w:tcPr>
            <w:tcW w:w="2210" w:type="dxa"/>
            <w:tcBorders>
              <w:left w:val="single" w:color="auto" w:sz="4" w:space="0"/>
              <w:bottom w:val="single" w:color="auto" w:sz="4" w:space="0"/>
              <w:right w:val="single" w:color="auto" w:sz="4" w:space="0"/>
            </w:tcBorders>
            <w:vAlign w:val="center"/>
          </w:tcPr>
          <w:p w14:paraId="03890851">
            <w:pPr>
              <w:spacing w:line="360" w:lineRule="auto"/>
              <w:jc w:val="center"/>
              <w:rPr>
                <w:rFonts w:cs="宋体" w:asciiTheme="minorEastAsia" w:hAnsiTheme="minorEastAsia" w:eastAsiaTheme="minorEastAsia"/>
                <w:sz w:val="24"/>
                <w:highlight w:val="none"/>
              </w:rPr>
            </w:pPr>
            <w:r>
              <w:rPr>
                <w:rFonts w:cs="宋体" w:asciiTheme="minorEastAsia" w:hAnsiTheme="minorEastAsia" w:eastAsiaTheme="minorEastAsia"/>
                <w:sz w:val="24"/>
                <w:highlight w:val="none"/>
                <w:lang w:val="en-US" w:eastAsia="zh-CN"/>
              </w:rPr>
              <w:t>会议系统改造及联调实施方案（</w:t>
            </w:r>
            <w:r>
              <w:rPr>
                <w:rFonts w:hint="eastAsia" w:cs="宋体" w:asciiTheme="minorEastAsia" w:hAnsiTheme="minorEastAsia" w:eastAsiaTheme="minorEastAsia"/>
                <w:sz w:val="24"/>
                <w:highlight w:val="none"/>
                <w:lang w:val="en-US" w:eastAsia="zh-CN"/>
              </w:rPr>
              <w:t>0-</w:t>
            </w:r>
            <w:r>
              <w:rPr>
                <w:rFonts w:cs="宋体" w:asciiTheme="minorEastAsia" w:hAnsiTheme="minorEastAsia" w:eastAsiaTheme="minorEastAsia"/>
                <w:sz w:val="24"/>
                <w:highlight w:val="none"/>
                <w:lang w:val="en-US" w:eastAsia="zh-CN"/>
              </w:rPr>
              <w:t>10分）</w:t>
            </w:r>
          </w:p>
        </w:tc>
        <w:tc>
          <w:tcPr>
            <w:tcW w:w="5103" w:type="dxa"/>
            <w:tcBorders>
              <w:top w:val="single" w:color="auto" w:sz="4" w:space="0"/>
              <w:left w:val="single" w:color="auto" w:sz="4" w:space="0"/>
              <w:bottom w:val="single" w:color="auto" w:sz="4" w:space="0"/>
              <w:right w:val="single" w:color="auto" w:sz="4" w:space="0"/>
            </w:tcBorders>
            <w:vAlign w:val="top"/>
          </w:tcPr>
          <w:p w14:paraId="22673ED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jc w:val="left"/>
              <w:rPr>
                <w:rFonts w:ascii="宋体" w:hAnsi="宋体" w:eastAsia="宋体" w:cs="宋体"/>
                <w:sz w:val="24"/>
                <w:szCs w:val="24"/>
                <w:highlight w:val="none"/>
              </w:rPr>
            </w:pPr>
            <w:r>
              <w:rPr>
                <w:rFonts w:ascii="宋体" w:hAnsi="宋体" w:eastAsia="宋体" w:cs="宋体"/>
                <w:sz w:val="24"/>
                <w:szCs w:val="24"/>
                <w:highlight w:val="none"/>
              </w:rPr>
              <w:t>本项满分10分，按方案内容覆盖度、贴合项目场景程度逐项量化计分，存在内容缺项、表述简略、针对性不足或内容与海关涉密改造项目场景明显不符的，按对应标准扣分，本子项分值扣完为止。具体评分标准：</w:t>
            </w:r>
          </w:p>
          <w:p w14:paraId="779469FA">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jc w:val="left"/>
              <w:rPr>
                <w:rFonts w:ascii="宋体" w:hAnsi="宋体" w:eastAsia="宋体" w:cs="宋体"/>
                <w:sz w:val="24"/>
                <w:szCs w:val="24"/>
                <w:highlight w:val="none"/>
              </w:rPr>
            </w:pPr>
            <w:r>
              <w:rPr>
                <w:rFonts w:ascii="宋体" w:hAnsi="宋体" w:eastAsia="宋体" w:cs="宋体"/>
                <w:b/>
                <w:bCs/>
                <w:sz w:val="24"/>
                <w:szCs w:val="24"/>
                <w:highlight w:val="none"/>
              </w:rPr>
              <w:t>①施工组织与进度管控（2分）：</w:t>
            </w:r>
            <w:r>
              <w:rPr>
                <w:rFonts w:ascii="宋体" w:hAnsi="宋体" w:eastAsia="宋体" w:cs="宋体"/>
                <w:sz w:val="24"/>
                <w:szCs w:val="24"/>
                <w:highlight w:val="none"/>
              </w:rPr>
              <w:t>方案包含明确的项目组织架构、人员岗位职责、关键节点管控措施、详细施工进度计划表，四项全部完整覆盖且贴合项目实际得2分，每缺失1项或对应内容不符合项目场景要求扣0.5分；</w:t>
            </w:r>
          </w:p>
          <w:p w14:paraId="007CA2C3">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jc w:val="left"/>
              <w:rPr>
                <w:rFonts w:ascii="宋体" w:hAnsi="宋体" w:eastAsia="宋体" w:cs="宋体"/>
                <w:sz w:val="24"/>
                <w:szCs w:val="24"/>
                <w:highlight w:val="none"/>
              </w:rPr>
            </w:pPr>
            <w:r>
              <w:rPr>
                <w:rFonts w:ascii="宋体" w:hAnsi="宋体" w:eastAsia="宋体" w:cs="宋体"/>
                <w:b/>
                <w:bCs/>
                <w:sz w:val="24"/>
                <w:szCs w:val="24"/>
                <w:highlight w:val="none"/>
              </w:rPr>
              <w:t>②涉密场地施工管控（2分）</w:t>
            </w:r>
            <w:r>
              <w:rPr>
                <w:rFonts w:ascii="宋体" w:hAnsi="宋体" w:eastAsia="宋体" w:cs="宋体"/>
                <w:sz w:val="24"/>
                <w:szCs w:val="24"/>
                <w:highlight w:val="none"/>
              </w:rPr>
              <w:t>：方案包含进场人员保密审查与教育制度、施工区域物理隔离措施、涉密设备与资料保管流程、施工全程保密管理机制，四项全部完整覆盖且贴合涉密场景得2分，每缺失1项或对应内容不符合涉密施工要求扣0.5分；</w:t>
            </w:r>
          </w:p>
          <w:p w14:paraId="59008B93">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jc w:val="left"/>
              <w:rPr>
                <w:rFonts w:ascii="宋体" w:hAnsi="宋体" w:eastAsia="宋体" w:cs="宋体"/>
                <w:sz w:val="24"/>
                <w:szCs w:val="24"/>
                <w:highlight w:val="none"/>
              </w:rPr>
            </w:pPr>
            <w:r>
              <w:rPr>
                <w:rFonts w:ascii="宋体" w:hAnsi="宋体" w:eastAsia="宋体" w:cs="宋体"/>
                <w:b/>
                <w:bCs/>
                <w:sz w:val="24"/>
                <w:szCs w:val="24"/>
                <w:highlight w:val="none"/>
              </w:rPr>
              <w:t>③安装调试与系统联调（2分）</w:t>
            </w:r>
            <w:r>
              <w:rPr>
                <w:rFonts w:ascii="宋体" w:hAnsi="宋体" w:eastAsia="宋体" w:cs="宋体"/>
                <w:sz w:val="24"/>
                <w:szCs w:val="24"/>
                <w:highlight w:val="none"/>
              </w:rPr>
              <w:t>：方案包含单设备安装调试规范、系统整体联调流程、与现有音视频系统/涉密网络的对接适配方案，三项全部完整覆盖、适配本项目设备及涉密环境得2分，每缺失1项或内容与项目实际适配场景不符扣0.7分，本子项分值扣完为止；</w:t>
            </w:r>
          </w:p>
          <w:p w14:paraId="646C3F1C">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jc w:val="left"/>
              <w:rPr>
                <w:rFonts w:ascii="宋体" w:hAnsi="宋体" w:eastAsia="宋体" w:cs="宋体"/>
                <w:sz w:val="24"/>
                <w:szCs w:val="24"/>
                <w:highlight w:val="none"/>
              </w:rPr>
            </w:pPr>
            <w:r>
              <w:rPr>
                <w:rFonts w:ascii="宋体" w:hAnsi="宋体" w:eastAsia="宋体" w:cs="宋体"/>
                <w:b/>
                <w:bCs/>
                <w:sz w:val="24"/>
                <w:szCs w:val="24"/>
                <w:highlight w:val="none"/>
              </w:rPr>
              <w:t>④供货与工期保障（1分）</w:t>
            </w:r>
            <w:r>
              <w:rPr>
                <w:rFonts w:ascii="宋体" w:hAnsi="宋体" w:eastAsia="宋体" w:cs="宋体"/>
                <w:sz w:val="24"/>
                <w:szCs w:val="24"/>
                <w:highlight w:val="none"/>
              </w:rPr>
              <w:t>：方案完整包含设备供货周期、到货验收流程、延期供货应急预案，且内容贴合项目工期要求得1分，存在缺项、内容不实或不符合项目工期需求的不得分；</w:t>
            </w:r>
          </w:p>
          <w:p w14:paraId="3257FE80">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jc w:val="left"/>
              <w:rPr>
                <w:rFonts w:ascii="宋体" w:hAnsi="宋体" w:eastAsia="宋体" w:cs="宋体"/>
                <w:sz w:val="24"/>
                <w:szCs w:val="24"/>
                <w:highlight w:val="none"/>
              </w:rPr>
            </w:pPr>
            <w:r>
              <w:rPr>
                <w:rFonts w:ascii="宋体" w:hAnsi="宋体" w:eastAsia="宋体" w:cs="宋体"/>
                <w:b/>
                <w:bCs/>
                <w:sz w:val="24"/>
                <w:szCs w:val="24"/>
                <w:highlight w:val="none"/>
              </w:rPr>
              <w:t>⑤安全文明施工（1分）：</w:t>
            </w:r>
            <w:r>
              <w:rPr>
                <w:rFonts w:ascii="宋体" w:hAnsi="宋体" w:eastAsia="宋体" w:cs="宋体"/>
                <w:sz w:val="24"/>
                <w:szCs w:val="24"/>
                <w:highlight w:val="none"/>
              </w:rPr>
              <w:t>方案完整包含现场施工安全管理规范、消防安全防护措施、现有设施成品保护方案、施工垃圾清运机制，且适配本项目施工场地条件得1分，存在缺项、内容简略或不符合现场施工要求的不得分；</w:t>
            </w:r>
          </w:p>
          <w:p w14:paraId="0A7412D0">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jc w:val="left"/>
              <w:rPr>
                <w:rFonts w:ascii="宋体" w:hAnsi="宋体" w:eastAsia="宋体" w:cs="宋体"/>
                <w:sz w:val="24"/>
                <w:szCs w:val="24"/>
                <w:highlight w:val="none"/>
              </w:rPr>
            </w:pPr>
            <w:r>
              <w:rPr>
                <w:rFonts w:ascii="宋体" w:hAnsi="宋体" w:eastAsia="宋体" w:cs="宋体"/>
                <w:b/>
                <w:bCs/>
                <w:sz w:val="24"/>
                <w:szCs w:val="24"/>
                <w:highlight w:val="none"/>
              </w:rPr>
              <w:t>⑥验收交付与培训（2分）</w:t>
            </w:r>
            <w:r>
              <w:rPr>
                <w:rFonts w:ascii="宋体" w:hAnsi="宋体" w:eastAsia="宋体" w:cs="宋体"/>
                <w:sz w:val="24"/>
                <w:szCs w:val="24"/>
                <w:highlight w:val="none"/>
              </w:rPr>
              <w:t>：方案包含分级验收标准与流程、竣工资料交付清单、使用人员操作培训计划，三项内容完整详实、贴合项目交付需求得2分，每缺失1项或内容与项目验收培训要求不符扣0.7分，本子项分值扣完为止。</w:t>
            </w:r>
          </w:p>
          <w:p w14:paraId="23BF3F11">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jc w:val="left"/>
              <w:rPr>
                <w:rFonts w:hint="eastAsia" w:eastAsia="宋体"/>
                <w:color w:val="1F2329"/>
                <w:sz w:val="24"/>
                <w:szCs w:val="24"/>
                <w:highlight w:val="none"/>
                <w:lang w:val="en-US" w:eastAsia="zh-CN"/>
              </w:rPr>
            </w:pPr>
            <w:r>
              <w:rPr>
                <w:rFonts w:ascii="宋体" w:hAnsi="宋体" w:eastAsia="宋体" w:cs="宋体"/>
                <w:b/>
                <w:bCs/>
                <w:sz w:val="24"/>
                <w:szCs w:val="24"/>
                <w:highlight w:val="none"/>
              </w:rPr>
              <w:t>注：未提供项目实施方案的，本项整体不得分。</w:t>
            </w:r>
          </w:p>
        </w:tc>
      </w:tr>
      <w:tr w14:paraId="0B89B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5" w:hRule="atLeast"/>
          <w:jc w:val="center"/>
        </w:trPr>
        <w:tc>
          <w:tcPr>
            <w:tcW w:w="906" w:type="dxa"/>
            <w:vMerge w:val="continue"/>
            <w:tcBorders>
              <w:top w:val="single" w:color="auto" w:sz="4" w:space="0"/>
              <w:left w:val="single" w:color="auto" w:sz="4" w:space="0"/>
              <w:bottom w:val="single" w:color="auto" w:sz="4" w:space="0"/>
              <w:right w:val="single" w:color="auto" w:sz="4" w:space="0"/>
            </w:tcBorders>
            <w:vAlign w:val="center"/>
          </w:tcPr>
          <w:p w14:paraId="46F71057">
            <w:pPr>
              <w:spacing w:line="360" w:lineRule="auto"/>
              <w:jc w:val="center"/>
              <w:rPr>
                <w:rFonts w:cs="宋体" w:asciiTheme="minorEastAsia" w:hAnsiTheme="minorEastAsia" w:eastAsiaTheme="minorEastAsia"/>
                <w:sz w:val="24"/>
              </w:rPr>
            </w:pPr>
          </w:p>
        </w:tc>
        <w:tc>
          <w:tcPr>
            <w:tcW w:w="1259" w:type="dxa"/>
            <w:vMerge w:val="continue"/>
            <w:tcBorders>
              <w:top w:val="single" w:color="auto" w:sz="4" w:space="0"/>
              <w:left w:val="single" w:color="auto" w:sz="4" w:space="0"/>
              <w:bottom w:val="single" w:color="auto" w:sz="4" w:space="0"/>
              <w:right w:val="single" w:color="auto" w:sz="4" w:space="0"/>
            </w:tcBorders>
            <w:vAlign w:val="center"/>
          </w:tcPr>
          <w:p w14:paraId="02B9022C">
            <w:pPr>
              <w:spacing w:line="360" w:lineRule="auto"/>
              <w:jc w:val="center"/>
              <w:rPr>
                <w:rFonts w:cs="宋体" w:asciiTheme="minorEastAsia" w:hAnsiTheme="minorEastAsia" w:eastAsiaTheme="minorEastAsia"/>
                <w:sz w:val="24"/>
              </w:rPr>
            </w:pPr>
          </w:p>
        </w:tc>
        <w:tc>
          <w:tcPr>
            <w:tcW w:w="2210" w:type="dxa"/>
            <w:tcBorders>
              <w:left w:val="single" w:color="auto" w:sz="4" w:space="0"/>
              <w:bottom w:val="single" w:color="auto" w:sz="4" w:space="0"/>
              <w:right w:val="single" w:color="auto" w:sz="4" w:space="0"/>
            </w:tcBorders>
            <w:vAlign w:val="center"/>
          </w:tcPr>
          <w:p w14:paraId="2502F236">
            <w:pPr>
              <w:spacing w:line="360" w:lineRule="auto"/>
              <w:jc w:val="center"/>
              <w:rPr>
                <w:rFonts w:hint="eastAsia"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lang w:val="en-US" w:eastAsia="zh-CN"/>
              </w:rPr>
              <w:t>会议系统质保与运维保障</w:t>
            </w:r>
          </w:p>
          <w:p w14:paraId="681887DC">
            <w:pPr>
              <w:spacing w:line="360" w:lineRule="auto"/>
              <w:jc w:val="center"/>
              <w:rPr>
                <w:rFonts w:hint="eastAsia" w:cs="宋体" w:asciiTheme="minorEastAsia" w:hAnsiTheme="minorEastAsia" w:eastAsiaTheme="minorEastAsia"/>
                <w:sz w:val="24"/>
                <w:highlight w:val="none"/>
                <w:lang w:eastAsia="zh-CN"/>
              </w:rPr>
            </w:pPr>
            <w:r>
              <w:rPr>
                <w:rFonts w:hint="eastAsia" w:cs="宋体" w:asciiTheme="minorEastAsia" w:hAnsiTheme="minorEastAsia" w:eastAsiaTheme="minorEastAsia"/>
                <w:sz w:val="24"/>
                <w:highlight w:val="none"/>
                <w:lang w:val="en-US" w:eastAsia="zh-CN"/>
              </w:rPr>
              <w:t>（0-10分）</w:t>
            </w:r>
          </w:p>
        </w:tc>
        <w:tc>
          <w:tcPr>
            <w:tcW w:w="5103" w:type="dxa"/>
            <w:tcBorders>
              <w:top w:val="single" w:color="auto" w:sz="4" w:space="0"/>
              <w:left w:val="single" w:color="auto" w:sz="4" w:space="0"/>
              <w:bottom w:val="single" w:color="auto" w:sz="4" w:space="0"/>
              <w:right w:val="single" w:color="auto" w:sz="4" w:space="0"/>
            </w:tcBorders>
            <w:vAlign w:val="top"/>
          </w:tcPr>
          <w:p w14:paraId="57AD87E2">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jc w:val="left"/>
              <w:rPr>
                <w:rFonts w:ascii="宋体" w:hAnsi="宋体" w:eastAsia="宋体" w:cs="宋体"/>
                <w:sz w:val="24"/>
                <w:szCs w:val="24"/>
                <w:highlight w:val="none"/>
              </w:rPr>
            </w:pPr>
            <w:r>
              <w:rPr>
                <w:rFonts w:ascii="宋体" w:hAnsi="宋体" w:eastAsia="宋体" w:cs="宋体"/>
                <w:sz w:val="24"/>
                <w:szCs w:val="24"/>
                <w:highlight w:val="none"/>
              </w:rPr>
              <w:t>本项满分10分，依据投标文件书面承诺及有效证明材料评审，未明确对应服务承诺或无法提供有效证明材料的，对应子项不得分。具体评分标准：</w:t>
            </w:r>
          </w:p>
          <w:p w14:paraId="43E6A7D6">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jc w:val="left"/>
              <w:rPr>
                <w:rFonts w:ascii="宋体" w:hAnsi="宋体" w:eastAsia="宋体" w:cs="宋体"/>
                <w:sz w:val="24"/>
                <w:szCs w:val="24"/>
                <w:highlight w:val="none"/>
              </w:rPr>
            </w:pPr>
            <w:r>
              <w:rPr>
                <w:rFonts w:ascii="宋体" w:hAnsi="宋体" w:eastAsia="宋体" w:cs="宋体"/>
                <w:b/>
                <w:bCs/>
                <w:sz w:val="24"/>
                <w:szCs w:val="24"/>
                <w:highlight w:val="none"/>
              </w:rPr>
              <w:t>①免费质保期限（2分）：</w:t>
            </w:r>
            <w:r>
              <w:rPr>
                <w:rFonts w:ascii="宋体" w:hAnsi="宋体" w:eastAsia="宋体" w:cs="宋体"/>
                <w:sz w:val="24"/>
                <w:szCs w:val="24"/>
                <w:highlight w:val="none"/>
              </w:rPr>
              <w:t>承诺整机免费质保期≥3年的得2分；承诺1年以上、不足3年的得1分；质保期不足1年的不得分。</w:t>
            </w:r>
          </w:p>
          <w:p w14:paraId="4003770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jc w:val="left"/>
              <w:rPr>
                <w:rFonts w:ascii="宋体" w:hAnsi="宋体" w:eastAsia="宋体" w:cs="宋体"/>
                <w:sz w:val="24"/>
                <w:szCs w:val="24"/>
                <w:highlight w:val="none"/>
              </w:rPr>
            </w:pPr>
            <w:r>
              <w:rPr>
                <w:rFonts w:ascii="宋体" w:hAnsi="宋体" w:eastAsia="宋体" w:cs="宋体"/>
                <w:b/>
                <w:bCs/>
                <w:sz w:val="24"/>
                <w:szCs w:val="24"/>
                <w:highlight w:val="none"/>
              </w:rPr>
              <w:t>②故障应急响应机制（2分）</w:t>
            </w:r>
            <w:r>
              <w:rPr>
                <w:rFonts w:ascii="宋体" w:hAnsi="宋体" w:eastAsia="宋体" w:cs="宋体"/>
                <w:sz w:val="24"/>
                <w:szCs w:val="24"/>
                <w:highlight w:val="none"/>
              </w:rPr>
              <w:t>：承诺提供7×24小时技术支持，故障响应时长≤30分钟、本地现场到场时长≤4 小时的得2分；仅提供工作日响应、到场时长＞4小时的得1分；无明确响应时效承诺的不得分。</w:t>
            </w:r>
          </w:p>
          <w:p w14:paraId="2CF5131E">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jc w:val="left"/>
              <w:rPr>
                <w:rFonts w:ascii="宋体" w:hAnsi="宋体" w:eastAsia="宋体" w:cs="宋体"/>
                <w:sz w:val="24"/>
                <w:szCs w:val="24"/>
                <w:highlight w:val="none"/>
              </w:rPr>
            </w:pPr>
            <w:r>
              <w:rPr>
                <w:rFonts w:ascii="宋体" w:hAnsi="宋体" w:eastAsia="宋体" w:cs="宋体"/>
                <w:b/>
                <w:bCs/>
                <w:sz w:val="24"/>
                <w:szCs w:val="24"/>
                <w:highlight w:val="none"/>
              </w:rPr>
              <w:t>③本地化服务能力（2分）：</w:t>
            </w:r>
            <w:r>
              <w:rPr>
                <w:rFonts w:ascii="宋体" w:hAnsi="宋体" w:eastAsia="宋体" w:cs="宋体"/>
                <w:sz w:val="24"/>
                <w:szCs w:val="24"/>
                <w:highlight w:val="none"/>
              </w:rPr>
              <w:t>投标人在项目所在地设立固定售后服务网点，配备专属常驻技术服务团队，可为本项目提供全程属地运维保障的得2分；无本地固定售后服务网点、无常驻技术服务团队的不得分。</w:t>
            </w:r>
          </w:p>
          <w:p w14:paraId="2BE730C8">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jc w:val="left"/>
              <w:rPr>
                <w:rFonts w:ascii="宋体" w:hAnsi="宋体" w:eastAsia="宋体" w:cs="宋体"/>
                <w:sz w:val="24"/>
                <w:szCs w:val="24"/>
                <w:highlight w:val="none"/>
              </w:rPr>
            </w:pPr>
            <w:r>
              <w:rPr>
                <w:rFonts w:ascii="宋体" w:hAnsi="宋体" w:eastAsia="宋体" w:cs="宋体"/>
                <w:b/>
                <w:bCs/>
                <w:sz w:val="24"/>
                <w:szCs w:val="24"/>
                <w:highlight w:val="none"/>
              </w:rPr>
              <w:t>④定期巡检服务（2分）</w:t>
            </w:r>
            <w:r>
              <w:rPr>
                <w:rFonts w:ascii="宋体" w:hAnsi="宋体" w:eastAsia="宋体" w:cs="宋体"/>
                <w:sz w:val="24"/>
                <w:szCs w:val="24"/>
                <w:highlight w:val="none"/>
              </w:rPr>
              <w:t>：承诺质保期内每季度提供1次免费上门巡检，并出具正式巡检报告的得2分；承诺每半年1次免费上门巡检的得1分；无定期上门巡检服务承诺的不得分。</w:t>
            </w:r>
          </w:p>
          <w:p w14:paraId="601526D8">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jc w:val="left"/>
              <w:rPr>
                <w:rFonts w:ascii="宋体" w:hAnsi="宋体" w:eastAsia="宋体" w:cs="宋体"/>
                <w:sz w:val="24"/>
                <w:szCs w:val="24"/>
                <w:highlight w:val="none"/>
              </w:rPr>
            </w:pPr>
            <w:r>
              <w:rPr>
                <w:rFonts w:ascii="宋体" w:hAnsi="宋体" w:eastAsia="宋体" w:cs="宋体"/>
                <w:b/>
                <w:bCs/>
                <w:sz w:val="24"/>
                <w:szCs w:val="24"/>
                <w:highlight w:val="none"/>
              </w:rPr>
              <w:t>⑤技术支撑与升级服务（2分）：</w:t>
            </w:r>
            <w:r>
              <w:rPr>
                <w:rFonts w:ascii="宋体" w:hAnsi="宋体" w:eastAsia="宋体" w:cs="宋体"/>
                <w:sz w:val="24"/>
                <w:szCs w:val="24"/>
                <w:highlight w:val="none"/>
              </w:rPr>
              <w:t>承诺终身免费技术咨询、质保期内提供系统软件免费迭代升级服务的得2分；仅提供基础技术咨询支撑、无免费软件升级承诺的得1分；无任何技术支撑及升级服务承诺的不得分。</w:t>
            </w:r>
          </w:p>
          <w:p w14:paraId="7A38AF90">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jc w:val="left"/>
              <w:rPr>
                <w:rFonts w:hint="eastAsia" w:cs="宋体" w:asciiTheme="minorEastAsia" w:hAnsiTheme="minorEastAsia" w:eastAsiaTheme="minorEastAsia"/>
                <w:sz w:val="24"/>
                <w:highlight w:val="none"/>
                <w:lang w:val="en-US" w:eastAsia="zh-CN"/>
              </w:rPr>
            </w:pPr>
            <w:r>
              <w:rPr>
                <w:rFonts w:hint="eastAsia" w:cs="宋体" w:asciiTheme="minorEastAsia" w:hAnsiTheme="minorEastAsia" w:eastAsiaTheme="minorEastAsia"/>
                <w:b/>
                <w:bCs/>
                <w:sz w:val="24"/>
                <w:highlight w:val="none"/>
                <w:lang w:val="en-US" w:eastAsia="zh-CN"/>
              </w:rPr>
              <w:t>注：未提供完整项目质保与运维保障方案、服务承诺佐证材料的，本项整体不得分。</w:t>
            </w:r>
          </w:p>
        </w:tc>
      </w:tr>
      <w:tr w14:paraId="746F3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5" w:hRule="atLeast"/>
          <w:jc w:val="center"/>
        </w:trPr>
        <w:tc>
          <w:tcPr>
            <w:tcW w:w="906" w:type="dxa"/>
            <w:tcBorders>
              <w:top w:val="single" w:color="auto" w:sz="4" w:space="0"/>
              <w:left w:val="single" w:color="auto" w:sz="4" w:space="0"/>
              <w:bottom w:val="single" w:color="auto" w:sz="4" w:space="0"/>
              <w:right w:val="single" w:color="auto" w:sz="4" w:space="0"/>
            </w:tcBorders>
            <w:vAlign w:val="center"/>
          </w:tcPr>
          <w:p w14:paraId="0B18B5A5">
            <w:pPr>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2.2.4（3）</w:t>
            </w:r>
          </w:p>
        </w:tc>
        <w:tc>
          <w:tcPr>
            <w:tcW w:w="1259" w:type="dxa"/>
            <w:tcBorders>
              <w:top w:val="single" w:color="auto" w:sz="4" w:space="0"/>
              <w:left w:val="single" w:color="auto" w:sz="4" w:space="0"/>
              <w:bottom w:val="single" w:color="auto" w:sz="4" w:space="0"/>
              <w:right w:val="single" w:color="auto" w:sz="4" w:space="0"/>
            </w:tcBorders>
            <w:vAlign w:val="center"/>
          </w:tcPr>
          <w:p w14:paraId="51AF8655">
            <w:pPr>
              <w:spacing w:line="360" w:lineRule="auto"/>
              <w:ind w:firstLine="240" w:firstLineChars="1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商务</w:t>
            </w:r>
          </w:p>
          <w:p w14:paraId="3CF4B10C">
            <w:pPr>
              <w:spacing w:line="360" w:lineRule="auto"/>
              <w:ind w:firstLine="240" w:firstLineChars="1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评审</w:t>
            </w:r>
          </w:p>
          <w:p w14:paraId="526AC6C2">
            <w:pPr>
              <w:adjustRightInd w:val="0"/>
              <w:snapToGrid w:val="0"/>
              <w:spacing w:line="360" w:lineRule="auto"/>
              <w:jc w:val="center"/>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（10分）</w:t>
            </w:r>
          </w:p>
        </w:tc>
        <w:tc>
          <w:tcPr>
            <w:tcW w:w="2210" w:type="dxa"/>
            <w:tcBorders>
              <w:top w:val="single" w:color="auto" w:sz="4" w:space="0"/>
              <w:left w:val="single" w:color="auto" w:sz="4" w:space="0"/>
              <w:bottom w:val="single" w:color="auto" w:sz="4" w:space="0"/>
              <w:right w:val="single" w:color="auto" w:sz="4" w:space="0"/>
            </w:tcBorders>
            <w:vAlign w:val="center"/>
          </w:tcPr>
          <w:p w14:paraId="496B7EB5">
            <w:pPr>
              <w:adjustRightInd w:val="0"/>
              <w:snapToGrid w:val="0"/>
              <w:spacing w:line="360" w:lineRule="auto"/>
              <w:jc w:val="center"/>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投标人</w:t>
            </w:r>
            <w:bookmarkStart w:id="67" w:name="OLE_LINK9"/>
            <w:r>
              <w:rPr>
                <w:rFonts w:hint="eastAsia" w:cs="宋体" w:asciiTheme="minorEastAsia" w:hAnsiTheme="minorEastAsia" w:eastAsiaTheme="minorEastAsia"/>
                <w:sz w:val="24"/>
                <w:highlight w:val="none"/>
              </w:rPr>
              <w:t>业</w:t>
            </w:r>
            <w:bookmarkEnd w:id="67"/>
            <w:r>
              <w:rPr>
                <w:rFonts w:hint="eastAsia" w:cs="宋体" w:asciiTheme="minorEastAsia" w:hAnsiTheme="minorEastAsia" w:eastAsiaTheme="minorEastAsia"/>
                <w:sz w:val="24"/>
                <w:highlight w:val="none"/>
              </w:rPr>
              <w:t>绩</w:t>
            </w:r>
            <w:bookmarkStart w:id="68" w:name="OLE_LINK74"/>
            <w:bookmarkStart w:id="69" w:name="OLE_LINK73"/>
          </w:p>
          <w:p w14:paraId="334D8880">
            <w:pPr>
              <w:spacing w:line="360" w:lineRule="auto"/>
              <w:jc w:val="center"/>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（0-</w:t>
            </w:r>
            <w:r>
              <w:rPr>
                <w:rFonts w:hint="eastAsia" w:cs="宋体" w:asciiTheme="minorEastAsia" w:hAnsiTheme="minorEastAsia" w:eastAsiaTheme="minorEastAsia"/>
                <w:sz w:val="24"/>
                <w:highlight w:val="none"/>
                <w:lang w:val="en-US" w:eastAsia="zh-CN"/>
              </w:rPr>
              <w:t>10</w:t>
            </w:r>
            <w:r>
              <w:rPr>
                <w:rFonts w:hint="eastAsia" w:cs="宋体" w:asciiTheme="minorEastAsia" w:hAnsiTheme="minorEastAsia" w:eastAsiaTheme="minorEastAsia"/>
                <w:sz w:val="24"/>
                <w:highlight w:val="none"/>
              </w:rPr>
              <w:t>分）</w:t>
            </w:r>
          </w:p>
        </w:tc>
        <w:tc>
          <w:tcPr>
            <w:tcW w:w="5103" w:type="dxa"/>
            <w:tcBorders>
              <w:top w:val="single" w:color="auto" w:sz="4" w:space="0"/>
              <w:left w:val="single" w:color="auto" w:sz="4" w:space="0"/>
              <w:bottom w:val="single" w:color="auto" w:sz="4" w:space="0"/>
              <w:right w:val="single" w:color="auto" w:sz="4" w:space="0"/>
            </w:tcBorders>
            <w:vAlign w:val="center"/>
          </w:tcPr>
          <w:p w14:paraId="24B9DEE3">
            <w:pPr>
              <w:spacing w:line="360" w:lineRule="auto"/>
              <w:jc w:val="left"/>
              <w:rPr>
                <w:rFonts w:cs="宋体" w:asciiTheme="minorEastAsia" w:hAnsiTheme="minorEastAsia" w:eastAsiaTheme="minorEastAsia"/>
                <w:sz w:val="24"/>
                <w:highlight w:val="none"/>
                <w:lang w:val="en-US" w:eastAsia="zh-CN"/>
              </w:rPr>
            </w:pPr>
            <w:bookmarkStart w:id="70" w:name="OLE_LINK76"/>
            <w:bookmarkStart w:id="71" w:name="OLE_LINK75"/>
            <w:r>
              <w:rPr>
                <w:rFonts w:cs="宋体" w:asciiTheme="minorEastAsia" w:hAnsiTheme="minorEastAsia" w:eastAsiaTheme="minorEastAsia"/>
                <w:sz w:val="24"/>
                <w:highlight w:val="none"/>
                <w:lang w:val="en-US" w:eastAsia="zh-CN"/>
              </w:rPr>
              <w:t>2023年</w:t>
            </w:r>
            <w:r>
              <w:rPr>
                <w:rFonts w:hint="eastAsia" w:cs="宋体" w:asciiTheme="minorEastAsia" w:hAnsiTheme="minorEastAsia" w:eastAsiaTheme="minorEastAsia"/>
                <w:sz w:val="24"/>
                <w:highlight w:val="none"/>
                <w:lang w:val="en-US" w:eastAsia="zh-CN"/>
              </w:rPr>
              <w:t>7</w:t>
            </w:r>
            <w:r>
              <w:rPr>
                <w:rFonts w:cs="宋体" w:asciiTheme="minorEastAsia" w:hAnsiTheme="minorEastAsia" w:eastAsiaTheme="minorEastAsia"/>
                <w:sz w:val="24"/>
                <w:highlight w:val="none"/>
                <w:lang w:val="en-US" w:eastAsia="zh-CN"/>
              </w:rPr>
              <w:t>月1日至今，投标人独立完成的高清视频会议系统建设、会议系统升级改造、音视频系统集成、弱电智能化改造同类项目，每提供1个有效业绩得2分，本项最高得10分；无有效业绩得0分。</w:t>
            </w:r>
          </w:p>
          <w:p w14:paraId="71790853">
            <w:pPr>
              <w:spacing w:line="360" w:lineRule="auto"/>
              <w:jc w:val="left"/>
              <w:rPr>
                <w:rFonts w:cs="宋体" w:asciiTheme="minorEastAsia" w:hAnsiTheme="minorEastAsia" w:eastAsiaTheme="minorEastAsia"/>
                <w:b/>
                <w:bCs/>
                <w:sz w:val="24"/>
                <w:highlight w:val="none"/>
                <w:lang w:val="en-US" w:eastAsia="zh-CN"/>
              </w:rPr>
            </w:pPr>
            <w:r>
              <w:rPr>
                <w:rFonts w:cs="宋体" w:asciiTheme="minorEastAsia" w:hAnsiTheme="minorEastAsia" w:eastAsiaTheme="minorEastAsia"/>
                <w:b/>
                <w:bCs/>
                <w:sz w:val="24"/>
                <w:highlight w:val="none"/>
                <w:lang w:val="en-US" w:eastAsia="zh-CN"/>
              </w:rPr>
              <w:t>注：</w:t>
            </w:r>
          </w:p>
          <w:p w14:paraId="3C9C5AE6">
            <w:pPr>
              <w:spacing w:line="360" w:lineRule="auto"/>
              <w:jc w:val="left"/>
              <w:rPr>
                <w:rFonts w:cs="宋体" w:asciiTheme="minorEastAsia" w:hAnsiTheme="minorEastAsia" w:eastAsiaTheme="minorEastAsia"/>
                <w:b/>
                <w:bCs/>
                <w:sz w:val="24"/>
                <w:highlight w:val="none"/>
                <w:lang w:val="en-US" w:eastAsia="zh-CN"/>
              </w:rPr>
            </w:pPr>
            <w:r>
              <w:rPr>
                <w:rFonts w:hint="eastAsia" w:cs="宋体" w:asciiTheme="minorEastAsia" w:hAnsiTheme="minorEastAsia" w:eastAsiaTheme="minorEastAsia"/>
                <w:b/>
                <w:bCs/>
                <w:sz w:val="24"/>
                <w:highlight w:val="none"/>
                <w:lang w:val="en-US" w:eastAsia="zh-CN"/>
              </w:rPr>
              <w:t>1.</w:t>
            </w:r>
            <w:r>
              <w:rPr>
                <w:rFonts w:cs="宋体" w:asciiTheme="minorEastAsia" w:hAnsiTheme="minorEastAsia" w:eastAsiaTheme="minorEastAsia"/>
                <w:b/>
                <w:bCs/>
                <w:sz w:val="24"/>
                <w:highlight w:val="none"/>
                <w:lang w:val="en-US" w:eastAsia="zh-CN"/>
              </w:rPr>
              <w:t>需提供中标通知书或合同佐证材料（所提供的合同须包</w:t>
            </w:r>
            <w:r>
              <w:rPr>
                <w:rFonts w:hint="eastAsia" w:cs="宋体" w:asciiTheme="minorEastAsia" w:hAnsiTheme="minorEastAsia" w:eastAsiaTheme="minorEastAsia"/>
                <w:b/>
                <w:bCs/>
                <w:sz w:val="24"/>
                <w:highlight w:val="none"/>
                <w:lang w:val="en-US" w:eastAsia="zh-CN"/>
              </w:rPr>
              <w:t>含项目名称、服务内容、双方签字盖章页、供货/服务清单页）</w:t>
            </w:r>
            <w:r>
              <w:rPr>
                <w:rFonts w:cs="宋体" w:asciiTheme="minorEastAsia" w:hAnsiTheme="minorEastAsia" w:eastAsiaTheme="minorEastAsia"/>
                <w:b/>
                <w:bCs/>
                <w:sz w:val="24"/>
                <w:highlight w:val="none"/>
                <w:lang w:val="en-US" w:eastAsia="zh-CN"/>
              </w:rPr>
              <w:t>；</w:t>
            </w:r>
          </w:p>
          <w:p w14:paraId="36D9A849">
            <w:pPr>
              <w:spacing w:line="360" w:lineRule="auto"/>
              <w:jc w:val="left"/>
              <w:rPr>
                <w:rFonts w:cs="宋体" w:asciiTheme="minorEastAsia" w:hAnsiTheme="minorEastAsia" w:eastAsiaTheme="minorEastAsia"/>
                <w:b/>
                <w:bCs/>
                <w:sz w:val="24"/>
                <w:highlight w:val="none"/>
                <w:lang w:val="en-US" w:eastAsia="zh-CN"/>
              </w:rPr>
            </w:pPr>
            <w:r>
              <w:rPr>
                <w:rFonts w:hint="eastAsia" w:cs="宋体" w:asciiTheme="minorEastAsia" w:hAnsiTheme="minorEastAsia" w:eastAsiaTheme="minorEastAsia"/>
                <w:b/>
                <w:bCs/>
                <w:sz w:val="24"/>
                <w:highlight w:val="none"/>
                <w:lang w:val="en-US" w:eastAsia="zh-CN"/>
              </w:rPr>
              <w:t>2.</w:t>
            </w:r>
            <w:r>
              <w:rPr>
                <w:rFonts w:cs="宋体" w:asciiTheme="minorEastAsia" w:hAnsiTheme="minorEastAsia" w:eastAsiaTheme="minorEastAsia"/>
                <w:b/>
                <w:bCs/>
                <w:sz w:val="24"/>
                <w:highlight w:val="none"/>
                <w:lang w:val="en-US" w:eastAsia="zh-CN"/>
              </w:rPr>
              <w:t>业绩时间以中标通知书或合同签订日期为准，二者</w:t>
            </w:r>
            <w:r>
              <w:rPr>
                <w:rFonts w:hint="eastAsia" w:cs="宋体" w:asciiTheme="minorEastAsia" w:hAnsiTheme="minorEastAsia" w:eastAsiaTheme="minorEastAsia"/>
                <w:b/>
                <w:bCs/>
                <w:sz w:val="24"/>
                <w:highlight w:val="none"/>
                <w:lang w:val="en-US" w:eastAsia="zh-CN"/>
              </w:rPr>
              <w:t>都提供</w:t>
            </w:r>
            <w:r>
              <w:rPr>
                <w:rFonts w:cs="宋体" w:asciiTheme="minorEastAsia" w:hAnsiTheme="minorEastAsia" w:eastAsiaTheme="minorEastAsia"/>
                <w:b/>
                <w:bCs/>
                <w:sz w:val="24"/>
                <w:highlight w:val="none"/>
                <w:lang w:val="en-US" w:eastAsia="zh-CN"/>
              </w:rPr>
              <w:t>的以较早日期为准；</w:t>
            </w:r>
          </w:p>
          <w:p w14:paraId="4B441672">
            <w:pPr>
              <w:spacing w:line="360" w:lineRule="auto"/>
              <w:jc w:val="left"/>
              <w:rPr>
                <w:rFonts w:hint="eastAsia" w:cs="宋体" w:asciiTheme="minorEastAsia" w:hAnsiTheme="minorEastAsia" w:eastAsiaTheme="minorEastAsia"/>
                <w:b/>
                <w:bCs/>
                <w:sz w:val="24"/>
                <w:highlight w:val="none"/>
                <w:lang w:val="en-US" w:eastAsia="zh-CN"/>
              </w:rPr>
            </w:pPr>
            <w:r>
              <w:rPr>
                <w:rFonts w:hint="eastAsia" w:cs="宋体" w:asciiTheme="minorEastAsia" w:hAnsiTheme="minorEastAsia" w:eastAsiaTheme="minorEastAsia"/>
                <w:b/>
                <w:bCs/>
                <w:sz w:val="24"/>
                <w:highlight w:val="none"/>
                <w:lang w:val="en-US" w:eastAsia="zh-CN"/>
              </w:rPr>
              <w:t>3、业绩不限服务单位类型，材料不全、项目类型不符、时间不满足要求的不予计分</w:t>
            </w:r>
          </w:p>
          <w:p w14:paraId="5AD7B623">
            <w:pPr>
              <w:spacing w:line="360" w:lineRule="auto"/>
              <w:jc w:val="left"/>
              <w:rPr>
                <w:rFonts w:cs="宋体" w:asciiTheme="minorEastAsia" w:hAnsiTheme="minorEastAsia" w:eastAsiaTheme="minorEastAsia"/>
                <w:b/>
                <w:bCs/>
                <w:sz w:val="24"/>
                <w:highlight w:val="none"/>
                <w:lang w:val="en-US" w:eastAsia="zh-CN"/>
              </w:rPr>
            </w:pPr>
            <w:r>
              <w:rPr>
                <w:rFonts w:cs="宋体" w:asciiTheme="minorEastAsia" w:hAnsiTheme="minorEastAsia" w:eastAsiaTheme="minorEastAsia"/>
                <w:b/>
                <w:bCs/>
                <w:sz w:val="24"/>
                <w:highlight w:val="none"/>
                <w:lang w:val="en-US" w:eastAsia="zh-CN"/>
              </w:rPr>
              <w:t>；</w:t>
            </w:r>
          </w:p>
          <w:p w14:paraId="70829876">
            <w:pPr>
              <w:spacing w:line="360" w:lineRule="auto"/>
              <w:jc w:val="left"/>
              <w:rPr>
                <w:rFonts w:hint="default" w:cs="宋体" w:asciiTheme="minorEastAsia" w:hAnsiTheme="minorEastAsia" w:eastAsiaTheme="minorEastAsia"/>
                <w:b/>
                <w:bCs/>
                <w:sz w:val="24"/>
                <w:highlight w:val="none"/>
                <w:lang w:val="en-US" w:eastAsia="zh-CN"/>
              </w:rPr>
            </w:pPr>
            <w:r>
              <w:rPr>
                <w:rFonts w:hint="eastAsia" w:cs="宋体" w:asciiTheme="minorEastAsia" w:hAnsiTheme="minorEastAsia" w:eastAsiaTheme="minorEastAsia"/>
                <w:b/>
                <w:bCs/>
                <w:sz w:val="24"/>
                <w:highlight w:val="none"/>
                <w:lang w:val="en-US" w:eastAsia="zh-CN"/>
              </w:rPr>
              <w:t>3.未提供相应有效证明材料的不得分。</w:t>
            </w:r>
          </w:p>
        </w:tc>
      </w:tr>
      <w:bookmarkEnd w:id="58"/>
      <w:bookmarkEnd w:id="59"/>
      <w:bookmarkEnd w:id="60"/>
      <w:bookmarkEnd w:id="61"/>
      <w:bookmarkEnd w:id="68"/>
      <w:bookmarkEnd w:id="69"/>
      <w:bookmarkEnd w:id="70"/>
      <w:bookmarkEnd w:id="71"/>
    </w:tbl>
    <w:p w14:paraId="6F6A7BDA">
      <w:pPr>
        <w:keepNext w:val="0"/>
        <w:keepLines w:val="0"/>
        <w:pageBreakBefore w:val="0"/>
        <w:widowControl w:val="0"/>
        <w:kinsoku/>
        <w:wordWrap/>
        <w:overflowPunct/>
        <w:topLinePunct w:val="0"/>
        <w:autoSpaceDE/>
        <w:autoSpaceDN/>
        <w:bidi w:val="0"/>
        <w:adjustRightInd/>
        <w:snapToGrid/>
        <w:spacing w:line="360" w:lineRule="auto"/>
        <w:ind w:firstLine="723" w:firstLineChars="300"/>
        <w:textAlignment w:val="auto"/>
        <w:rPr>
          <w:rFonts w:hint="eastAsia" w:ascii="Times New Roman" w:hAnsi="Times New Roman" w:eastAsia="宋体" w:cs="Times New Roman"/>
          <w:sz w:val="24"/>
          <w:highlight w:val="none"/>
          <w:lang w:eastAsia="zh-CN"/>
        </w:rPr>
      </w:pPr>
      <w:r>
        <w:rPr>
          <w:rFonts w:hint="eastAsia" w:ascii="Times New Roman" w:hAnsi="Times New Roman" w:eastAsia="宋体" w:cs="Times New Roman"/>
          <w:b/>
          <w:bCs/>
          <w:sz w:val="24"/>
          <w:highlight w:val="none"/>
          <w:lang w:eastAsia="zh-CN"/>
        </w:rPr>
        <w:t>价格扣除</w:t>
      </w:r>
    </w:p>
    <w:tbl>
      <w:tblPr>
        <w:tblStyle w:val="21"/>
        <w:tblW w:w="9477" w:type="dxa"/>
        <w:tblInd w:w="121"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19"/>
        <w:gridCol w:w="2970"/>
        <w:gridCol w:w="1140"/>
        <w:gridCol w:w="4748"/>
      </w:tblGrid>
      <w:tr w14:paraId="423ABB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72" w:hRule="atLeast"/>
        </w:trPr>
        <w:tc>
          <w:tcPr>
            <w:tcW w:w="619" w:type="dxa"/>
            <w:vAlign w:val="center"/>
          </w:tcPr>
          <w:p w14:paraId="619D5459">
            <w:pPr>
              <w:pStyle w:val="30"/>
              <w:spacing w:line="36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序号</w:t>
            </w:r>
          </w:p>
        </w:tc>
        <w:tc>
          <w:tcPr>
            <w:tcW w:w="2970" w:type="dxa"/>
            <w:vAlign w:val="center"/>
          </w:tcPr>
          <w:p w14:paraId="16739694">
            <w:pPr>
              <w:pStyle w:val="30"/>
              <w:spacing w:line="360" w:lineRule="auto"/>
              <w:jc w:val="center"/>
              <w:rPr>
                <w:rFonts w:hint="eastAsia" w:ascii="宋体" w:hAnsi="宋体" w:eastAsia="宋体" w:cs="宋体"/>
                <w:b/>
                <w:color w:val="auto"/>
                <w:sz w:val="24"/>
                <w:szCs w:val="24"/>
                <w:highlight w:val="none"/>
              </w:rPr>
            </w:pPr>
            <w:r>
              <w:rPr>
                <w:rFonts w:hint="default" w:ascii="宋体" w:hAnsi="宋体" w:cs="宋体"/>
                <w:b/>
                <w:bCs/>
                <w:color w:val="auto"/>
                <w:sz w:val="24"/>
                <w:highlight w:val="none"/>
                <w:vertAlign w:val="baseline"/>
                <w:lang w:val="en-US" w:eastAsia="zh-CN"/>
              </w:rPr>
              <w:t>价格</w:t>
            </w:r>
            <w:r>
              <w:rPr>
                <w:rFonts w:hint="eastAsia" w:ascii="宋体" w:hAnsi="宋体" w:cs="宋体"/>
                <w:b/>
                <w:bCs/>
                <w:color w:val="auto"/>
                <w:sz w:val="24"/>
                <w:highlight w:val="none"/>
                <w:vertAlign w:val="baseline"/>
                <w:lang w:val="en-US" w:eastAsia="zh-CN"/>
              </w:rPr>
              <w:t>扣除</w:t>
            </w:r>
            <w:r>
              <w:rPr>
                <w:rFonts w:hint="default" w:ascii="宋体" w:hAnsi="宋体" w:cs="宋体"/>
                <w:b/>
                <w:bCs/>
                <w:color w:val="auto"/>
                <w:sz w:val="24"/>
                <w:highlight w:val="none"/>
                <w:vertAlign w:val="baseline"/>
                <w:lang w:val="en-US" w:eastAsia="zh-CN"/>
              </w:rPr>
              <w:t>评审内容</w:t>
            </w:r>
          </w:p>
        </w:tc>
        <w:tc>
          <w:tcPr>
            <w:tcW w:w="1140" w:type="dxa"/>
            <w:vAlign w:val="center"/>
          </w:tcPr>
          <w:p w14:paraId="50DC7C20">
            <w:pPr>
              <w:pStyle w:val="30"/>
              <w:spacing w:line="360" w:lineRule="auto"/>
              <w:jc w:val="center"/>
              <w:rPr>
                <w:rFonts w:hint="eastAsia" w:ascii="宋体" w:hAnsi="宋体" w:eastAsia="宋体" w:cs="宋体"/>
                <w:b/>
                <w:color w:val="auto"/>
                <w:sz w:val="24"/>
                <w:szCs w:val="24"/>
                <w:highlight w:val="none"/>
              </w:rPr>
            </w:pPr>
            <w:r>
              <w:rPr>
                <w:rFonts w:hint="eastAsia" w:ascii="宋体" w:hAnsi="宋体" w:cs="宋体"/>
                <w:b/>
                <w:bCs/>
                <w:color w:val="auto"/>
                <w:sz w:val="24"/>
                <w:highlight w:val="none"/>
                <w:vertAlign w:val="baseline"/>
                <w:lang w:val="en-US" w:eastAsia="zh-CN"/>
              </w:rPr>
              <w:t>扣除比例</w:t>
            </w:r>
          </w:p>
        </w:tc>
        <w:tc>
          <w:tcPr>
            <w:tcW w:w="4748" w:type="dxa"/>
            <w:vAlign w:val="center"/>
          </w:tcPr>
          <w:p w14:paraId="13AEB98A">
            <w:pPr>
              <w:pStyle w:val="30"/>
              <w:spacing w:line="360" w:lineRule="auto"/>
              <w:jc w:val="center"/>
              <w:rPr>
                <w:rFonts w:hint="eastAsia" w:ascii="宋体" w:hAnsi="宋体" w:cs="宋体"/>
                <w:b/>
                <w:bCs/>
                <w:color w:val="auto"/>
                <w:sz w:val="24"/>
                <w:highlight w:val="none"/>
                <w:vertAlign w:val="baseline"/>
                <w:lang w:val="en-US" w:eastAsia="zh-CN"/>
              </w:rPr>
            </w:pPr>
            <w:r>
              <w:rPr>
                <w:rFonts w:hint="eastAsia" w:ascii="宋体" w:hAnsi="宋体" w:cs="宋体"/>
                <w:b/>
                <w:bCs/>
                <w:color w:val="auto"/>
                <w:sz w:val="24"/>
                <w:highlight w:val="none"/>
                <w:vertAlign w:val="baseline"/>
                <w:lang w:val="en-US" w:eastAsia="zh-CN"/>
              </w:rPr>
              <w:t>具体标准及要求</w:t>
            </w:r>
          </w:p>
        </w:tc>
      </w:tr>
      <w:tr w14:paraId="5226E4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40" w:hRule="atLeast"/>
        </w:trPr>
        <w:tc>
          <w:tcPr>
            <w:tcW w:w="619" w:type="dxa"/>
            <w:vAlign w:val="center"/>
          </w:tcPr>
          <w:p w14:paraId="27F7785C">
            <w:pPr>
              <w:pStyle w:val="30"/>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w w:val="115"/>
                <w:sz w:val="24"/>
                <w:szCs w:val="24"/>
                <w:highlight w:val="none"/>
                <w:lang w:val="en-US" w:eastAsia="zh-CN"/>
              </w:rPr>
              <w:t>1</w:t>
            </w:r>
          </w:p>
        </w:tc>
        <w:tc>
          <w:tcPr>
            <w:tcW w:w="2970" w:type="dxa"/>
            <w:vAlign w:val="center"/>
          </w:tcPr>
          <w:p w14:paraId="44173CF9">
            <w:pPr>
              <w:pStyle w:val="30"/>
              <w:spacing w:line="360" w:lineRule="auto"/>
              <w:jc w:val="center"/>
              <w:rPr>
                <w:rFonts w:hint="eastAsia" w:ascii="宋体" w:hAnsi="宋体" w:eastAsia="宋体" w:cs="宋体"/>
                <w:color w:val="auto"/>
                <w:sz w:val="24"/>
                <w:szCs w:val="24"/>
                <w:highlight w:val="none"/>
              </w:rPr>
            </w:pPr>
            <w:r>
              <w:rPr>
                <w:rFonts w:ascii="Segoe UI Symbol" w:hAnsi="Segoe UI Symbol" w:eastAsia="Segoe UI Symbol" w:cs="Segoe UI Symbol"/>
                <w:i w:val="0"/>
                <w:iCs w:val="0"/>
                <w:caps w:val="0"/>
                <w:color w:val="1F2329"/>
                <w:spacing w:val="0"/>
                <w:sz w:val="24"/>
                <w:szCs w:val="24"/>
                <w:highlight w:val="none"/>
                <w:shd w:val="clear" w:fill="FFFFFF"/>
              </w:rPr>
              <w:t>小型、微型企业价格扣除</w:t>
            </w:r>
          </w:p>
        </w:tc>
        <w:tc>
          <w:tcPr>
            <w:tcW w:w="1140" w:type="dxa"/>
            <w:vAlign w:val="center"/>
          </w:tcPr>
          <w:p w14:paraId="68ED2FA5">
            <w:pPr>
              <w:pStyle w:val="30"/>
              <w:spacing w:line="360" w:lineRule="auto"/>
              <w:jc w:val="center"/>
              <w:rPr>
                <w:rFonts w:hint="eastAsia" w:ascii="宋体" w:hAnsi="宋体" w:eastAsia="宋体" w:cs="宋体"/>
                <w:color w:val="auto"/>
                <w:sz w:val="24"/>
                <w:szCs w:val="24"/>
                <w:highlight w:val="none"/>
              </w:rPr>
            </w:pPr>
            <w:r>
              <w:rPr>
                <w:rFonts w:ascii="Segoe UI Symbol" w:hAnsi="Segoe UI Symbol" w:eastAsia="Segoe UI Symbol" w:cs="Segoe UI Symbol"/>
                <w:i w:val="0"/>
                <w:iCs w:val="0"/>
                <w:caps w:val="0"/>
                <w:color w:val="1F2329"/>
                <w:spacing w:val="0"/>
                <w:sz w:val="24"/>
                <w:szCs w:val="24"/>
                <w:highlight w:val="none"/>
                <w:shd w:val="clear" w:fill="FFFFFF"/>
              </w:rPr>
              <w:t>15%</w:t>
            </w:r>
          </w:p>
        </w:tc>
        <w:tc>
          <w:tcPr>
            <w:tcW w:w="4748" w:type="dxa"/>
            <w:vAlign w:val="center"/>
          </w:tcPr>
          <w:p w14:paraId="1D211AB6">
            <w:pPr>
              <w:pStyle w:val="30"/>
              <w:spacing w:line="360" w:lineRule="auto"/>
              <w:jc w:val="center"/>
              <w:rPr>
                <w:rFonts w:hint="eastAsia" w:ascii="宋体" w:hAnsi="宋体" w:eastAsia="宋体" w:cs="宋体"/>
                <w:color w:val="auto"/>
                <w:sz w:val="24"/>
                <w:szCs w:val="24"/>
                <w:highlight w:val="none"/>
              </w:rPr>
            </w:pPr>
            <w:r>
              <w:rPr>
                <w:rFonts w:ascii="Segoe UI Symbol" w:hAnsi="Segoe UI Symbol" w:eastAsia="Segoe UI Symbol" w:cs="Segoe UI Symbol"/>
                <w:i w:val="0"/>
                <w:iCs w:val="0"/>
                <w:caps w:val="0"/>
                <w:color w:val="1F2329"/>
                <w:spacing w:val="0"/>
                <w:sz w:val="24"/>
                <w:szCs w:val="24"/>
                <w:highlight w:val="none"/>
                <w:shd w:val="clear" w:fill="FFFFFF"/>
              </w:rPr>
              <w:t>依据《政府采购促进中小企业发展管理办法》（财库〔2020〕46 号）及《财政部关于进一步加大政府采购支持中小企业力度的通知》（财库〔2022〕19 号）规定，对小型和微型企业产品的价格给予 15% 的扣除，用扣除后的价格参与评审。投标人须提供《中小企业声明函》，且投标产品全部由该小微企业制造，方可享受价格扣除优惠。监狱企业、残疾人福利性单位视同小微企业，同等享受价格扣除。</w:t>
            </w:r>
          </w:p>
        </w:tc>
      </w:tr>
      <w:tr w14:paraId="5F912F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89" w:hRule="atLeast"/>
        </w:trPr>
        <w:tc>
          <w:tcPr>
            <w:tcW w:w="619" w:type="dxa"/>
            <w:vAlign w:val="center"/>
          </w:tcPr>
          <w:p w14:paraId="747C69FA">
            <w:pPr>
              <w:pStyle w:val="30"/>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w w:val="115"/>
                <w:sz w:val="24"/>
                <w:szCs w:val="24"/>
                <w:highlight w:val="none"/>
                <w:lang w:val="en-US" w:eastAsia="zh-CN"/>
              </w:rPr>
              <w:t>2</w:t>
            </w:r>
          </w:p>
        </w:tc>
        <w:tc>
          <w:tcPr>
            <w:tcW w:w="2970" w:type="dxa"/>
            <w:vAlign w:val="center"/>
          </w:tcPr>
          <w:p w14:paraId="284A3ED4">
            <w:pPr>
              <w:pStyle w:val="30"/>
              <w:spacing w:line="360" w:lineRule="auto"/>
              <w:jc w:val="center"/>
              <w:rPr>
                <w:rFonts w:hint="eastAsia" w:ascii="宋体" w:hAnsi="宋体" w:eastAsia="宋体" w:cs="宋体"/>
                <w:color w:val="auto"/>
                <w:sz w:val="24"/>
                <w:szCs w:val="24"/>
                <w:highlight w:val="none"/>
              </w:rPr>
            </w:pPr>
            <w:r>
              <w:rPr>
                <w:rFonts w:ascii="Segoe UI Symbol" w:hAnsi="Segoe UI Symbol" w:eastAsia="Segoe UI Symbol" w:cs="Segoe UI Symbol"/>
                <w:i w:val="0"/>
                <w:iCs w:val="0"/>
                <w:caps w:val="0"/>
                <w:color w:val="1F2329"/>
                <w:spacing w:val="0"/>
                <w:sz w:val="24"/>
                <w:szCs w:val="24"/>
                <w:highlight w:val="none"/>
                <w:shd w:val="clear" w:fill="FFFFFF"/>
              </w:rPr>
              <w:t>本国产品价格扣除</w:t>
            </w:r>
          </w:p>
        </w:tc>
        <w:tc>
          <w:tcPr>
            <w:tcW w:w="1140" w:type="dxa"/>
            <w:vAlign w:val="center"/>
          </w:tcPr>
          <w:p w14:paraId="558DA93D">
            <w:pPr>
              <w:pStyle w:val="30"/>
              <w:spacing w:line="360" w:lineRule="auto"/>
              <w:jc w:val="center"/>
              <w:rPr>
                <w:rFonts w:hint="eastAsia" w:ascii="宋体" w:hAnsi="宋体" w:eastAsia="宋体" w:cs="宋体"/>
                <w:color w:val="auto"/>
                <w:sz w:val="24"/>
                <w:szCs w:val="24"/>
                <w:highlight w:val="none"/>
              </w:rPr>
            </w:pPr>
            <w:r>
              <w:rPr>
                <w:rFonts w:ascii="Segoe UI Symbol" w:hAnsi="Segoe UI Symbol" w:eastAsia="Segoe UI Symbol" w:cs="Segoe UI Symbol"/>
                <w:i w:val="0"/>
                <w:iCs w:val="0"/>
                <w:caps w:val="0"/>
                <w:color w:val="1F2329"/>
                <w:spacing w:val="0"/>
                <w:sz w:val="24"/>
                <w:szCs w:val="24"/>
                <w:highlight w:val="none"/>
                <w:shd w:val="clear" w:fill="FFFFFF"/>
              </w:rPr>
              <w:t>20%</w:t>
            </w:r>
          </w:p>
        </w:tc>
        <w:tc>
          <w:tcPr>
            <w:tcW w:w="4748" w:type="dxa"/>
            <w:vAlign w:val="center"/>
          </w:tcPr>
          <w:p w14:paraId="72532FC1">
            <w:pPr>
              <w:pStyle w:val="3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依据《国务院办公厅关于在政府采购中实施本国产品标准及相关政策的通知》（国办发〔2025〕34 号）规定，对符合本国产品标准的产品给予 20% 的价格扣除，用扣除后的价格参与评审。本国产品指在中国关境内完成实质性加工制造、国内生产成本占比达到规定比例的产品。投标人须提供《本国产品标准声明函》，并列明产品品牌、产地及境内生产说明。</w:t>
            </w:r>
          </w:p>
        </w:tc>
      </w:tr>
    </w:tbl>
    <w:p w14:paraId="4C3F3ED7">
      <w:pPr>
        <w:rPr>
          <w:rFonts w:hint="eastAsia" w:ascii="宋体" w:hAnsi="宋体" w:cs="宋体"/>
          <w:sz w:val="24"/>
        </w:rPr>
      </w:pPr>
      <w:r>
        <w:rPr>
          <w:rFonts w:hint="eastAsia" w:ascii="宋体" w:hAnsi="宋体" w:cs="宋体"/>
          <w:sz w:val="24"/>
        </w:rPr>
        <w:br w:type="page"/>
      </w:r>
    </w:p>
    <w:p w14:paraId="22A71DB7">
      <w:pPr>
        <w:spacing w:line="360" w:lineRule="auto"/>
        <w:ind w:firstLine="480" w:firstLineChars="200"/>
        <w:rPr>
          <w:rFonts w:hint="eastAsia" w:ascii="宋体" w:hAnsi="宋体" w:cs="宋体"/>
          <w:sz w:val="24"/>
        </w:rPr>
      </w:pPr>
      <w:r>
        <w:rPr>
          <w:rFonts w:hint="eastAsia" w:ascii="宋体" w:hAnsi="宋体" w:cs="宋体"/>
          <w:sz w:val="24"/>
        </w:rPr>
        <w:t>1.评标方法</w:t>
      </w:r>
    </w:p>
    <w:p w14:paraId="275A1A35">
      <w:pPr>
        <w:spacing w:line="360" w:lineRule="auto"/>
        <w:ind w:firstLine="480" w:firstLineChars="200"/>
        <w:rPr>
          <w:rFonts w:ascii="宋体" w:hAnsi="宋体" w:cs="宋体"/>
          <w:sz w:val="24"/>
        </w:rPr>
      </w:pPr>
      <w:r>
        <w:rPr>
          <w:rFonts w:hint="eastAsia" w:ascii="宋体" w:hAnsi="宋体" w:cs="宋体"/>
          <w:sz w:val="24"/>
        </w:rPr>
        <w:t>本次评标采用综合评估法。评标委员会对满足招标文件实质性要求的投标文件，按照本章规定的评分标准进行打分，并按得分由高到低顺序推荐中标候选人，或根据招标人授权直接确定中标人，但投标报价低于其成本的除外。综合评分相等时，以投标报价低的优先；投标报价也相等的，以技术得分高的优先；如果技术得分也相等，由评标委员会全体成员投票确定中标候选人顺序。</w:t>
      </w:r>
    </w:p>
    <w:p w14:paraId="533D7E85">
      <w:pPr>
        <w:spacing w:line="360" w:lineRule="auto"/>
        <w:ind w:firstLine="480" w:firstLineChars="200"/>
        <w:rPr>
          <w:rFonts w:hint="eastAsia" w:ascii="宋体" w:hAnsi="宋体" w:cs="宋体"/>
          <w:sz w:val="24"/>
        </w:rPr>
      </w:pPr>
      <w:bookmarkStart w:id="72" w:name="_bookmark84"/>
      <w:bookmarkEnd w:id="72"/>
      <w:bookmarkStart w:id="73" w:name="_Toc4599590"/>
      <w:bookmarkStart w:id="74" w:name="_Toc503345377"/>
      <w:r>
        <w:rPr>
          <w:rFonts w:hint="eastAsia" w:ascii="宋体" w:hAnsi="宋体" w:cs="宋体"/>
          <w:sz w:val="24"/>
        </w:rPr>
        <w:t>2.评审标准</w:t>
      </w:r>
      <w:bookmarkEnd w:id="73"/>
      <w:bookmarkEnd w:id="74"/>
    </w:p>
    <w:p w14:paraId="4594F9C2">
      <w:pPr>
        <w:spacing w:line="360" w:lineRule="auto"/>
        <w:ind w:firstLine="480" w:firstLineChars="200"/>
        <w:rPr>
          <w:rFonts w:ascii="宋体" w:hAnsi="宋体" w:cs="宋体"/>
          <w:sz w:val="24"/>
        </w:rPr>
      </w:pPr>
      <w:bookmarkStart w:id="75" w:name="_bookmark85"/>
      <w:bookmarkEnd w:id="75"/>
      <w:bookmarkStart w:id="76" w:name="_Toc511399906"/>
      <w:bookmarkStart w:id="77" w:name="_Toc511632516"/>
      <w:bookmarkStart w:id="78" w:name="_Toc527125563"/>
      <w:bookmarkStart w:id="79" w:name="_Toc528068094"/>
      <w:bookmarkStart w:id="80" w:name="_Toc504386670"/>
      <w:bookmarkStart w:id="81" w:name="_Toc511634362"/>
      <w:bookmarkStart w:id="82" w:name="_Toc503345378"/>
      <w:bookmarkStart w:id="83" w:name="_Toc4599591"/>
      <w:bookmarkStart w:id="84" w:name="_Toc511745557"/>
      <w:r>
        <w:rPr>
          <w:rFonts w:hint="eastAsia" w:ascii="宋体" w:hAnsi="宋体" w:cs="宋体"/>
          <w:sz w:val="24"/>
        </w:rPr>
        <w:t>2.1初步评审标准</w:t>
      </w:r>
      <w:bookmarkEnd w:id="76"/>
      <w:bookmarkEnd w:id="77"/>
      <w:bookmarkEnd w:id="78"/>
      <w:bookmarkEnd w:id="79"/>
      <w:bookmarkEnd w:id="80"/>
      <w:bookmarkEnd w:id="81"/>
      <w:bookmarkEnd w:id="82"/>
      <w:bookmarkEnd w:id="83"/>
      <w:bookmarkEnd w:id="84"/>
    </w:p>
    <w:p w14:paraId="3D3E4612">
      <w:pPr>
        <w:spacing w:line="360" w:lineRule="auto"/>
        <w:ind w:firstLine="480" w:firstLineChars="200"/>
        <w:rPr>
          <w:rFonts w:ascii="宋体" w:hAnsi="宋体" w:cs="宋体"/>
          <w:sz w:val="24"/>
        </w:rPr>
      </w:pPr>
      <w:r>
        <w:rPr>
          <w:rFonts w:hint="eastAsia" w:ascii="宋体" w:hAnsi="宋体" w:cs="宋体"/>
          <w:sz w:val="24"/>
        </w:rPr>
        <w:t>2.1.1形式评审标准：见评标办法前附表。</w:t>
      </w:r>
    </w:p>
    <w:p w14:paraId="725EF2CD">
      <w:pPr>
        <w:spacing w:line="360" w:lineRule="auto"/>
        <w:ind w:firstLine="480" w:firstLineChars="200"/>
        <w:rPr>
          <w:rFonts w:ascii="宋体" w:hAnsi="宋体" w:cs="宋体"/>
          <w:sz w:val="24"/>
        </w:rPr>
      </w:pPr>
      <w:r>
        <w:rPr>
          <w:rFonts w:hint="eastAsia" w:ascii="宋体" w:hAnsi="宋体" w:cs="宋体"/>
          <w:sz w:val="24"/>
        </w:rPr>
        <w:t>2.1.2资格评审标准：见评标办法前附表。</w:t>
      </w:r>
    </w:p>
    <w:p w14:paraId="44B9F51F">
      <w:pPr>
        <w:spacing w:line="360" w:lineRule="auto"/>
        <w:ind w:firstLine="480" w:firstLineChars="200"/>
        <w:rPr>
          <w:rFonts w:ascii="宋体" w:hAnsi="宋体" w:cs="宋体"/>
          <w:sz w:val="24"/>
        </w:rPr>
      </w:pPr>
      <w:r>
        <w:rPr>
          <w:rFonts w:hint="eastAsia" w:ascii="宋体" w:hAnsi="宋体" w:cs="宋体"/>
          <w:sz w:val="24"/>
        </w:rPr>
        <w:t>2.1.3响应性评审标准：见评标办法前附表。</w:t>
      </w:r>
    </w:p>
    <w:p w14:paraId="636FA558">
      <w:pPr>
        <w:spacing w:line="360" w:lineRule="auto"/>
        <w:ind w:firstLine="480" w:firstLineChars="200"/>
        <w:rPr>
          <w:rFonts w:ascii="宋体" w:hAnsi="宋体" w:cs="宋体"/>
          <w:sz w:val="24"/>
        </w:rPr>
      </w:pPr>
      <w:bookmarkStart w:id="85" w:name="_bookmark86"/>
      <w:bookmarkEnd w:id="85"/>
      <w:bookmarkStart w:id="86" w:name="_Toc511399907"/>
      <w:bookmarkStart w:id="87" w:name="_Toc4599592"/>
      <w:bookmarkStart w:id="88" w:name="_Toc527125564"/>
      <w:bookmarkStart w:id="89" w:name="_Toc504386671"/>
      <w:bookmarkStart w:id="90" w:name="_Toc511634363"/>
      <w:bookmarkStart w:id="91" w:name="_Toc503345379"/>
      <w:bookmarkStart w:id="92" w:name="_Toc528068095"/>
      <w:bookmarkStart w:id="93" w:name="_Toc511632517"/>
      <w:bookmarkStart w:id="94" w:name="_Toc511745558"/>
      <w:r>
        <w:rPr>
          <w:rFonts w:hint="eastAsia" w:ascii="宋体" w:hAnsi="宋体" w:cs="宋体"/>
          <w:sz w:val="24"/>
        </w:rPr>
        <w:t>2.2分值构成与评分标准</w:t>
      </w:r>
      <w:bookmarkEnd w:id="86"/>
      <w:bookmarkEnd w:id="87"/>
      <w:bookmarkEnd w:id="88"/>
      <w:bookmarkEnd w:id="89"/>
      <w:bookmarkEnd w:id="90"/>
      <w:bookmarkEnd w:id="91"/>
      <w:bookmarkEnd w:id="92"/>
      <w:bookmarkEnd w:id="93"/>
      <w:bookmarkEnd w:id="94"/>
    </w:p>
    <w:p w14:paraId="1F3A342D">
      <w:pPr>
        <w:spacing w:line="360" w:lineRule="auto"/>
        <w:ind w:firstLine="480" w:firstLineChars="200"/>
        <w:rPr>
          <w:rFonts w:ascii="宋体" w:hAnsi="宋体" w:cs="宋体"/>
          <w:sz w:val="24"/>
        </w:rPr>
      </w:pPr>
      <w:r>
        <w:rPr>
          <w:rFonts w:hint="eastAsia" w:ascii="宋体" w:hAnsi="宋体" w:cs="宋体"/>
          <w:sz w:val="24"/>
        </w:rPr>
        <w:t>2.2.1 分值构成</w:t>
      </w:r>
    </w:p>
    <w:p w14:paraId="179F4C47">
      <w:pPr>
        <w:spacing w:line="360" w:lineRule="auto"/>
        <w:ind w:firstLine="480" w:firstLineChars="200"/>
        <w:rPr>
          <w:rFonts w:ascii="宋体" w:hAnsi="宋体" w:cs="宋体"/>
          <w:sz w:val="24"/>
        </w:rPr>
      </w:pPr>
      <w:r>
        <w:rPr>
          <w:rFonts w:hint="eastAsia" w:ascii="宋体" w:hAnsi="宋体" w:cs="宋体"/>
          <w:sz w:val="24"/>
        </w:rPr>
        <w:t>（1）技术部分：见评标办法前附表；</w:t>
      </w:r>
    </w:p>
    <w:p w14:paraId="02562221">
      <w:pPr>
        <w:spacing w:line="360" w:lineRule="auto"/>
        <w:ind w:firstLine="480" w:firstLineChars="200"/>
        <w:rPr>
          <w:rFonts w:ascii="宋体" w:hAnsi="宋体" w:cs="宋体"/>
          <w:sz w:val="24"/>
        </w:rPr>
      </w:pPr>
      <w:r>
        <w:rPr>
          <w:rFonts w:hint="eastAsia" w:ascii="宋体" w:hAnsi="宋体" w:cs="宋体"/>
          <w:sz w:val="24"/>
        </w:rPr>
        <w:t>（2）商务报价：见评标办法前附表；</w:t>
      </w:r>
    </w:p>
    <w:p w14:paraId="23EFDD5D">
      <w:pPr>
        <w:spacing w:line="360" w:lineRule="auto"/>
        <w:ind w:firstLine="480" w:firstLineChars="200"/>
        <w:rPr>
          <w:rFonts w:ascii="宋体" w:hAnsi="宋体" w:cs="宋体"/>
          <w:sz w:val="24"/>
        </w:rPr>
      </w:pPr>
      <w:r>
        <w:rPr>
          <w:rFonts w:hint="eastAsia" w:ascii="宋体" w:hAnsi="宋体" w:cs="宋体"/>
          <w:sz w:val="24"/>
        </w:rPr>
        <w:t>（3）投标报价：见评标办法前附表；</w:t>
      </w:r>
    </w:p>
    <w:p w14:paraId="2C3E51A7">
      <w:pPr>
        <w:spacing w:line="360" w:lineRule="auto"/>
        <w:ind w:firstLine="480" w:firstLineChars="200"/>
        <w:rPr>
          <w:rFonts w:ascii="宋体" w:hAnsi="宋体" w:cs="宋体"/>
          <w:sz w:val="24"/>
        </w:rPr>
      </w:pPr>
      <w:r>
        <w:rPr>
          <w:rFonts w:hint="eastAsia" w:ascii="宋体" w:hAnsi="宋体" w:cs="宋体"/>
          <w:sz w:val="24"/>
        </w:rPr>
        <w:t>2.2.2 评标基准价计算方法：见评标办法前附表。</w:t>
      </w:r>
    </w:p>
    <w:p w14:paraId="50BC63C6">
      <w:pPr>
        <w:spacing w:line="360" w:lineRule="auto"/>
        <w:ind w:firstLine="480" w:firstLineChars="200"/>
        <w:rPr>
          <w:rFonts w:ascii="宋体" w:hAnsi="宋体" w:cs="宋体"/>
          <w:sz w:val="24"/>
        </w:rPr>
      </w:pPr>
      <w:r>
        <w:rPr>
          <w:rFonts w:hint="eastAsia" w:ascii="宋体" w:hAnsi="宋体" w:cs="宋体"/>
          <w:sz w:val="24"/>
        </w:rPr>
        <w:t>2.2.3 投标报价的偏差率计算</w:t>
      </w:r>
    </w:p>
    <w:p w14:paraId="386CDDEB">
      <w:pPr>
        <w:spacing w:line="360" w:lineRule="auto"/>
        <w:ind w:firstLine="480" w:firstLineChars="200"/>
        <w:rPr>
          <w:rFonts w:ascii="宋体" w:hAnsi="宋体" w:cs="宋体"/>
          <w:sz w:val="24"/>
        </w:rPr>
      </w:pPr>
      <w:r>
        <w:rPr>
          <w:rFonts w:hint="eastAsia" w:ascii="宋体" w:hAnsi="宋体" w:cs="宋体"/>
          <w:sz w:val="24"/>
        </w:rPr>
        <w:t>投标报价的偏差率计算公式：见评标办法前附表。</w:t>
      </w:r>
    </w:p>
    <w:p w14:paraId="5495A451">
      <w:pPr>
        <w:spacing w:line="360" w:lineRule="auto"/>
        <w:ind w:firstLine="480" w:firstLineChars="200"/>
        <w:rPr>
          <w:rFonts w:ascii="宋体" w:hAnsi="宋体" w:cs="宋体"/>
          <w:sz w:val="24"/>
        </w:rPr>
      </w:pPr>
      <w:r>
        <w:rPr>
          <w:rFonts w:hint="eastAsia" w:ascii="宋体" w:hAnsi="宋体" w:cs="宋体"/>
          <w:sz w:val="24"/>
        </w:rPr>
        <w:t>2.2.4 评分标准</w:t>
      </w:r>
    </w:p>
    <w:p w14:paraId="2C2E14CD">
      <w:pPr>
        <w:spacing w:line="360" w:lineRule="auto"/>
        <w:ind w:firstLine="480" w:firstLineChars="200"/>
        <w:rPr>
          <w:rFonts w:ascii="宋体" w:hAnsi="宋体" w:cs="宋体"/>
          <w:sz w:val="24"/>
        </w:rPr>
      </w:pPr>
      <w:r>
        <w:rPr>
          <w:rFonts w:hint="eastAsia" w:ascii="宋体" w:hAnsi="宋体" w:cs="宋体"/>
          <w:sz w:val="24"/>
        </w:rPr>
        <w:t>（1）企业情况及综合服务：见评标办法前附表；</w:t>
      </w:r>
    </w:p>
    <w:p w14:paraId="3FF8E5C7">
      <w:pPr>
        <w:spacing w:line="360" w:lineRule="auto"/>
        <w:ind w:firstLine="480" w:firstLineChars="200"/>
        <w:rPr>
          <w:rFonts w:hint="eastAsia" w:ascii="宋体" w:hAnsi="宋体" w:cs="宋体"/>
          <w:sz w:val="24"/>
        </w:rPr>
      </w:pPr>
      <w:r>
        <w:rPr>
          <w:rFonts w:hint="eastAsia" w:ascii="宋体" w:hAnsi="宋体" w:cs="宋体"/>
          <w:sz w:val="24"/>
        </w:rPr>
        <w:t>（2）投标报价评分标准：见评标办法前附表；</w:t>
      </w:r>
    </w:p>
    <w:p w14:paraId="262A50E3">
      <w:pPr>
        <w:spacing w:line="360" w:lineRule="auto"/>
        <w:ind w:firstLine="480" w:firstLineChars="200"/>
        <w:rPr>
          <w:rFonts w:hint="eastAsia" w:ascii="宋体" w:hAnsi="宋体" w:cs="宋体"/>
          <w:sz w:val="24"/>
          <w:highlight w:val="none"/>
        </w:rPr>
      </w:pPr>
      <w:r>
        <w:rPr>
          <w:rFonts w:hint="eastAsia" w:ascii="宋体" w:hAnsi="宋体" w:cs="宋体"/>
          <w:sz w:val="24"/>
          <w:highlight w:val="none"/>
          <w:lang w:val="en-US" w:eastAsia="zh-CN"/>
        </w:rPr>
        <w:t xml:space="preserve">2.2.5 </w:t>
      </w:r>
      <w:r>
        <w:rPr>
          <w:rFonts w:hint="eastAsia" w:ascii="宋体" w:hAnsi="宋体" w:cs="宋体"/>
          <w:sz w:val="24"/>
          <w:highlight w:val="none"/>
        </w:rPr>
        <w:t>政府采购政策功能落实</w:t>
      </w:r>
    </w:p>
    <w:p w14:paraId="71C0190E">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对于⼩型、微型企业、监狱企业或残疾⼈福利性单位给予价格扣除。</w:t>
      </w:r>
    </w:p>
    <w:p w14:paraId="7FB52024">
      <w:pPr>
        <w:spacing w:line="360" w:lineRule="auto"/>
        <w:ind w:firstLine="480" w:firstLineChars="200"/>
        <w:rPr>
          <w:rFonts w:hint="eastAsia" w:ascii="宋体" w:hAnsi="宋体" w:cs="宋体"/>
          <w:sz w:val="24"/>
          <w:highlight w:val="none"/>
        </w:rPr>
      </w:pPr>
      <w:r>
        <w:rPr>
          <w:rFonts w:hint="eastAsia" w:ascii="宋体" w:hAnsi="宋体" w:cs="宋体"/>
          <w:sz w:val="24"/>
          <w:highlight w:val="none"/>
          <w:lang w:val="en-US" w:eastAsia="zh-CN"/>
        </w:rPr>
        <w:t xml:space="preserve">2.2.6 </w:t>
      </w:r>
      <w:r>
        <w:rPr>
          <w:rFonts w:hint="eastAsia" w:ascii="宋体" w:hAnsi="宋体" w:cs="宋体"/>
          <w:sz w:val="24"/>
          <w:highlight w:val="none"/>
        </w:rPr>
        <w:t>相同品牌审查</w:t>
      </w:r>
    </w:p>
    <w:p w14:paraId="7DC92A8E">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采⽤最低评标价法的采购项⽬，提供相同品牌产品的不同投标⼈参加同⼀合同项下投标的，以其中通过资格审查、符合性审查且报价最低的参加评标；报价相同的，由采购⼈或者采购⼈委托评标委员会按照招标⽂件规定的⽅式确定⼀个参加评标的投标⼈，招标⽂件未规定的采取随机抽取⽅式确定，其他投标⽆效。</w:t>
      </w:r>
    </w:p>
    <w:p w14:paraId="24672760">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使⽤综合评分法的采购项⽬，提供相同品牌产品且通过资格审查、符合性审查的不同投标⼈参加同⼀合同项下投标的，按⼀家投标⼈计算，评审后得分最⾼的同品牌投标⼈获得中标⼈推荐资格；评审得分相同的，由采购⼈或者采购⼈委托评标委员会按照招标⽂件规定的⽅式确定⼀个投标⼈获得中标⼈推荐资格，招标⽂件未规定的采取随机抽取⽅式确定，其他同品牌投标⼈不作为中标候选⼈。</w:t>
      </w:r>
    </w:p>
    <w:p w14:paraId="2C687911">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多家投标⼈提供的核⼼产品品牌相同的，按上述规定处理。</w:t>
      </w:r>
    </w:p>
    <w:p w14:paraId="7DD834DB">
      <w:pPr>
        <w:spacing w:line="360" w:lineRule="auto"/>
        <w:ind w:firstLine="480" w:firstLineChars="200"/>
        <w:rPr>
          <w:rFonts w:hint="eastAsia" w:ascii="宋体" w:hAnsi="宋体" w:cs="宋体"/>
          <w:sz w:val="24"/>
          <w:highlight w:val="none"/>
        </w:rPr>
      </w:pPr>
      <w:bookmarkStart w:id="95" w:name="_bookmark87"/>
      <w:bookmarkEnd w:id="95"/>
      <w:bookmarkStart w:id="96" w:name="_Toc4599593"/>
      <w:bookmarkStart w:id="97" w:name="_Toc503345380"/>
      <w:r>
        <w:rPr>
          <w:rFonts w:hint="eastAsia" w:ascii="宋体" w:hAnsi="宋体" w:cs="宋体"/>
          <w:sz w:val="24"/>
          <w:highlight w:val="none"/>
        </w:rPr>
        <w:t>3.评标程序</w:t>
      </w:r>
      <w:bookmarkEnd w:id="96"/>
      <w:bookmarkEnd w:id="97"/>
    </w:p>
    <w:p w14:paraId="28BDED77">
      <w:pPr>
        <w:spacing w:line="360" w:lineRule="auto"/>
        <w:ind w:firstLine="480" w:firstLineChars="200"/>
        <w:rPr>
          <w:rFonts w:ascii="宋体" w:hAnsi="宋体" w:cs="宋体"/>
          <w:sz w:val="24"/>
        </w:rPr>
      </w:pPr>
      <w:bookmarkStart w:id="98" w:name="_bookmark88"/>
      <w:bookmarkEnd w:id="98"/>
      <w:bookmarkStart w:id="99" w:name="_Toc511634365"/>
      <w:bookmarkStart w:id="100" w:name="_Toc511399909"/>
      <w:bookmarkStart w:id="101" w:name="_Toc511745560"/>
      <w:bookmarkStart w:id="102" w:name="_Toc504386673"/>
      <w:bookmarkStart w:id="103" w:name="_Toc527125566"/>
      <w:bookmarkStart w:id="104" w:name="_Toc528068097"/>
      <w:bookmarkStart w:id="105" w:name="_Toc511632519"/>
      <w:bookmarkStart w:id="106" w:name="_Toc4599594"/>
      <w:bookmarkStart w:id="107" w:name="_Toc503345381"/>
      <w:r>
        <w:rPr>
          <w:rFonts w:hint="eastAsia" w:ascii="宋体" w:hAnsi="宋体" w:cs="宋体"/>
          <w:sz w:val="24"/>
        </w:rPr>
        <w:t>3.1初步评审</w:t>
      </w:r>
      <w:bookmarkEnd w:id="99"/>
      <w:bookmarkEnd w:id="100"/>
      <w:bookmarkEnd w:id="101"/>
      <w:bookmarkEnd w:id="102"/>
      <w:bookmarkEnd w:id="103"/>
      <w:bookmarkEnd w:id="104"/>
      <w:bookmarkEnd w:id="105"/>
      <w:bookmarkEnd w:id="106"/>
      <w:bookmarkEnd w:id="107"/>
    </w:p>
    <w:p w14:paraId="3571E07B">
      <w:pPr>
        <w:spacing w:line="360" w:lineRule="auto"/>
        <w:ind w:firstLine="480" w:firstLineChars="200"/>
        <w:rPr>
          <w:rFonts w:ascii="宋体" w:hAnsi="宋体" w:cs="宋体"/>
          <w:sz w:val="24"/>
        </w:rPr>
      </w:pPr>
      <w:r>
        <w:rPr>
          <w:rFonts w:hint="eastAsia" w:ascii="宋体" w:hAnsi="宋体" w:cs="宋体"/>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14:paraId="2BD6F05A">
      <w:pPr>
        <w:spacing w:line="360" w:lineRule="auto"/>
        <w:ind w:firstLine="480" w:firstLineChars="200"/>
        <w:rPr>
          <w:rFonts w:ascii="宋体" w:hAnsi="宋体" w:cs="宋体"/>
          <w:sz w:val="24"/>
        </w:rPr>
      </w:pPr>
      <w:r>
        <w:rPr>
          <w:rFonts w:hint="eastAsia" w:ascii="宋体" w:hAnsi="宋体" w:cs="宋体"/>
          <w:sz w:val="24"/>
        </w:rPr>
        <w:t>3.1.2 投标人有以下情形之一的，评标委员会应当否决其投标：</w:t>
      </w:r>
    </w:p>
    <w:p w14:paraId="76A1A83A">
      <w:pPr>
        <w:spacing w:line="360" w:lineRule="auto"/>
        <w:ind w:firstLine="480" w:firstLineChars="200"/>
        <w:rPr>
          <w:rFonts w:ascii="宋体" w:hAnsi="宋体" w:cs="宋体"/>
          <w:sz w:val="24"/>
        </w:rPr>
      </w:pPr>
      <w:r>
        <w:rPr>
          <w:rFonts w:hint="eastAsia" w:ascii="宋体" w:hAnsi="宋体" w:cs="宋体"/>
          <w:sz w:val="24"/>
        </w:rPr>
        <w:t>（1）投标文件没有对招标文件的实质性要求和条件作出响应，或者对招标文件的偏差超出 招标文件规定的偏差范围或最高项数；</w:t>
      </w:r>
    </w:p>
    <w:p w14:paraId="2553D457">
      <w:pPr>
        <w:spacing w:line="360" w:lineRule="auto"/>
        <w:ind w:firstLine="480" w:firstLineChars="200"/>
        <w:rPr>
          <w:rFonts w:ascii="宋体" w:hAnsi="宋体" w:cs="宋体"/>
          <w:sz w:val="24"/>
        </w:rPr>
      </w:pPr>
      <w:r>
        <w:rPr>
          <w:rFonts w:hint="eastAsia" w:ascii="宋体" w:hAnsi="宋体" w:cs="宋体"/>
          <w:sz w:val="24"/>
        </w:rPr>
        <w:t>（2）有串通投标、弄虚作假、行贿等违法行为。</w:t>
      </w:r>
    </w:p>
    <w:p w14:paraId="36DCF6D9">
      <w:pPr>
        <w:spacing w:line="360" w:lineRule="auto"/>
        <w:ind w:firstLine="480" w:firstLineChars="200"/>
        <w:rPr>
          <w:rFonts w:ascii="宋体" w:hAnsi="宋体" w:cs="宋体"/>
          <w:sz w:val="24"/>
        </w:rPr>
      </w:pPr>
      <w:r>
        <w:rPr>
          <w:rFonts w:hint="eastAsia" w:ascii="宋体" w:hAnsi="宋体" w:cs="宋体"/>
          <w:sz w:val="24"/>
        </w:rPr>
        <w:t>3.1.3 投标报价有算术错误及其他错误的，评标委员会按以下原则要求投标人对投标报价进行修正，并要求投标人书面澄清确认。投标人拒不澄清确认的，评标委员会应当否决其投标：</w:t>
      </w:r>
    </w:p>
    <w:p w14:paraId="4AEE6983">
      <w:pPr>
        <w:spacing w:line="360" w:lineRule="auto"/>
        <w:ind w:firstLine="480" w:firstLineChars="200"/>
        <w:rPr>
          <w:rFonts w:ascii="宋体" w:hAnsi="宋体" w:cs="宋体"/>
          <w:sz w:val="24"/>
        </w:rPr>
      </w:pPr>
      <w:r>
        <w:rPr>
          <w:rFonts w:hint="eastAsia" w:ascii="宋体" w:hAnsi="宋体" w:cs="宋体"/>
          <w:sz w:val="24"/>
        </w:rPr>
        <w:t>（1）投标文件中的大写金额与小写金额不一致的，以大写金额为准；</w:t>
      </w:r>
    </w:p>
    <w:p w14:paraId="7144434C">
      <w:pPr>
        <w:spacing w:line="360" w:lineRule="auto"/>
        <w:ind w:firstLine="480" w:firstLineChars="200"/>
        <w:rPr>
          <w:rFonts w:ascii="宋体" w:hAnsi="宋体" w:cs="宋体"/>
          <w:sz w:val="24"/>
        </w:rPr>
      </w:pPr>
      <w:r>
        <w:rPr>
          <w:rFonts w:hint="eastAsia" w:ascii="宋体" w:hAnsi="宋体" w:cs="宋体"/>
          <w:sz w:val="24"/>
        </w:rPr>
        <w:t>（2）总价金额与单价金额不一致的，以单价金额为准，但单价金额小数点有明显错误的除外；</w:t>
      </w:r>
    </w:p>
    <w:p w14:paraId="22ECD2FD">
      <w:pPr>
        <w:spacing w:line="360" w:lineRule="auto"/>
        <w:ind w:firstLine="480" w:firstLineChars="200"/>
        <w:rPr>
          <w:rFonts w:ascii="宋体" w:hAnsi="宋体" w:cs="宋体"/>
          <w:sz w:val="24"/>
        </w:rPr>
      </w:pPr>
      <w:r>
        <w:rPr>
          <w:rFonts w:hint="eastAsia" w:ascii="宋体" w:hAnsi="宋体" w:cs="宋体"/>
          <w:sz w:val="24"/>
        </w:rPr>
        <w:t>（3）投标报价为各分项报价金额之和，投标报价与分项报价的合价不一致的，应以各分项 合价累计数为准，修正投标报价；</w:t>
      </w:r>
    </w:p>
    <w:p w14:paraId="4F441F81">
      <w:pPr>
        <w:spacing w:line="360" w:lineRule="auto"/>
        <w:ind w:firstLine="480" w:firstLineChars="200"/>
        <w:rPr>
          <w:rFonts w:ascii="宋体" w:hAnsi="宋体" w:cs="宋体"/>
          <w:sz w:val="24"/>
        </w:rPr>
      </w:pPr>
      <w:r>
        <w:rPr>
          <w:rFonts w:hint="eastAsia" w:ascii="宋体" w:hAnsi="宋体" w:cs="宋体"/>
          <w:sz w:val="24"/>
        </w:rPr>
        <w:t>（4）如果分项报价中存在缺漏项，则视为缺漏项价格已包含在其他分项报价之中。</w:t>
      </w:r>
    </w:p>
    <w:p w14:paraId="7175233A">
      <w:pPr>
        <w:spacing w:line="360" w:lineRule="auto"/>
        <w:ind w:firstLine="480" w:firstLineChars="200"/>
        <w:rPr>
          <w:rFonts w:ascii="宋体" w:hAnsi="宋体" w:cs="宋体"/>
          <w:sz w:val="24"/>
        </w:rPr>
      </w:pPr>
      <w:bookmarkStart w:id="108" w:name="_bookmark89"/>
      <w:bookmarkEnd w:id="108"/>
      <w:bookmarkStart w:id="109" w:name="_Toc511399910"/>
      <w:bookmarkStart w:id="110" w:name="_Toc527125567"/>
      <w:bookmarkStart w:id="111" w:name="_Toc511745561"/>
      <w:bookmarkStart w:id="112" w:name="_Toc504386674"/>
      <w:bookmarkStart w:id="113" w:name="_Toc511632520"/>
      <w:bookmarkStart w:id="114" w:name="_Toc511634366"/>
      <w:bookmarkStart w:id="115" w:name="_Toc503345382"/>
      <w:bookmarkStart w:id="116" w:name="_Toc528068098"/>
      <w:bookmarkStart w:id="117" w:name="_Toc4599595"/>
      <w:r>
        <w:rPr>
          <w:rFonts w:hint="eastAsia" w:ascii="宋体" w:hAnsi="宋体" w:cs="宋体"/>
          <w:sz w:val="24"/>
        </w:rPr>
        <w:t>3.2详细评审</w:t>
      </w:r>
      <w:bookmarkEnd w:id="109"/>
      <w:bookmarkEnd w:id="110"/>
      <w:bookmarkEnd w:id="111"/>
      <w:bookmarkEnd w:id="112"/>
      <w:bookmarkEnd w:id="113"/>
      <w:bookmarkEnd w:id="114"/>
      <w:bookmarkEnd w:id="115"/>
      <w:bookmarkEnd w:id="116"/>
      <w:bookmarkEnd w:id="117"/>
    </w:p>
    <w:p w14:paraId="1408DC57">
      <w:pPr>
        <w:spacing w:line="360" w:lineRule="auto"/>
        <w:ind w:firstLine="480" w:firstLineChars="200"/>
        <w:rPr>
          <w:rFonts w:ascii="宋体" w:hAnsi="宋体" w:cs="宋体"/>
          <w:sz w:val="24"/>
        </w:rPr>
      </w:pPr>
      <w:r>
        <w:rPr>
          <w:rFonts w:hint="eastAsia" w:ascii="宋体" w:hAnsi="宋体" w:cs="宋体"/>
          <w:sz w:val="24"/>
        </w:rPr>
        <w:t>3.2.1 评标委员会按本章规定的量化因素和分值进行打分，并计算出综合评估得分。</w:t>
      </w:r>
    </w:p>
    <w:p w14:paraId="33419B5B">
      <w:pPr>
        <w:spacing w:line="360" w:lineRule="auto"/>
        <w:ind w:firstLine="480" w:firstLineChars="200"/>
        <w:rPr>
          <w:rFonts w:ascii="宋体" w:hAnsi="宋体" w:cs="宋体"/>
          <w:sz w:val="24"/>
        </w:rPr>
      </w:pPr>
      <w:r>
        <w:rPr>
          <w:rFonts w:hint="eastAsia" w:ascii="宋体" w:hAnsi="宋体" w:cs="宋体"/>
          <w:sz w:val="24"/>
        </w:rPr>
        <w:t>（1）按本章规定的评审因素和分值对技术部分计算出得分A；</w:t>
      </w:r>
    </w:p>
    <w:p w14:paraId="7B93E4BE">
      <w:pPr>
        <w:spacing w:line="360" w:lineRule="auto"/>
        <w:ind w:firstLine="480" w:firstLineChars="200"/>
        <w:rPr>
          <w:rFonts w:ascii="宋体" w:hAnsi="宋体" w:cs="宋体"/>
          <w:sz w:val="24"/>
        </w:rPr>
      </w:pPr>
      <w:r>
        <w:rPr>
          <w:rFonts w:hint="eastAsia" w:ascii="宋体" w:hAnsi="宋体" w:cs="宋体"/>
          <w:sz w:val="24"/>
        </w:rPr>
        <w:t>（2）按本章规定的评审因素和分值对商务部分计算出得分B；</w:t>
      </w:r>
    </w:p>
    <w:p w14:paraId="484CE5E0">
      <w:pPr>
        <w:spacing w:line="360" w:lineRule="auto"/>
        <w:ind w:firstLine="480" w:firstLineChars="200"/>
        <w:rPr>
          <w:rFonts w:ascii="宋体" w:hAnsi="宋体" w:cs="宋体"/>
          <w:sz w:val="24"/>
        </w:rPr>
      </w:pPr>
      <w:r>
        <w:rPr>
          <w:rFonts w:hint="eastAsia" w:ascii="宋体" w:hAnsi="宋体" w:cs="宋体"/>
          <w:sz w:val="24"/>
        </w:rPr>
        <w:t>（3）按本章规定的评审因素和分值对投标报价计算出得分C；</w:t>
      </w:r>
    </w:p>
    <w:p w14:paraId="1A63622F">
      <w:pPr>
        <w:spacing w:line="360" w:lineRule="auto"/>
        <w:ind w:firstLine="480" w:firstLineChars="200"/>
        <w:rPr>
          <w:rFonts w:ascii="宋体" w:hAnsi="宋体" w:cs="宋体"/>
          <w:sz w:val="24"/>
        </w:rPr>
      </w:pPr>
      <w:r>
        <w:rPr>
          <w:rFonts w:hint="eastAsia" w:ascii="宋体" w:hAnsi="宋体" w:cs="宋体"/>
          <w:sz w:val="24"/>
        </w:rPr>
        <w:t>3.2.2 评分分值计算保留小数点后两位，小数点后第三位“四舍五入”。</w:t>
      </w:r>
    </w:p>
    <w:p w14:paraId="655CE6C7">
      <w:pPr>
        <w:spacing w:line="360" w:lineRule="auto"/>
        <w:ind w:firstLine="480" w:firstLineChars="200"/>
        <w:rPr>
          <w:rFonts w:ascii="宋体" w:hAnsi="宋体" w:cs="宋体"/>
          <w:sz w:val="24"/>
        </w:rPr>
      </w:pPr>
      <w:r>
        <w:rPr>
          <w:rFonts w:hint="eastAsia" w:ascii="宋体" w:hAnsi="宋体" w:cs="宋体"/>
          <w:sz w:val="24"/>
        </w:rPr>
        <w:t>3.2.3 投标人得分=A+B+C。</w:t>
      </w:r>
    </w:p>
    <w:p w14:paraId="1C4A9210">
      <w:pPr>
        <w:spacing w:line="360" w:lineRule="auto"/>
        <w:ind w:firstLine="480" w:firstLineChars="200"/>
        <w:rPr>
          <w:rFonts w:ascii="宋体" w:hAnsi="宋体" w:cs="宋体"/>
          <w:sz w:val="24"/>
        </w:rPr>
      </w:pPr>
      <w:r>
        <w:rPr>
          <w:rFonts w:hint="eastAsia" w:ascii="宋体" w:hAnsi="宋体" w:cs="宋体"/>
          <w:sz w:val="24"/>
        </w:rPr>
        <w:t>3.2.4评标委员会认为投标人的报价明显低于其他通过符合性审查投标人的报价，有可能影响产品质量或者不能诚信履约的，应当要求该投标人在评标现场合理的时间内作出书面说明并提供相应的证明材料。投标人不能合理说明或者不能提供相应证明材料的，评标委员会应当认定该投标人以低于成本报价竞标，并否决其投标。</w:t>
      </w:r>
    </w:p>
    <w:p w14:paraId="783C71CC">
      <w:pPr>
        <w:spacing w:line="360" w:lineRule="auto"/>
        <w:ind w:firstLine="480" w:firstLineChars="200"/>
        <w:rPr>
          <w:rFonts w:ascii="宋体" w:hAnsi="宋体" w:cs="宋体"/>
          <w:sz w:val="24"/>
        </w:rPr>
      </w:pPr>
      <w:bookmarkStart w:id="118" w:name="_bookmark90"/>
      <w:bookmarkEnd w:id="118"/>
      <w:bookmarkStart w:id="119" w:name="_Toc527125568"/>
      <w:bookmarkStart w:id="120" w:name="_Toc511745562"/>
      <w:bookmarkStart w:id="121" w:name="_Toc504386675"/>
      <w:bookmarkStart w:id="122" w:name="_Toc511634367"/>
      <w:bookmarkStart w:id="123" w:name="_Toc528068099"/>
      <w:bookmarkStart w:id="124" w:name="_Toc503345383"/>
      <w:bookmarkStart w:id="125" w:name="_Toc4599596"/>
      <w:bookmarkStart w:id="126" w:name="_Toc511632521"/>
      <w:bookmarkStart w:id="127" w:name="_Toc511399911"/>
      <w:r>
        <w:rPr>
          <w:rFonts w:hint="eastAsia" w:ascii="宋体" w:hAnsi="宋体" w:cs="宋体"/>
          <w:sz w:val="24"/>
        </w:rPr>
        <w:t>3.3投标文件的澄清</w:t>
      </w:r>
      <w:bookmarkEnd w:id="119"/>
      <w:bookmarkEnd w:id="120"/>
      <w:bookmarkEnd w:id="121"/>
      <w:bookmarkEnd w:id="122"/>
      <w:bookmarkEnd w:id="123"/>
      <w:bookmarkEnd w:id="124"/>
      <w:bookmarkEnd w:id="125"/>
      <w:bookmarkEnd w:id="126"/>
      <w:bookmarkEnd w:id="127"/>
    </w:p>
    <w:p w14:paraId="20958F9E">
      <w:pPr>
        <w:spacing w:line="360" w:lineRule="auto"/>
        <w:ind w:firstLine="480" w:firstLineChars="200"/>
        <w:rPr>
          <w:rFonts w:ascii="宋体" w:hAnsi="宋体" w:cs="宋体"/>
          <w:sz w:val="24"/>
        </w:rPr>
      </w:pPr>
      <w:r>
        <w:rPr>
          <w:rFonts w:hint="eastAsia" w:ascii="宋体" w:hAnsi="宋体" w:cs="宋体"/>
          <w:sz w:val="24"/>
        </w:rPr>
        <w:t>3.3.1 在评标过程中，评标委员会可以书面形式要求投标人对投标文件中含义不明确、对同类问题表述不一致或者有明显文字和计算错误的内容作必要的澄清、说明或补正。澄清、说明或补正应以书面方式进行。评标委员会不接受投标人主动提出的澄清、说明或补正。</w:t>
      </w:r>
    </w:p>
    <w:p w14:paraId="28458C31">
      <w:pPr>
        <w:spacing w:line="360" w:lineRule="auto"/>
        <w:ind w:firstLine="480" w:firstLineChars="200"/>
        <w:rPr>
          <w:rFonts w:ascii="宋体" w:hAnsi="宋体" w:cs="宋体"/>
          <w:sz w:val="24"/>
        </w:rPr>
      </w:pPr>
      <w:r>
        <w:rPr>
          <w:rFonts w:hint="eastAsia" w:ascii="宋体" w:hAnsi="宋体" w:cs="宋体"/>
          <w:sz w:val="24"/>
        </w:rPr>
        <w:t>3.3.2 澄清、说明或补正不得超出投标文件的范围且不得改变投标文件的实质性内容，并构成投标文件的组成部分。</w:t>
      </w:r>
    </w:p>
    <w:p w14:paraId="69DE1A21">
      <w:pPr>
        <w:spacing w:line="360" w:lineRule="auto"/>
        <w:ind w:firstLine="480" w:firstLineChars="200"/>
        <w:rPr>
          <w:rFonts w:ascii="宋体" w:hAnsi="宋体" w:cs="宋体"/>
          <w:sz w:val="24"/>
        </w:rPr>
      </w:pPr>
      <w:r>
        <w:rPr>
          <w:rFonts w:hint="eastAsia" w:ascii="宋体" w:hAnsi="宋体" w:cs="宋体"/>
          <w:sz w:val="24"/>
        </w:rPr>
        <w:t>3.3.3 评标委员会对投标人提交的澄清、说明或补正有疑问的，可以要求投标人进一步澄清、说明或补正，直至满足评标委员会的要求。</w:t>
      </w:r>
    </w:p>
    <w:p w14:paraId="2C773CC0">
      <w:pPr>
        <w:spacing w:line="360" w:lineRule="auto"/>
        <w:ind w:firstLine="480" w:firstLineChars="200"/>
        <w:rPr>
          <w:rFonts w:ascii="宋体" w:hAnsi="宋体" w:cs="宋体"/>
          <w:sz w:val="24"/>
        </w:rPr>
      </w:pPr>
      <w:bookmarkStart w:id="128" w:name="_bookmark91"/>
      <w:bookmarkEnd w:id="128"/>
      <w:bookmarkStart w:id="129" w:name="_Toc503345384"/>
      <w:bookmarkStart w:id="130" w:name="_Toc511632522"/>
      <w:bookmarkStart w:id="131" w:name="_Toc511634368"/>
      <w:bookmarkStart w:id="132" w:name="_Toc4599597"/>
      <w:bookmarkStart w:id="133" w:name="_Toc528068100"/>
      <w:bookmarkStart w:id="134" w:name="_Toc504386676"/>
      <w:bookmarkStart w:id="135" w:name="_Toc527125569"/>
      <w:bookmarkStart w:id="136" w:name="_Toc511745563"/>
      <w:bookmarkStart w:id="137" w:name="_Toc511399912"/>
      <w:r>
        <w:rPr>
          <w:rFonts w:hint="eastAsia" w:ascii="宋体" w:hAnsi="宋体" w:cs="宋体"/>
          <w:sz w:val="24"/>
        </w:rPr>
        <w:t>3.4  评标结果</w:t>
      </w:r>
      <w:bookmarkEnd w:id="129"/>
      <w:bookmarkEnd w:id="130"/>
      <w:bookmarkEnd w:id="131"/>
      <w:bookmarkEnd w:id="132"/>
      <w:bookmarkEnd w:id="133"/>
      <w:bookmarkEnd w:id="134"/>
      <w:bookmarkEnd w:id="135"/>
      <w:bookmarkEnd w:id="136"/>
      <w:bookmarkEnd w:id="137"/>
    </w:p>
    <w:p w14:paraId="40DABE7A">
      <w:pPr>
        <w:spacing w:line="360" w:lineRule="auto"/>
        <w:ind w:firstLine="480" w:firstLineChars="200"/>
        <w:rPr>
          <w:rFonts w:ascii="宋体" w:hAnsi="宋体" w:cs="宋体"/>
          <w:sz w:val="24"/>
        </w:rPr>
      </w:pPr>
      <w:r>
        <w:rPr>
          <w:rFonts w:hint="eastAsia" w:ascii="宋体" w:hAnsi="宋体" w:cs="宋体"/>
          <w:sz w:val="24"/>
        </w:rPr>
        <w:t>3.4.1 除第二章“投标须知”前附表授权直接确定中标人外，评标委员会按照得分由高到低的顺序推荐中标候选人，并标明排序。</w:t>
      </w:r>
    </w:p>
    <w:p w14:paraId="23EF32C9">
      <w:pPr>
        <w:spacing w:line="360" w:lineRule="auto"/>
        <w:ind w:firstLine="480" w:firstLineChars="200"/>
        <w:rPr>
          <w:rFonts w:hint="eastAsia" w:ascii="宋体" w:hAnsi="宋体" w:cs="宋体"/>
          <w:sz w:val="24"/>
        </w:rPr>
      </w:pPr>
      <w:r>
        <w:rPr>
          <w:rFonts w:hint="eastAsia" w:ascii="宋体" w:hAnsi="宋体" w:cs="宋体"/>
          <w:sz w:val="24"/>
        </w:rPr>
        <w:t>3.4.2 评标委员会完成评标后，应当向招标人提交书面评标报告和中标候选人名单。</w:t>
      </w:r>
    </w:p>
    <w:p w14:paraId="78693CE6">
      <w:pPr>
        <w:rPr>
          <w:rFonts w:hint="eastAsia" w:ascii="宋体" w:hAnsi="宋体" w:cs="宋体"/>
          <w:sz w:val="24"/>
        </w:rPr>
      </w:pPr>
      <w:r>
        <w:rPr>
          <w:rFonts w:hint="eastAsia" w:ascii="宋体" w:hAnsi="宋体" w:cs="宋体"/>
          <w:sz w:val="24"/>
        </w:rPr>
        <w:br w:type="page"/>
      </w:r>
    </w:p>
    <w:p w14:paraId="51314ACB">
      <w:pPr>
        <w:pStyle w:val="2"/>
        <w:bidi w:val="0"/>
        <w:jc w:val="center"/>
        <w:rPr>
          <w:rFonts w:ascii="宋体" w:hAnsi="宋体"/>
          <w:bCs/>
          <w:kern w:val="36"/>
          <w:szCs w:val="36"/>
        </w:rPr>
      </w:pPr>
      <w:bookmarkStart w:id="138" w:name="_Toc4599602"/>
      <w:bookmarkStart w:id="139" w:name="_Toc5301"/>
      <w:bookmarkStart w:id="140" w:name="_Toc17638"/>
      <w:r>
        <w:rPr>
          <w:rFonts w:hint="eastAsia"/>
        </w:rPr>
        <w:t>第六章  投标文件格</w:t>
      </w:r>
      <w:bookmarkEnd w:id="138"/>
      <w:r>
        <w:rPr>
          <w:rFonts w:hint="eastAsia"/>
        </w:rPr>
        <w:t>式</w:t>
      </w:r>
      <w:bookmarkEnd w:id="139"/>
      <w:bookmarkEnd w:id="140"/>
    </w:p>
    <w:p w14:paraId="05C0AC2C">
      <w:pPr>
        <w:spacing w:line="480" w:lineRule="exact"/>
        <w:jc w:val="center"/>
        <w:rPr>
          <w:rFonts w:eastAsia="黑体"/>
          <w:sz w:val="28"/>
        </w:rPr>
      </w:pPr>
    </w:p>
    <w:p w14:paraId="082A706B">
      <w:pPr>
        <w:pStyle w:val="3"/>
        <w:bidi w:val="0"/>
      </w:pPr>
      <w:bookmarkStart w:id="141" w:name="_Toc59528760"/>
      <w:bookmarkStart w:id="142" w:name="_Toc193101550"/>
      <w:bookmarkStart w:id="143" w:name="_Toc496690844"/>
      <w:bookmarkStart w:id="144" w:name="_Toc7357"/>
      <w:bookmarkStart w:id="145" w:name="_Toc16295"/>
      <w:r>
        <w:t>格式一</w:t>
      </w:r>
      <w:r>
        <w:rPr>
          <w:rFonts w:hint="eastAsia"/>
        </w:rPr>
        <w:t>、</w:t>
      </w:r>
      <w:r>
        <w:t>投标文件封皮</w:t>
      </w:r>
      <w:bookmarkEnd w:id="141"/>
      <w:bookmarkEnd w:id="142"/>
      <w:bookmarkEnd w:id="143"/>
      <w:bookmarkEnd w:id="144"/>
      <w:bookmarkEnd w:id="145"/>
    </w:p>
    <w:p w14:paraId="72D249B0">
      <w:pPr>
        <w:spacing w:line="600" w:lineRule="exact"/>
        <w:jc w:val="center"/>
        <w:rPr>
          <w:rFonts w:eastAsia="华文行楷"/>
          <w:sz w:val="44"/>
        </w:rPr>
      </w:pPr>
    </w:p>
    <w:p w14:paraId="7F15479D">
      <w:pPr>
        <w:spacing w:line="600" w:lineRule="exact"/>
        <w:jc w:val="center"/>
        <w:rPr>
          <w:rFonts w:ascii="宋体" w:hAnsi="宋体"/>
          <w:b/>
          <w:sz w:val="44"/>
          <w:szCs w:val="44"/>
        </w:rPr>
      </w:pPr>
      <w:r>
        <w:rPr>
          <w:rFonts w:hint="eastAsia" w:ascii="宋体" w:hAnsi="宋体"/>
          <w:b/>
          <w:bCs/>
          <w:sz w:val="44"/>
          <w:szCs w:val="44"/>
        </w:rPr>
        <w:t>（项目名称）</w:t>
      </w:r>
    </w:p>
    <w:p w14:paraId="35504F2D">
      <w:pPr>
        <w:spacing w:line="360" w:lineRule="auto"/>
        <w:jc w:val="center"/>
        <w:rPr>
          <w:rFonts w:eastAsia="华文行楷"/>
          <w:b/>
          <w:sz w:val="32"/>
        </w:rPr>
      </w:pPr>
    </w:p>
    <w:p w14:paraId="69655817">
      <w:pPr>
        <w:spacing w:line="360" w:lineRule="auto"/>
        <w:jc w:val="center"/>
        <w:rPr>
          <w:rFonts w:eastAsia="华文行楷"/>
          <w:b/>
          <w:sz w:val="32"/>
        </w:rPr>
      </w:pPr>
    </w:p>
    <w:p w14:paraId="6D240060">
      <w:pPr>
        <w:spacing w:before="312" w:beforeLines="100" w:after="312" w:afterLines="100" w:line="360" w:lineRule="auto"/>
        <w:jc w:val="center"/>
        <w:rPr>
          <w:rFonts w:asciiTheme="majorEastAsia" w:hAnsiTheme="majorEastAsia" w:eastAsiaTheme="majorEastAsia"/>
          <w:b/>
          <w:sz w:val="44"/>
          <w:szCs w:val="44"/>
        </w:rPr>
      </w:pPr>
      <w:r>
        <w:rPr>
          <w:rFonts w:hint="eastAsia" w:asciiTheme="majorEastAsia" w:hAnsiTheme="majorEastAsia" w:eastAsiaTheme="majorEastAsia"/>
          <w:b/>
          <w:sz w:val="44"/>
          <w:szCs w:val="44"/>
        </w:rPr>
        <w:t>（正本/副本）</w:t>
      </w:r>
    </w:p>
    <w:p w14:paraId="00D30CF0">
      <w:pPr>
        <w:spacing w:line="360" w:lineRule="auto"/>
        <w:jc w:val="center"/>
        <w:rPr>
          <w:rFonts w:asciiTheme="majorEastAsia" w:hAnsiTheme="majorEastAsia" w:eastAsiaTheme="majorEastAsia"/>
          <w:b/>
          <w:sz w:val="72"/>
          <w:szCs w:val="72"/>
        </w:rPr>
      </w:pPr>
      <w:r>
        <w:rPr>
          <w:rFonts w:hint="eastAsia" w:asciiTheme="majorEastAsia" w:hAnsiTheme="majorEastAsia" w:eastAsiaTheme="majorEastAsia"/>
          <w:b/>
          <w:sz w:val="72"/>
          <w:szCs w:val="72"/>
        </w:rPr>
        <w:t>投标</w:t>
      </w:r>
      <w:bookmarkStart w:id="146" w:name="OLE_LINK114"/>
      <w:bookmarkStart w:id="147" w:name="OLE_LINK113"/>
      <w:r>
        <w:rPr>
          <w:rFonts w:hint="eastAsia" w:asciiTheme="majorEastAsia" w:hAnsiTheme="majorEastAsia" w:eastAsiaTheme="majorEastAsia"/>
          <w:b/>
          <w:sz w:val="72"/>
          <w:szCs w:val="72"/>
        </w:rPr>
        <w:t>文件</w:t>
      </w:r>
    </w:p>
    <w:p w14:paraId="1EB3F78F">
      <w:pPr>
        <w:spacing w:line="360" w:lineRule="auto"/>
        <w:rPr>
          <w:rFonts w:eastAsia="黑体"/>
          <w:b/>
          <w:sz w:val="28"/>
        </w:rPr>
      </w:pPr>
    </w:p>
    <w:p w14:paraId="798C8591">
      <w:pPr>
        <w:spacing w:line="360" w:lineRule="auto"/>
        <w:jc w:val="center"/>
        <w:rPr>
          <w:rFonts w:ascii="宋体" w:hAnsi="宋体"/>
          <w:b/>
          <w:sz w:val="32"/>
          <w:szCs w:val="32"/>
          <w:u w:val="single"/>
        </w:rPr>
      </w:pPr>
      <w:r>
        <w:rPr>
          <w:rFonts w:hint="eastAsia" w:ascii="宋体" w:hAnsi="宋体"/>
          <w:b/>
          <w:sz w:val="32"/>
          <w:szCs w:val="32"/>
        </w:rPr>
        <w:t>（项目编号）</w:t>
      </w:r>
    </w:p>
    <w:p w14:paraId="3031AA3C">
      <w:pPr>
        <w:spacing w:line="360" w:lineRule="auto"/>
        <w:rPr>
          <w:rFonts w:eastAsia="黑体"/>
          <w:sz w:val="32"/>
          <w:szCs w:val="32"/>
        </w:rPr>
      </w:pPr>
    </w:p>
    <w:p w14:paraId="15C210EF">
      <w:pPr>
        <w:spacing w:line="360" w:lineRule="auto"/>
        <w:rPr>
          <w:rFonts w:eastAsia="黑体"/>
          <w:sz w:val="32"/>
          <w:szCs w:val="32"/>
        </w:rPr>
      </w:pPr>
    </w:p>
    <w:p w14:paraId="575F74AC">
      <w:pPr>
        <w:spacing w:line="360" w:lineRule="auto"/>
        <w:rPr>
          <w:rFonts w:eastAsia="黑体"/>
          <w:sz w:val="32"/>
          <w:szCs w:val="32"/>
        </w:rPr>
      </w:pPr>
    </w:p>
    <w:p w14:paraId="10DDDE79">
      <w:pPr>
        <w:spacing w:line="660" w:lineRule="exact"/>
        <w:ind w:firstLine="1820" w:firstLineChars="650"/>
        <w:rPr>
          <w:rFonts w:eastAsia="黑体"/>
          <w:sz w:val="28"/>
          <w:szCs w:val="28"/>
          <w:u w:val="single"/>
        </w:rPr>
      </w:pPr>
      <w:r>
        <w:rPr>
          <w:rFonts w:eastAsia="黑体"/>
          <w:sz w:val="28"/>
          <w:szCs w:val="28"/>
        </w:rPr>
        <w:t>投标</w:t>
      </w:r>
      <w:r>
        <w:rPr>
          <w:rFonts w:hint="eastAsia" w:eastAsia="黑体"/>
          <w:sz w:val="28"/>
          <w:szCs w:val="28"/>
        </w:rPr>
        <w:t>人</w:t>
      </w:r>
      <w:r>
        <w:rPr>
          <w:rFonts w:eastAsia="黑体"/>
          <w:sz w:val="28"/>
          <w:szCs w:val="28"/>
        </w:rPr>
        <w:t>：</w:t>
      </w:r>
      <w:r>
        <w:rPr>
          <w:rFonts w:eastAsia="黑体"/>
          <w:sz w:val="28"/>
          <w:szCs w:val="28"/>
          <w:u w:val="single"/>
        </w:rPr>
        <w:t xml:space="preserve">                        </w:t>
      </w:r>
      <w:r>
        <w:rPr>
          <w:rFonts w:hint="eastAsia" w:eastAsia="黑体"/>
          <w:sz w:val="28"/>
          <w:szCs w:val="28"/>
          <w:u w:val="single"/>
        </w:rPr>
        <w:t xml:space="preserve"> </w:t>
      </w:r>
      <w:r>
        <w:rPr>
          <w:rFonts w:eastAsia="黑体"/>
          <w:sz w:val="28"/>
          <w:szCs w:val="28"/>
          <w:u w:val="single"/>
        </w:rPr>
        <w:t xml:space="preserve">  </w:t>
      </w:r>
      <w:r>
        <w:rPr>
          <w:rFonts w:hint="eastAsia" w:eastAsia="黑体"/>
          <w:sz w:val="28"/>
          <w:szCs w:val="28"/>
        </w:rPr>
        <w:t>（盖单位公章）</w:t>
      </w:r>
    </w:p>
    <w:p w14:paraId="0988F0A3">
      <w:pPr>
        <w:spacing w:line="660" w:lineRule="exact"/>
        <w:ind w:firstLine="1820" w:firstLineChars="650"/>
        <w:rPr>
          <w:rFonts w:eastAsia="黑体"/>
          <w:sz w:val="28"/>
          <w:szCs w:val="28"/>
        </w:rPr>
      </w:pPr>
      <w:r>
        <w:rPr>
          <w:rFonts w:eastAsia="黑体"/>
          <w:sz w:val="28"/>
          <w:szCs w:val="28"/>
        </w:rPr>
        <w:t>法定代表人</w:t>
      </w:r>
      <w:r>
        <w:rPr>
          <w:rFonts w:hint="eastAsia" w:eastAsia="黑体"/>
          <w:sz w:val="28"/>
          <w:szCs w:val="28"/>
        </w:rPr>
        <w:t>或</w:t>
      </w:r>
      <w:r>
        <w:rPr>
          <w:rFonts w:eastAsia="黑体"/>
          <w:sz w:val="28"/>
          <w:szCs w:val="28"/>
        </w:rPr>
        <w:t>代理人：</w:t>
      </w:r>
      <w:r>
        <w:rPr>
          <w:rFonts w:eastAsia="黑体"/>
          <w:sz w:val="28"/>
          <w:szCs w:val="28"/>
          <w:u w:val="single"/>
        </w:rPr>
        <w:t xml:space="preserve">            </w:t>
      </w:r>
      <w:r>
        <w:rPr>
          <w:rFonts w:hint="eastAsia" w:eastAsia="黑体"/>
          <w:sz w:val="28"/>
          <w:szCs w:val="28"/>
        </w:rPr>
        <w:t>（签字或盖章）</w:t>
      </w:r>
    </w:p>
    <w:p w14:paraId="1227CEC0">
      <w:pPr>
        <w:spacing w:line="660" w:lineRule="exact"/>
        <w:ind w:firstLine="1820" w:firstLineChars="650"/>
        <w:rPr>
          <w:rFonts w:eastAsia="黑体"/>
          <w:sz w:val="28"/>
          <w:szCs w:val="28"/>
        </w:rPr>
      </w:pPr>
      <w:r>
        <w:rPr>
          <w:rFonts w:eastAsia="黑体"/>
          <w:sz w:val="28"/>
          <w:szCs w:val="28"/>
        </w:rPr>
        <w:t>日    期：</w:t>
      </w:r>
      <w:r>
        <w:rPr>
          <w:rFonts w:eastAsia="黑体"/>
          <w:sz w:val="28"/>
          <w:szCs w:val="28"/>
          <w:u w:val="single"/>
        </w:rPr>
        <w:t xml:space="preserve">        </w:t>
      </w:r>
      <w:r>
        <w:rPr>
          <w:rFonts w:hAnsi="宋体" w:eastAsia="黑体"/>
          <w:sz w:val="28"/>
          <w:szCs w:val="28"/>
        </w:rPr>
        <w:t>年</w:t>
      </w:r>
      <w:r>
        <w:rPr>
          <w:rFonts w:eastAsia="黑体"/>
          <w:sz w:val="28"/>
          <w:szCs w:val="28"/>
          <w:u w:val="single"/>
        </w:rPr>
        <w:t xml:space="preserve">   </w:t>
      </w:r>
      <w:r>
        <w:rPr>
          <w:rFonts w:hAnsi="宋体" w:eastAsia="黑体"/>
          <w:sz w:val="28"/>
          <w:szCs w:val="28"/>
        </w:rPr>
        <w:t>月</w:t>
      </w:r>
      <w:r>
        <w:rPr>
          <w:rFonts w:eastAsia="黑体"/>
          <w:sz w:val="28"/>
          <w:szCs w:val="28"/>
        </w:rPr>
        <w:t xml:space="preserve"> </w:t>
      </w:r>
      <w:r>
        <w:rPr>
          <w:rFonts w:eastAsia="黑体"/>
          <w:sz w:val="28"/>
          <w:szCs w:val="28"/>
          <w:u w:val="single"/>
        </w:rPr>
        <w:t xml:space="preserve">   </w:t>
      </w:r>
      <w:r>
        <w:rPr>
          <w:rFonts w:hAnsi="宋体" w:eastAsia="黑体"/>
          <w:sz w:val="28"/>
          <w:szCs w:val="28"/>
        </w:rPr>
        <w:t>日</w:t>
      </w:r>
    </w:p>
    <w:p w14:paraId="02C137A8">
      <w:pPr>
        <w:spacing w:line="360" w:lineRule="auto"/>
        <w:rPr>
          <w:rFonts w:ascii="宋体" w:hAnsi="宋体" w:cs="仿宋_GB2312"/>
          <w:kern w:val="0"/>
          <w:sz w:val="24"/>
          <w:highlight w:val="yellow"/>
        </w:rPr>
      </w:pPr>
    </w:p>
    <w:p w14:paraId="45FF0C35">
      <w:pPr>
        <w:widowControl/>
        <w:jc w:val="left"/>
        <w:rPr>
          <w:rFonts w:ascii="宋体" w:hAnsi="宋体"/>
          <w:color w:val="000000"/>
          <w:kern w:val="0"/>
          <w:sz w:val="24"/>
        </w:rPr>
      </w:pPr>
      <w:r>
        <w:br w:type="page"/>
      </w:r>
    </w:p>
    <w:p w14:paraId="0B64E4A9">
      <w:pPr>
        <w:ind w:left="182" w:leftChars="-95" w:hanging="381" w:hangingChars="95"/>
        <w:jc w:val="center"/>
        <w:rPr>
          <w:b/>
          <w:bCs/>
          <w:sz w:val="40"/>
          <w:szCs w:val="48"/>
        </w:rPr>
      </w:pPr>
      <w:r>
        <w:rPr>
          <w:rFonts w:hint="eastAsia"/>
          <w:b/>
          <w:bCs/>
          <w:sz w:val="40"/>
          <w:szCs w:val="48"/>
        </w:rPr>
        <w:t>目录</w:t>
      </w:r>
    </w:p>
    <w:p w14:paraId="5FD18A28">
      <w:pPr>
        <w:ind w:left="182" w:leftChars="-95" w:hanging="381" w:hangingChars="95"/>
        <w:jc w:val="center"/>
        <w:rPr>
          <w:b/>
          <w:bCs/>
          <w:sz w:val="40"/>
          <w:szCs w:val="48"/>
        </w:rPr>
      </w:pPr>
      <w:r>
        <w:rPr>
          <w:rFonts w:hint="eastAsia"/>
          <w:b/>
          <w:bCs/>
          <w:sz w:val="40"/>
          <w:szCs w:val="48"/>
        </w:rPr>
        <w:t>（格式自拟）</w:t>
      </w:r>
    </w:p>
    <w:p w14:paraId="17EFCD04">
      <w:pPr>
        <w:pStyle w:val="3"/>
        <w:bidi w:val="0"/>
        <w:rPr>
          <w:color w:val="000000" w:themeColor="text1"/>
          <w14:textFill>
            <w14:solidFill>
              <w14:schemeClr w14:val="tx1"/>
            </w14:solidFill>
          </w14:textFill>
        </w:rPr>
      </w:pPr>
      <w:r>
        <w:rPr>
          <w:rFonts w:hint="eastAsia"/>
          <w:bCs/>
          <w:sz w:val="40"/>
          <w:szCs w:val="48"/>
        </w:rPr>
        <w:br w:type="page"/>
      </w:r>
      <w:bookmarkStart w:id="148" w:name="_Toc59528764"/>
      <w:bookmarkStart w:id="149" w:name="_Toc193101551"/>
      <w:bookmarkStart w:id="150" w:name="_Toc29694"/>
      <w:bookmarkStart w:id="151" w:name="_Toc496690848"/>
      <w:bookmarkStart w:id="152" w:name="_Toc18582"/>
      <w:bookmarkStart w:id="153" w:name="_Toc496690845"/>
      <w:bookmarkStart w:id="154" w:name="_Toc59528761"/>
      <w:r>
        <w:t>格式</w:t>
      </w:r>
      <w:r>
        <w:rPr>
          <w:rFonts w:hint="eastAsia"/>
        </w:rPr>
        <w:t>二</w:t>
      </w:r>
      <w:r>
        <w:t>、</w:t>
      </w:r>
      <w:bookmarkEnd w:id="146"/>
      <w:bookmarkEnd w:id="147"/>
      <w:bookmarkEnd w:id="148"/>
      <w:bookmarkEnd w:id="149"/>
      <w:bookmarkEnd w:id="150"/>
      <w:bookmarkEnd w:id="151"/>
      <w:bookmarkStart w:id="155" w:name="_Toc21298"/>
      <w:bookmarkStart w:id="156" w:name="_Toc193101552"/>
      <w:bookmarkStart w:id="157" w:name="_Toc25112"/>
      <w:r>
        <w:rPr>
          <w:rFonts w:hint="eastAsia"/>
        </w:rPr>
        <w:t>投标承诺书</w:t>
      </w:r>
      <w:bookmarkEnd w:id="152"/>
    </w:p>
    <w:p w14:paraId="01E5B74A">
      <w:pPr>
        <w:spacing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致：</w:t>
      </w:r>
      <w:r>
        <w:rPr>
          <w:rFonts w:hint="eastAsia" w:ascii="宋体" w:hAnsi="宋体"/>
          <w:color w:val="000000" w:themeColor="text1"/>
          <w:sz w:val="24"/>
          <w:u w:val="single"/>
          <w:lang w:val="en-US" w:eastAsia="zh-CN"/>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（招标人名称</w:t>
      </w:r>
      <w:r>
        <w:rPr>
          <w:rFonts w:hint="eastAsia" w:ascii="宋体" w:hAnsi="宋体"/>
          <w:color w:val="000000" w:themeColor="text1"/>
          <w:sz w:val="24"/>
          <w:highlight w:val="none"/>
          <w:lang w:val="en-US" w:eastAsia="zh-CN"/>
          <w14:textFill>
            <w14:solidFill>
              <w14:schemeClr w14:val="tx1"/>
            </w14:solidFill>
          </w14:textFill>
        </w:rPr>
        <w:t>或</w:t>
      </w:r>
      <w:r>
        <w:rPr>
          <w:rFonts w:hint="eastAsia" w:ascii="宋体" w:hAnsi="宋体"/>
          <w:color w:val="000000" w:themeColor="text1"/>
          <w:sz w:val="24"/>
          <w:highlight w:val="none"/>
          <w14:textFill>
            <w14:solidFill>
              <w14:schemeClr w14:val="tx1"/>
            </w14:solidFill>
          </w14:textFill>
        </w:rPr>
        <w:t>采</w:t>
      </w:r>
      <w:r>
        <w:rPr>
          <w:rFonts w:hint="eastAsia" w:ascii="宋体" w:hAnsi="宋体"/>
          <w:color w:val="000000" w:themeColor="text1"/>
          <w:sz w:val="24"/>
          <w14:textFill>
            <w14:solidFill>
              <w14:schemeClr w14:val="tx1"/>
            </w14:solidFill>
          </w14:textFill>
        </w:rPr>
        <w:t>购代理机构名称）</w:t>
      </w:r>
    </w:p>
    <w:p w14:paraId="6B66BA1D">
      <w:pPr>
        <w:spacing w:line="360" w:lineRule="auto"/>
        <w:ind w:firstLine="480" w:firstLineChars="200"/>
        <w:rPr>
          <w:rFonts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你方组织的</w:t>
      </w:r>
      <w:r>
        <w:rPr>
          <w:rFonts w:hint="eastAsia" w:ascii="宋体" w:hAnsi="宋体"/>
          <w:color w:val="000000" w:themeColor="text1"/>
          <w:sz w:val="24"/>
          <w:u w:val="single"/>
          <w:lang w:val="en-US" w:eastAsia="zh-CN"/>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（项目名称）的招标，</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项目编号），我方自愿参与投标，并就有关事项郑重承诺如下：</w:t>
      </w:r>
    </w:p>
    <w:p w14:paraId="465E803C">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一、我方完全理解并接受该项目招标文件的所有要求。</w:t>
      </w:r>
    </w:p>
    <w:p w14:paraId="0F25D87E">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二、我方严格遵守《中华人民共和国政府采购法》《中华人民共和国民法典》及相关法律、法规的规定，如有违反，承担相应的法律责任。</w:t>
      </w:r>
    </w:p>
    <w:p w14:paraId="5E4372B7">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三、我方的最终报价为开标一览表（报价表）中的投标总报价，在投标有效期和合同有效期内，该报价固定不变。</w:t>
      </w:r>
    </w:p>
    <w:p w14:paraId="00B87D18">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四、我方同意招标文件关于投标有效期的规定。</w:t>
      </w:r>
    </w:p>
    <w:p w14:paraId="75920670">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五、我方同意提供贵方要求的与投标有关的任何数据和资料。</w:t>
      </w:r>
    </w:p>
    <w:p w14:paraId="24C2F936">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六、我方将按照招标文件、投标文件等要求，签订并严格执行采购合同。</w:t>
      </w:r>
    </w:p>
    <w:p w14:paraId="6E82D036">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七、我方投标报价已包含应向知识产权所有权人支付的所有相关税费，并保证采购人在中国使用我方提供的货物时，如有第三方提出侵犯其知识产权主张的，责任由我方承担。</w:t>
      </w:r>
    </w:p>
    <w:p w14:paraId="6CD49424">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八我方提供的投标文件内容全部真实有效，如有虚假或隐瞒，我方愿意承担一切法律责任。</w:t>
      </w:r>
    </w:p>
    <w:p w14:paraId="4B4EBAD4">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十、若我方中标，愿意按有关规定及招标文件要求缴纳招标代理服务费。若采购人支付代理服务费，则此条不适用。</w:t>
      </w:r>
    </w:p>
    <w:p w14:paraId="65572206">
      <w:pPr>
        <w:spacing w:line="360" w:lineRule="auto"/>
        <w:ind w:firstLine="480" w:firstLineChars="200"/>
        <w:jc w:val="left"/>
        <w:rPr>
          <w:rFonts w:hint="default" w:ascii="宋体" w:hAnsi="宋体" w:eastAsia="宋体" w:cs="宋体"/>
          <w:color w:val="000000" w:themeColor="text1"/>
          <w:sz w:val="24"/>
          <w:lang w:val="en-US" w:eastAsia="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详细地址：</w:t>
      </w:r>
      <w:r>
        <w:rPr>
          <w:rFonts w:hint="eastAsia" w:ascii="宋体" w:hAnsi="宋体"/>
          <w:color w:val="000000" w:themeColor="text1"/>
          <w:sz w:val="24"/>
          <w:u w:val="single"/>
          <w:lang w:val="en-US" w:eastAsia="zh-CN"/>
          <w14:textFill>
            <w14:solidFill>
              <w14:schemeClr w14:val="tx1"/>
            </w14:solidFill>
          </w14:textFill>
        </w:rPr>
        <w:t xml:space="preserve">                              </w:t>
      </w:r>
    </w:p>
    <w:p w14:paraId="7AC12133">
      <w:pPr>
        <w:spacing w:line="360" w:lineRule="auto"/>
        <w:ind w:firstLine="480" w:firstLineChars="200"/>
        <w:jc w:val="left"/>
        <w:rPr>
          <w:rFonts w:hint="default" w:ascii="宋体" w:hAnsi="宋体" w:eastAsia="宋体"/>
          <w:color w:val="000000" w:themeColor="text1"/>
          <w:sz w:val="24"/>
          <w:u w:val="single"/>
          <w:lang w:val="en-US" w:eastAsia="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邮政编码：</w:t>
      </w:r>
      <w:r>
        <w:rPr>
          <w:rFonts w:hint="eastAsia" w:ascii="宋体" w:hAnsi="宋体"/>
          <w:color w:val="000000" w:themeColor="text1"/>
          <w:sz w:val="24"/>
          <w:u w:val="single"/>
          <w:lang w:val="en-US" w:eastAsia="zh-CN"/>
          <w14:textFill>
            <w14:solidFill>
              <w14:schemeClr w14:val="tx1"/>
            </w14:solidFill>
          </w14:textFill>
        </w:rPr>
        <w:t xml:space="preserve">                              </w:t>
      </w:r>
    </w:p>
    <w:p w14:paraId="112FA645">
      <w:pPr>
        <w:spacing w:line="360" w:lineRule="auto"/>
        <w:ind w:firstLine="480" w:firstLineChars="200"/>
        <w:jc w:val="left"/>
        <w:rPr>
          <w:rFonts w:hint="default" w:ascii="宋体" w:hAnsi="宋体" w:eastAsia="宋体" w:cs="宋体"/>
          <w:color w:val="000000" w:themeColor="text1"/>
          <w:sz w:val="24"/>
          <w:lang w:val="en-US" w:eastAsia="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电 话：</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u w:val="single"/>
          <w:lang w:val="en-US" w:eastAsia="zh-CN"/>
          <w14:textFill>
            <w14:solidFill>
              <w14:schemeClr w14:val="tx1"/>
            </w14:solidFill>
          </w14:textFill>
        </w:rPr>
        <w:t xml:space="preserve">                              </w:t>
      </w:r>
    </w:p>
    <w:p w14:paraId="478FAAB4">
      <w:pPr>
        <w:spacing w:line="360" w:lineRule="auto"/>
        <w:ind w:firstLine="480" w:firstLineChars="200"/>
        <w:jc w:val="left"/>
        <w:rPr>
          <w:rFonts w:hint="default" w:ascii="宋体" w:hAnsi="宋体" w:eastAsia="宋体" w:cs="宋体"/>
          <w:color w:val="000000" w:themeColor="text1"/>
          <w:sz w:val="24"/>
          <w:lang w:val="en-US" w:eastAsia="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电子邮箱：</w:t>
      </w:r>
      <w:r>
        <w:rPr>
          <w:rFonts w:hint="eastAsia" w:ascii="宋体" w:hAnsi="宋体"/>
          <w:color w:val="000000" w:themeColor="text1"/>
          <w:sz w:val="24"/>
          <w:u w:val="single"/>
          <w:lang w:val="en-US" w:eastAsia="zh-CN"/>
          <w14:textFill>
            <w14:solidFill>
              <w14:schemeClr w14:val="tx1"/>
            </w14:solidFill>
          </w14:textFill>
        </w:rPr>
        <w:t xml:space="preserve">                              </w:t>
      </w:r>
    </w:p>
    <w:p w14:paraId="01F3B73A">
      <w:pPr>
        <w:spacing w:line="360" w:lineRule="auto"/>
        <w:ind w:firstLine="480" w:firstLineChars="200"/>
        <w:rPr>
          <w:rFonts w:hint="default" w:ascii="宋体" w:hAnsi="宋体" w:eastAsia="宋体" w:cs="宋体"/>
          <w:color w:val="000000" w:themeColor="text1"/>
          <w:sz w:val="24"/>
          <w:lang w:val="en-US" w:eastAsia="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投标人开户银行：</w:t>
      </w:r>
      <w:r>
        <w:rPr>
          <w:rFonts w:hint="eastAsia" w:ascii="宋体" w:hAnsi="宋体"/>
          <w:color w:val="000000" w:themeColor="text1"/>
          <w:sz w:val="24"/>
          <w:u w:val="single"/>
          <w:lang w:val="en-US" w:eastAsia="zh-CN"/>
          <w14:textFill>
            <w14:solidFill>
              <w14:schemeClr w14:val="tx1"/>
            </w14:solidFill>
          </w14:textFill>
        </w:rPr>
        <w:t xml:space="preserve">                        </w:t>
      </w:r>
    </w:p>
    <w:p w14:paraId="7ACF688C">
      <w:pPr>
        <w:spacing w:line="360" w:lineRule="auto"/>
        <w:ind w:firstLine="480" w:firstLineChars="200"/>
        <w:rPr>
          <w:rFonts w:hint="default" w:ascii="宋体" w:hAnsi="宋体" w:eastAsia="宋体" w:cs="宋体"/>
          <w:color w:val="000000" w:themeColor="text1"/>
          <w:sz w:val="24"/>
          <w:lang w:val="en-US" w:eastAsia="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账号/行号：</w:t>
      </w:r>
      <w:r>
        <w:rPr>
          <w:rFonts w:hint="eastAsia" w:ascii="宋体" w:hAnsi="宋体"/>
          <w:color w:val="000000" w:themeColor="text1"/>
          <w:sz w:val="24"/>
          <w:u w:val="single"/>
          <w:lang w:val="en-US" w:eastAsia="zh-CN"/>
          <w14:textFill>
            <w14:solidFill>
              <w14:schemeClr w14:val="tx1"/>
            </w14:solidFill>
          </w14:textFill>
        </w:rPr>
        <w:t xml:space="preserve">                             </w:t>
      </w:r>
    </w:p>
    <w:p w14:paraId="4C60D61A">
      <w:pPr>
        <w:spacing w:line="360" w:lineRule="auto"/>
        <w:ind w:firstLine="480" w:firstLineChars="200"/>
        <w:rPr>
          <w:rFonts w:hint="default"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14:textFill>
            <w14:solidFill>
              <w14:schemeClr w14:val="tx1"/>
            </w14:solidFill>
          </w14:textFill>
        </w:rPr>
        <w:t>投标人名称：</w:t>
      </w:r>
      <w:r>
        <w:rPr>
          <w:rFonts w:hint="eastAsia" w:ascii="宋体" w:hAnsi="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w:t>
      </w:r>
      <w:r>
        <w:rPr>
          <w:rFonts w:hint="eastAsia" w:ascii="宋体" w:hAnsi="宋体"/>
          <w:iCs/>
          <w:color w:val="000000" w:themeColor="text1"/>
          <w:sz w:val="24"/>
          <w14:textFill>
            <w14:solidFill>
              <w14:schemeClr w14:val="tx1"/>
            </w14:solidFill>
          </w14:textFill>
        </w:rPr>
        <w:t>盖单位公章</w:t>
      </w:r>
      <w:r>
        <w:rPr>
          <w:rFonts w:hint="eastAsia" w:ascii="宋体" w:hAnsi="宋体" w:cs="宋体"/>
          <w:color w:val="000000" w:themeColor="text1"/>
          <w:sz w:val="24"/>
          <w14:textFill>
            <w14:solidFill>
              <w14:schemeClr w14:val="tx1"/>
            </w14:solidFill>
          </w14:textFill>
        </w:rPr>
        <w:t>）</w:t>
      </w:r>
    </w:p>
    <w:p w14:paraId="45D0098A">
      <w:pPr>
        <w:spacing w:line="360" w:lineRule="auto"/>
        <w:ind w:firstLine="480" w:firstLineChars="200"/>
        <w:rPr>
          <w:rFonts w:ascii="宋体" w:hAnsi="宋体"/>
          <w:color w:val="000000" w:themeColor="text1"/>
          <w:sz w:val="24"/>
          <w:u w:val="none"/>
          <w14:textFill>
            <w14:solidFill>
              <w14:schemeClr w14:val="tx1"/>
            </w14:solidFill>
          </w14:textFill>
        </w:rPr>
      </w:pPr>
      <w:r>
        <w:rPr>
          <w:rFonts w:hint="eastAsia" w:ascii="宋体" w:hAnsi="宋体"/>
          <w:color w:val="000000" w:themeColor="text1"/>
          <w:sz w:val="24"/>
          <w14:textFill>
            <w14:solidFill>
              <w14:schemeClr w14:val="tx1"/>
            </w14:solidFill>
          </w14:textFill>
        </w:rPr>
        <w:t>法定代表人或委托代理人：</w:t>
      </w:r>
      <w:r>
        <w:rPr>
          <w:rFonts w:hint="eastAsia" w:ascii="宋体" w:hAnsi="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（签字或盖章）</w:t>
      </w:r>
    </w:p>
    <w:p w14:paraId="20BADAAF">
      <w:pPr>
        <w:pStyle w:val="32"/>
        <w:spacing w:before="31" w:after="31" w:line="360" w:lineRule="auto"/>
        <w:ind w:firstLine="480"/>
        <w:jc w:val="both"/>
        <w:rPr>
          <w:szCs w:val="24"/>
        </w:rPr>
      </w:pPr>
      <w:r>
        <w:rPr>
          <w:rFonts w:hint="eastAsia" w:ascii="宋体" w:hAnsi="宋体"/>
          <w:iCs/>
          <w:color w:val="000000" w:themeColor="text1"/>
          <w:sz w:val="24"/>
          <w14:textFill>
            <w14:solidFill>
              <w14:schemeClr w14:val="tx1"/>
            </w14:solidFill>
          </w14:textFill>
        </w:rPr>
        <w:t>日  期：</w:t>
      </w:r>
      <w:r>
        <w:rPr>
          <w:rFonts w:hint="eastAsia" w:ascii="宋体" w:hAnsi="宋体"/>
          <w:iCs/>
          <w:color w:val="000000" w:themeColor="text1"/>
          <w:sz w:val="24"/>
          <w:u w:val="single"/>
          <w14:textFill>
            <w14:solidFill>
              <w14:schemeClr w14:val="tx1"/>
            </w14:solidFill>
          </w14:textFill>
        </w:rPr>
        <w:t xml:space="preserve">       </w:t>
      </w:r>
      <w:r>
        <w:rPr>
          <w:rFonts w:hint="eastAsia" w:ascii="宋体" w:hAnsi="宋体"/>
          <w:iCs/>
          <w:color w:val="000000" w:themeColor="text1"/>
          <w:sz w:val="24"/>
          <w14:textFill>
            <w14:solidFill>
              <w14:schemeClr w14:val="tx1"/>
            </w14:solidFill>
          </w14:textFill>
        </w:rPr>
        <w:t>年</w:t>
      </w:r>
      <w:r>
        <w:rPr>
          <w:rFonts w:hint="eastAsia" w:ascii="宋体" w:hAnsi="宋体"/>
          <w:iCs/>
          <w:color w:val="000000" w:themeColor="text1"/>
          <w:sz w:val="24"/>
          <w:u w:val="single"/>
          <w14:textFill>
            <w14:solidFill>
              <w14:schemeClr w14:val="tx1"/>
            </w14:solidFill>
          </w14:textFill>
        </w:rPr>
        <w:t xml:space="preserve">       </w:t>
      </w:r>
      <w:r>
        <w:rPr>
          <w:rFonts w:hint="eastAsia" w:ascii="宋体" w:hAnsi="宋体"/>
          <w:iCs/>
          <w:color w:val="000000" w:themeColor="text1"/>
          <w:sz w:val="24"/>
          <w14:textFill>
            <w14:solidFill>
              <w14:schemeClr w14:val="tx1"/>
            </w14:solidFill>
          </w14:textFill>
        </w:rPr>
        <w:t>月</w:t>
      </w:r>
      <w:r>
        <w:rPr>
          <w:rFonts w:hint="eastAsia" w:ascii="宋体" w:hAnsi="宋体"/>
          <w:iCs/>
          <w:color w:val="000000" w:themeColor="text1"/>
          <w:sz w:val="24"/>
          <w:u w:val="single"/>
          <w14:textFill>
            <w14:solidFill>
              <w14:schemeClr w14:val="tx1"/>
            </w14:solidFill>
          </w14:textFill>
        </w:rPr>
        <w:t xml:space="preserve">       </w:t>
      </w:r>
      <w:r>
        <w:rPr>
          <w:rFonts w:hint="eastAsia" w:ascii="宋体" w:hAnsi="宋体"/>
          <w:iCs/>
          <w:color w:val="000000" w:themeColor="text1"/>
          <w:sz w:val="24"/>
          <w14:textFill>
            <w14:solidFill>
              <w14:schemeClr w14:val="tx1"/>
            </w14:solidFill>
          </w14:textFill>
        </w:rPr>
        <w:t>日</w:t>
      </w:r>
    </w:p>
    <w:p w14:paraId="67BFF189">
      <w:pPr>
        <w:pStyle w:val="3"/>
        <w:bidi w:val="0"/>
      </w:pPr>
      <w:bookmarkStart w:id="158" w:name="_Toc19675"/>
      <w:r>
        <w:rPr>
          <w:rFonts w:hint="eastAsia"/>
        </w:rPr>
        <w:t>格式三、开标一览表</w:t>
      </w:r>
      <w:bookmarkEnd w:id="158"/>
    </w:p>
    <w:tbl>
      <w:tblPr>
        <w:tblStyle w:val="21"/>
        <w:tblW w:w="92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21"/>
        <w:gridCol w:w="6580"/>
      </w:tblGrid>
      <w:tr w14:paraId="339CA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5" w:hRule="atLeast"/>
          <w:jc w:val="center"/>
        </w:trPr>
        <w:tc>
          <w:tcPr>
            <w:tcW w:w="2621" w:type="dxa"/>
            <w:vAlign w:val="center"/>
          </w:tcPr>
          <w:p w14:paraId="7AEF9102">
            <w:pPr>
              <w:spacing w:line="276" w:lineRule="auto"/>
              <w:jc w:val="center"/>
              <w:rPr>
                <w:rFonts w:ascii="宋体" w:hAnsi="宋体" w:cs="宋体"/>
                <w:color w:val="000000" w:themeColor="text1"/>
                <w:sz w:val="24"/>
                <w:shd w:val="clear" w:color="auto" w:fill="FFFFFF"/>
                <w14:textFill>
                  <w14:solidFill>
                    <w14:schemeClr w14:val="tx1"/>
                  </w14:solidFill>
                </w14:textFill>
              </w:rPr>
            </w:pPr>
            <w:bookmarkStart w:id="159" w:name="OLE_LINK118"/>
            <w:bookmarkStart w:id="160" w:name="OLE_LINK119"/>
            <w:r>
              <w:rPr>
                <w:rFonts w:hint="eastAsia" w:ascii="宋体" w:hAnsi="宋体" w:cs="宋体"/>
                <w:color w:val="000000" w:themeColor="text1"/>
                <w:sz w:val="24"/>
                <w:shd w:val="clear" w:color="auto" w:fill="FFFFFF"/>
                <w14:textFill>
                  <w14:solidFill>
                    <w14:schemeClr w14:val="tx1"/>
                  </w14:solidFill>
                </w14:textFill>
              </w:rPr>
              <w:t>项目</w:t>
            </w:r>
            <w:bookmarkEnd w:id="159"/>
            <w:bookmarkEnd w:id="160"/>
            <w:r>
              <w:rPr>
                <w:rFonts w:hint="eastAsia" w:ascii="宋体" w:hAnsi="宋体" w:cs="宋体"/>
                <w:color w:val="000000" w:themeColor="text1"/>
                <w:sz w:val="24"/>
                <w:shd w:val="clear" w:color="auto" w:fill="FFFFFF"/>
                <w14:textFill>
                  <w14:solidFill>
                    <w14:schemeClr w14:val="tx1"/>
                  </w14:solidFill>
                </w14:textFill>
              </w:rPr>
              <w:t>名称</w:t>
            </w:r>
          </w:p>
        </w:tc>
        <w:tc>
          <w:tcPr>
            <w:tcW w:w="6580" w:type="dxa"/>
            <w:vAlign w:val="center"/>
          </w:tcPr>
          <w:p w14:paraId="1F6B56B3">
            <w:pPr>
              <w:spacing w:line="276" w:lineRule="auto"/>
              <w:jc w:val="center"/>
              <w:rPr>
                <w:rFonts w:ascii="宋体" w:hAnsi="宋体" w:cs="宋体"/>
                <w:color w:val="000000" w:themeColor="text1"/>
                <w:sz w:val="24"/>
                <w:shd w:val="clear" w:color="auto" w:fill="FFFFFF"/>
                <w14:textFill>
                  <w14:solidFill>
                    <w14:schemeClr w14:val="tx1"/>
                  </w14:solidFill>
                </w14:textFill>
              </w:rPr>
            </w:pPr>
          </w:p>
        </w:tc>
      </w:tr>
      <w:tr w14:paraId="3C561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jc w:val="center"/>
        </w:trPr>
        <w:tc>
          <w:tcPr>
            <w:tcW w:w="2621" w:type="dxa"/>
            <w:vAlign w:val="center"/>
          </w:tcPr>
          <w:p w14:paraId="70303815">
            <w:pPr>
              <w:spacing w:line="276" w:lineRule="auto"/>
              <w:jc w:val="center"/>
              <w:rPr>
                <w:rFonts w:ascii="宋体" w:hAnsi="宋体" w:cs="宋体"/>
                <w:color w:val="000000" w:themeColor="text1"/>
                <w:sz w:val="24"/>
                <w:shd w:val="clear" w:color="auto" w:fill="FFFFFF"/>
                <w14:textFill>
                  <w14:solidFill>
                    <w14:schemeClr w14:val="tx1"/>
                  </w14:solidFill>
                </w14:textFill>
              </w:rPr>
            </w:pPr>
            <w:r>
              <w:rPr>
                <w:rFonts w:hint="eastAsia" w:ascii="宋体" w:hAnsi="宋体" w:cs="宋体"/>
                <w:color w:val="000000" w:themeColor="text1"/>
                <w:sz w:val="24"/>
                <w:shd w:val="clear" w:color="auto" w:fill="FFFFFF"/>
                <w14:textFill>
                  <w14:solidFill>
                    <w14:schemeClr w14:val="tx1"/>
                  </w14:solidFill>
                </w14:textFill>
              </w:rPr>
              <w:t>项目编号</w:t>
            </w:r>
          </w:p>
        </w:tc>
        <w:tc>
          <w:tcPr>
            <w:tcW w:w="6580" w:type="dxa"/>
            <w:vAlign w:val="center"/>
          </w:tcPr>
          <w:p w14:paraId="7719211A">
            <w:pPr>
              <w:spacing w:line="276" w:lineRule="auto"/>
              <w:jc w:val="center"/>
              <w:rPr>
                <w:rFonts w:ascii="宋体" w:hAnsi="宋体" w:cs="宋体"/>
                <w:color w:val="000000" w:themeColor="text1"/>
                <w:sz w:val="24"/>
                <w:shd w:val="clear" w:color="auto" w:fill="FFFFFF"/>
                <w14:textFill>
                  <w14:solidFill>
                    <w14:schemeClr w14:val="tx1"/>
                  </w14:solidFill>
                </w14:textFill>
              </w:rPr>
            </w:pPr>
          </w:p>
        </w:tc>
      </w:tr>
      <w:tr w14:paraId="4AEF6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7" w:hRule="atLeast"/>
          <w:jc w:val="center"/>
        </w:trPr>
        <w:tc>
          <w:tcPr>
            <w:tcW w:w="2621" w:type="dxa"/>
            <w:vAlign w:val="center"/>
          </w:tcPr>
          <w:p w14:paraId="3BD0D7FC">
            <w:pPr>
              <w:spacing w:line="276" w:lineRule="auto"/>
              <w:jc w:val="center"/>
              <w:rPr>
                <w:rFonts w:ascii="宋体" w:hAnsi="宋体" w:cs="宋体"/>
                <w:color w:val="000000" w:themeColor="text1"/>
                <w:sz w:val="24"/>
                <w:shd w:val="clear" w:color="auto" w:fill="FFFFFF"/>
                <w14:textFill>
                  <w14:solidFill>
                    <w14:schemeClr w14:val="tx1"/>
                  </w14:solidFill>
                </w14:textFill>
              </w:rPr>
            </w:pPr>
            <w:r>
              <w:rPr>
                <w:rFonts w:hint="eastAsia" w:ascii="宋体" w:hAnsi="宋体" w:cs="宋体"/>
                <w:color w:val="000000" w:themeColor="text1"/>
                <w:sz w:val="24"/>
                <w:shd w:val="clear" w:color="auto" w:fill="FFFFFF"/>
                <w14:textFill>
                  <w14:solidFill>
                    <w14:schemeClr w14:val="tx1"/>
                  </w14:solidFill>
                </w14:textFill>
              </w:rPr>
              <w:t>投标报价（元）</w:t>
            </w:r>
          </w:p>
        </w:tc>
        <w:tc>
          <w:tcPr>
            <w:tcW w:w="6580" w:type="dxa"/>
            <w:vAlign w:val="center"/>
          </w:tcPr>
          <w:p w14:paraId="729F340D">
            <w:pPr>
              <w:spacing w:line="276" w:lineRule="auto"/>
              <w:rPr>
                <w:rFonts w:ascii="宋体" w:hAnsi="宋体" w:cs="宋体"/>
                <w:color w:val="000000" w:themeColor="text1"/>
                <w:sz w:val="24"/>
                <w:shd w:val="clear" w:color="auto" w:fill="FFFFFF"/>
                <w14:textFill>
                  <w14:solidFill>
                    <w14:schemeClr w14:val="tx1"/>
                  </w14:solidFill>
                </w14:textFill>
              </w:rPr>
            </w:pPr>
            <w:r>
              <w:rPr>
                <w:rFonts w:hint="eastAsia" w:ascii="宋体" w:hAnsi="宋体" w:cs="宋体"/>
                <w:color w:val="000000" w:themeColor="text1"/>
                <w:sz w:val="24"/>
                <w:shd w:val="clear" w:color="auto" w:fill="FFFFFF"/>
                <w14:textFill>
                  <w14:solidFill>
                    <w14:schemeClr w14:val="tx1"/>
                  </w14:solidFill>
                </w14:textFill>
              </w:rPr>
              <w:t>人民币大写：                小写：</w:t>
            </w:r>
          </w:p>
        </w:tc>
      </w:tr>
      <w:tr w14:paraId="0A38A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jc w:val="center"/>
        </w:trPr>
        <w:tc>
          <w:tcPr>
            <w:tcW w:w="2621" w:type="dxa"/>
            <w:vAlign w:val="center"/>
          </w:tcPr>
          <w:p w14:paraId="206A4807">
            <w:pPr>
              <w:spacing w:line="276" w:lineRule="auto"/>
              <w:jc w:val="center"/>
              <w:rPr>
                <w:rFonts w:ascii="宋体" w:hAnsi="宋体" w:cs="宋体"/>
                <w:color w:val="000000" w:themeColor="text1"/>
                <w:sz w:val="24"/>
                <w:shd w:val="clear" w:color="auto" w:fill="FFFFFF"/>
                <w14:textFill>
                  <w14:solidFill>
                    <w14:schemeClr w14:val="tx1"/>
                  </w14:solidFill>
                </w14:textFill>
              </w:rPr>
            </w:pPr>
            <w:r>
              <w:rPr>
                <w:rFonts w:hint="eastAsia" w:ascii="宋体" w:hAnsi="宋体" w:cs="宋体"/>
                <w:color w:val="000000" w:themeColor="text1"/>
                <w:sz w:val="24"/>
                <w:shd w:val="clear" w:color="auto" w:fill="FFFFFF"/>
                <w:lang w:eastAsia="zh-CN"/>
                <w14:textFill>
                  <w14:solidFill>
                    <w14:schemeClr w14:val="tx1"/>
                  </w14:solidFill>
                </w14:textFill>
              </w:rPr>
              <w:t>供货期</w:t>
            </w:r>
          </w:p>
        </w:tc>
        <w:tc>
          <w:tcPr>
            <w:tcW w:w="6580" w:type="dxa"/>
            <w:vAlign w:val="center"/>
          </w:tcPr>
          <w:p w14:paraId="3E55E849">
            <w:pPr>
              <w:spacing w:line="276" w:lineRule="auto"/>
              <w:jc w:val="center"/>
              <w:rPr>
                <w:rFonts w:ascii="宋体" w:hAnsi="宋体" w:cs="宋体"/>
                <w:color w:val="000000" w:themeColor="text1"/>
                <w:sz w:val="24"/>
                <w:shd w:val="clear" w:color="auto" w:fill="FFFFFF"/>
                <w14:textFill>
                  <w14:solidFill>
                    <w14:schemeClr w14:val="tx1"/>
                  </w14:solidFill>
                </w14:textFill>
              </w:rPr>
            </w:pPr>
          </w:p>
        </w:tc>
      </w:tr>
      <w:tr w14:paraId="53FD8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8" w:hRule="atLeast"/>
          <w:jc w:val="center"/>
        </w:trPr>
        <w:tc>
          <w:tcPr>
            <w:tcW w:w="2621" w:type="dxa"/>
            <w:vAlign w:val="center"/>
          </w:tcPr>
          <w:p w14:paraId="0EEB9087">
            <w:pPr>
              <w:spacing w:line="276" w:lineRule="auto"/>
              <w:jc w:val="center"/>
              <w:rPr>
                <w:rFonts w:ascii="宋体" w:hAnsi="宋体" w:cs="宋体"/>
                <w:color w:val="000000" w:themeColor="text1"/>
                <w:sz w:val="24"/>
                <w:shd w:val="clear" w:color="auto" w:fill="FFFFFF"/>
                <w14:textFill>
                  <w14:solidFill>
                    <w14:schemeClr w14:val="tx1"/>
                  </w14:solidFill>
                </w14:textFill>
              </w:rPr>
            </w:pPr>
            <w:r>
              <w:rPr>
                <w:rFonts w:hint="eastAsia" w:ascii="宋体" w:hAnsi="宋体" w:cs="宋体"/>
                <w:color w:val="000000" w:themeColor="text1"/>
                <w:sz w:val="24"/>
                <w14:textFill>
                  <w14:solidFill>
                    <w14:schemeClr w14:val="tx1"/>
                  </w14:solidFill>
                </w14:textFill>
              </w:rPr>
              <w:t>供货地点</w:t>
            </w:r>
          </w:p>
        </w:tc>
        <w:tc>
          <w:tcPr>
            <w:tcW w:w="6580" w:type="dxa"/>
            <w:vAlign w:val="center"/>
          </w:tcPr>
          <w:p w14:paraId="7F923A5C">
            <w:pPr>
              <w:spacing w:line="276" w:lineRule="auto"/>
              <w:jc w:val="center"/>
              <w:rPr>
                <w:rFonts w:ascii="宋体" w:hAnsi="宋体" w:cs="宋体"/>
                <w:color w:val="000000" w:themeColor="text1"/>
                <w:sz w:val="24"/>
                <w:shd w:val="clear" w:color="auto" w:fill="FFFFFF"/>
                <w14:textFill>
                  <w14:solidFill>
                    <w14:schemeClr w14:val="tx1"/>
                  </w14:solidFill>
                </w14:textFill>
              </w:rPr>
            </w:pPr>
          </w:p>
        </w:tc>
      </w:tr>
      <w:tr w14:paraId="283D9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8" w:hRule="atLeast"/>
          <w:jc w:val="center"/>
        </w:trPr>
        <w:tc>
          <w:tcPr>
            <w:tcW w:w="2621" w:type="dxa"/>
            <w:vAlign w:val="center"/>
          </w:tcPr>
          <w:p w14:paraId="02B39500">
            <w:pPr>
              <w:spacing w:line="276" w:lineRule="auto"/>
              <w:jc w:val="center"/>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质保期</w:t>
            </w:r>
          </w:p>
        </w:tc>
        <w:tc>
          <w:tcPr>
            <w:tcW w:w="6580" w:type="dxa"/>
            <w:vAlign w:val="center"/>
          </w:tcPr>
          <w:p w14:paraId="4525FFD9">
            <w:pPr>
              <w:spacing w:line="276" w:lineRule="auto"/>
              <w:jc w:val="center"/>
              <w:rPr>
                <w:rFonts w:ascii="宋体" w:hAnsi="宋体" w:cs="宋体"/>
                <w:color w:val="000000" w:themeColor="text1"/>
                <w:sz w:val="24"/>
                <w:shd w:val="clear" w:color="auto" w:fill="FFFFFF"/>
                <w14:textFill>
                  <w14:solidFill>
                    <w14:schemeClr w14:val="tx1"/>
                  </w14:solidFill>
                </w14:textFill>
              </w:rPr>
            </w:pPr>
          </w:p>
        </w:tc>
      </w:tr>
      <w:tr w14:paraId="3F398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2621" w:type="dxa"/>
            <w:vAlign w:val="center"/>
          </w:tcPr>
          <w:p w14:paraId="5E71F0CD">
            <w:pPr>
              <w:spacing w:line="276" w:lineRule="auto"/>
              <w:jc w:val="center"/>
              <w:rPr>
                <w:rFonts w:ascii="宋体" w:hAnsi="宋体" w:cs="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投标有效期</w:t>
            </w:r>
          </w:p>
        </w:tc>
        <w:tc>
          <w:tcPr>
            <w:tcW w:w="6580" w:type="dxa"/>
            <w:vAlign w:val="center"/>
          </w:tcPr>
          <w:p w14:paraId="16BFE751">
            <w:pPr>
              <w:spacing w:line="276" w:lineRule="auto"/>
              <w:jc w:val="center"/>
              <w:rPr>
                <w:rFonts w:ascii="宋体" w:hAnsi="宋体" w:cs="宋体"/>
                <w:color w:val="000000" w:themeColor="text1"/>
                <w:sz w:val="24"/>
                <w:shd w:val="clear" w:color="auto" w:fill="FFFFFF"/>
                <w14:textFill>
                  <w14:solidFill>
                    <w14:schemeClr w14:val="tx1"/>
                  </w14:solidFill>
                </w14:textFill>
              </w:rPr>
            </w:pPr>
          </w:p>
        </w:tc>
      </w:tr>
      <w:tr w14:paraId="58F2A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3" w:hRule="atLeast"/>
          <w:jc w:val="center"/>
        </w:trPr>
        <w:tc>
          <w:tcPr>
            <w:tcW w:w="2621" w:type="dxa"/>
            <w:vAlign w:val="center"/>
          </w:tcPr>
          <w:p w14:paraId="79807043">
            <w:pPr>
              <w:spacing w:line="276" w:lineRule="auto"/>
              <w:jc w:val="center"/>
              <w:rPr>
                <w:rFonts w:ascii="宋体" w:hAnsi="宋体" w:cs="宋体"/>
                <w:color w:val="000000" w:themeColor="text1"/>
                <w:sz w:val="24"/>
                <w:shd w:val="clear" w:color="auto" w:fill="FFFFFF"/>
                <w14:textFill>
                  <w14:solidFill>
                    <w14:schemeClr w14:val="tx1"/>
                  </w14:solidFill>
                </w14:textFill>
              </w:rPr>
            </w:pPr>
            <w:r>
              <w:rPr>
                <w:rFonts w:hint="eastAsia" w:ascii="宋体" w:hAnsi="宋体" w:cs="宋体"/>
                <w:color w:val="000000" w:themeColor="text1"/>
                <w:sz w:val="24"/>
                <w:shd w:val="clear" w:color="auto" w:fill="FFFFFF"/>
                <w14:textFill>
                  <w14:solidFill>
                    <w14:schemeClr w14:val="tx1"/>
                  </w14:solidFill>
                </w14:textFill>
              </w:rPr>
              <w:t>备注</w:t>
            </w:r>
          </w:p>
        </w:tc>
        <w:tc>
          <w:tcPr>
            <w:tcW w:w="6580" w:type="dxa"/>
            <w:vAlign w:val="center"/>
          </w:tcPr>
          <w:p w14:paraId="4FE9C299">
            <w:pPr>
              <w:spacing w:line="276" w:lineRule="auto"/>
              <w:rPr>
                <w:rFonts w:ascii="宋体" w:hAnsi="宋体" w:cs="宋体"/>
                <w:color w:val="000000" w:themeColor="text1"/>
                <w:sz w:val="24"/>
                <w:shd w:val="clear" w:color="auto" w:fill="FFFFFF"/>
                <w14:textFill>
                  <w14:solidFill>
                    <w14:schemeClr w14:val="tx1"/>
                  </w14:solidFill>
                </w14:textFill>
              </w:rPr>
            </w:pPr>
          </w:p>
        </w:tc>
      </w:tr>
    </w:tbl>
    <w:p w14:paraId="3E27D84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注：</w:t>
      </w:r>
      <w:bookmarkStart w:id="161" w:name="OLE_LINK59"/>
    </w:p>
    <w:p w14:paraId="3B979C2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bookmarkEnd w:id="161"/>
      <w:r>
        <w:rPr>
          <w:rFonts w:hint="eastAsia" w:ascii="宋体" w:hAnsi="宋体"/>
          <w:sz w:val="24"/>
        </w:rPr>
        <w:t>投标报价包括完成本项目招标范围内的全部费用（</w:t>
      </w:r>
      <w:bookmarkStart w:id="162" w:name="OLE_LINK61"/>
      <w:bookmarkStart w:id="163" w:name="OLE_LINK62"/>
      <w:r>
        <w:rPr>
          <w:rFonts w:hint="eastAsia" w:ascii="宋体" w:hAnsi="宋体"/>
          <w:sz w:val="24"/>
        </w:rPr>
        <w:t>包括税金、运费、等可能发生的全部费用）。</w:t>
      </w:r>
      <w:bookmarkEnd w:id="162"/>
      <w:bookmarkEnd w:id="163"/>
    </w:p>
    <w:p w14:paraId="7CFF5AA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2、所有价格均系用人民币表示，单位为元，精确到小数点后两位。</w:t>
      </w:r>
    </w:p>
    <w:p w14:paraId="4D24FF7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3、价格应按照“投标人须知”的要求报价。</w:t>
      </w:r>
    </w:p>
    <w:p w14:paraId="354A4E9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4、此表除保留在投标文件正本中外，还要将另一份完全相同的本表密封装在一个信封中，单独密封递交，作为唱标之用。</w:t>
      </w:r>
    </w:p>
    <w:p w14:paraId="6C8A5C2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5、以上内容缺一不可，格式、内容和签署、盖章必须完整，否则为无效投标。</w:t>
      </w:r>
    </w:p>
    <w:p w14:paraId="7D0BF50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6、</w:t>
      </w:r>
      <w:r>
        <w:rPr>
          <w:rFonts w:hint="eastAsia" w:ascii="宋体" w:hAnsi="宋体" w:cs="宋体"/>
          <w:color w:val="000000" w:themeColor="text1"/>
          <w:sz w:val="24"/>
          <w14:textFill>
            <w14:solidFill>
              <w14:schemeClr w14:val="tx1"/>
            </w14:solidFill>
          </w14:textFill>
        </w:rPr>
        <w:t>开标一览表内容与投标文件中相应内容不一致的，以开标一览表为准。</w:t>
      </w:r>
    </w:p>
    <w:p w14:paraId="5D025FCD">
      <w:pPr>
        <w:spacing w:line="360" w:lineRule="auto"/>
        <w:ind w:firstLine="480" w:firstLineChars="200"/>
        <w:jc w:val="left"/>
        <w:rPr>
          <w:rFonts w:hint="eastAsia" w:ascii="宋体" w:hAnsi="宋体" w:cs="宋体"/>
          <w:color w:val="000000" w:themeColor="text1"/>
          <w:sz w:val="24"/>
          <w14:textFill>
            <w14:solidFill>
              <w14:schemeClr w14:val="tx1"/>
            </w14:solidFill>
          </w14:textFill>
        </w:rPr>
      </w:pPr>
    </w:p>
    <w:p w14:paraId="718848EB">
      <w:pPr>
        <w:spacing w:line="360" w:lineRule="auto"/>
        <w:ind w:firstLine="480" w:firstLineChars="200"/>
        <w:jc w:val="left"/>
        <w:rPr>
          <w:rFonts w:hint="eastAsia" w:ascii="宋体" w:hAnsi="宋体" w:cs="宋体"/>
          <w:color w:val="000000" w:themeColor="text1"/>
          <w:sz w:val="24"/>
          <w14:textFill>
            <w14:solidFill>
              <w14:schemeClr w14:val="tx1"/>
            </w14:solidFill>
          </w14:textFill>
        </w:rPr>
      </w:pPr>
    </w:p>
    <w:p w14:paraId="0F411F7E">
      <w:pPr>
        <w:spacing w:line="480" w:lineRule="auto"/>
        <w:ind w:left="0" w:leftChars="0" w:firstLine="1478" w:firstLineChars="616"/>
        <w:rPr>
          <w:rFonts w:ascii="宋体" w:hAns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投标人：</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w:t>
      </w:r>
      <w:r>
        <w:rPr>
          <w:rFonts w:hint="eastAsia" w:ascii="宋体" w:hAnsi="宋体"/>
          <w:iCs/>
          <w:color w:val="000000" w:themeColor="text1"/>
          <w:sz w:val="24"/>
          <w14:textFill>
            <w14:solidFill>
              <w14:schemeClr w14:val="tx1"/>
            </w14:solidFill>
          </w14:textFill>
        </w:rPr>
        <w:t>盖单位公章</w:t>
      </w:r>
      <w:r>
        <w:rPr>
          <w:rFonts w:hint="eastAsia" w:ascii="宋体" w:hAnsi="宋体" w:cs="宋体"/>
          <w:color w:val="000000" w:themeColor="text1"/>
          <w:sz w:val="24"/>
          <w14:textFill>
            <w14:solidFill>
              <w14:schemeClr w14:val="tx1"/>
            </w14:solidFill>
          </w14:textFill>
        </w:rPr>
        <w:t>）</w:t>
      </w:r>
    </w:p>
    <w:p w14:paraId="7D7C0F45">
      <w:pPr>
        <w:spacing w:line="480" w:lineRule="auto"/>
        <w:ind w:left="0" w:leftChars="0" w:firstLine="1478" w:firstLineChars="616"/>
        <w:rPr>
          <w:rFonts w:ascii="宋体" w:hAns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法定代表人或代理人：</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（签字或盖章）</w:t>
      </w:r>
    </w:p>
    <w:bookmarkEnd w:id="155"/>
    <w:bookmarkEnd w:id="156"/>
    <w:p w14:paraId="2B0060D2">
      <w:pPr>
        <w:widowControl/>
        <w:ind w:left="0" w:leftChars="0" w:firstLine="1478" w:firstLineChars="616"/>
        <w:jc w:val="left"/>
        <w:rPr>
          <w:rFonts w:ascii="Arial" w:hAnsi="Arial" w:eastAsia="黑体"/>
          <w:b/>
          <w:sz w:val="28"/>
        </w:rPr>
      </w:pPr>
      <w:bookmarkStart w:id="164" w:name="_Toc193101553"/>
      <w:r>
        <w:rPr>
          <w:rFonts w:hint="eastAsia" w:ascii="宋体" w:hAnsi="宋体"/>
          <w:iCs/>
          <w:color w:val="000000" w:themeColor="text1"/>
          <w:sz w:val="24"/>
          <w14:textFill>
            <w14:solidFill>
              <w14:schemeClr w14:val="tx1"/>
            </w14:solidFill>
          </w14:textFill>
        </w:rPr>
        <w:t>日  期：</w:t>
      </w:r>
      <w:r>
        <w:rPr>
          <w:rFonts w:hint="eastAsia" w:ascii="宋体" w:hAnsi="宋体"/>
          <w:iCs/>
          <w:color w:val="000000" w:themeColor="text1"/>
          <w:sz w:val="24"/>
          <w:u w:val="single"/>
          <w14:textFill>
            <w14:solidFill>
              <w14:schemeClr w14:val="tx1"/>
            </w14:solidFill>
          </w14:textFill>
        </w:rPr>
        <w:t xml:space="preserve">       </w:t>
      </w:r>
      <w:r>
        <w:rPr>
          <w:rFonts w:hint="eastAsia" w:ascii="宋体" w:hAnsi="宋体"/>
          <w:iCs/>
          <w:color w:val="000000" w:themeColor="text1"/>
          <w:sz w:val="24"/>
          <w14:textFill>
            <w14:solidFill>
              <w14:schemeClr w14:val="tx1"/>
            </w14:solidFill>
          </w14:textFill>
        </w:rPr>
        <w:t>年</w:t>
      </w:r>
      <w:r>
        <w:rPr>
          <w:rFonts w:hint="eastAsia" w:ascii="宋体" w:hAnsi="宋体"/>
          <w:iCs/>
          <w:color w:val="000000" w:themeColor="text1"/>
          <w:sz w:val="24"/>
          <w:u w:val="single"/>
          <w14:textFill>
            <w14:solidFill>
              <w14:schemeClr w14:val="tx1"/>
            </w14:solidFill>
          </w14:textFill>
        </w:rPr>
        <w:t xml:space="preserve">       </w:t>
      </w:r>
      <w:r>
        <w:rPr>
          <w:rFonts w:hint="eastAsia" w:ascii="宋体" w:hAnsi="宋体"/>
          <w:iCs/>
          <w:color w:val="000000" w:themeColor="text1"/>
          <w:sz w:val="24"/>
          <w14:textFill>
            <w14:solidFill>
              <w14:schemeClr w14:val="tx1"/>
            </w14:solidFill>
          </w14:textFill>
        </w:rPr>
        <w:t>月</w:t>
      </w:r>
      <w:r>
        <w:rPr>
          <w:rFonts w:hint="eastAsia" w:ascii="宋体" w:hAnsi="宋体"/>
          <w:iCs/>
          <w:color w:val="000000" w:themeColor="text1"/>
          <w:sz w:val="24"/>
          <w:u w:val="single"/>
          <w14:textFill>
            <w14:solidFill>
              <w14:schemeClr w14:val="tx1"/>
            </w14:solidFill>
          </w14:textFill>
        </w:rPr>
        <w:t xml:space="preserve">       </w:t>
      </w:r>
      <w:r>
        <w:rPr>
          <w:rFonts w:hint="eastAsia" w:ascii="宋体" w:hAnsi="宋体"/>
          <w:iCs/>
          <w:color w:val="000000" w:themeColor="text1"/>
          <w:sz w:val="24"/>
          <w14:textFill>
            <w14:solidFill>
              <w14:schemeClr w14:val="tx1"/>
            </w14:solidFill>
          </w14:textFill>
        </w:rPr>
        <w:t>日</w:t>
      </w:r>
      <w:r>
        <w:rPr>
          <w:rFonts w:eastAsia="黑体"/>
          <w:sz w:val="28"/>
        </w:rPr>
        <w:br w:type="page"/>
      </w:r>
    </w:p>
    <w:p w14:paraId="28D22D4B">
      <w:pPr>
        <w:pStyle w:val="3"/>
        <w:bidi w:val="0"/>
      </w:pPr>
      <w:bookmarkStart w:id="165" w:name="_Toc714"/>
      <w:r>
        <w:t>格式</w:t>
      </w:r>
      <w:r>
        <w:rPr>
          <w:rFonts w:hint="eastAsia"/>
        </w:rPr>
        <w:t>四</w:t>
      </w:r>
      <w:r>
        <w:t>、</w:t>
      </w:r>
      <w:bookmarkStart w:id="166" w:name="OLE_LINK122"/>
      <w:r>
        <w:rPr>
          <w:rFonts w:hint="eastAsia"/>
        </w:rPr>
        <w:t>分项报价表</w:t>
      </w:r>
      <w:bookmarkEnd w:id="165"/>
    </w:p>
    <w:p w14:paraId="7E579A8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项目名称：</w:t>
      </w:r>
    </w:p>
    <w:p w14:paraId="2D7B10A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项目编号：</w:t>
      </w:r>
    </w:p>
    <w:tbl>
      <w:tblPr>
        <w:tblStyle w:val="22"/>
        <w:tblpPr w:leftFromText="180" w:rightFromText="180" w:vertAnchor="text" w:horzAnchor="page" w:tblpXSpec="center" w:tblpY="398"/>
        <w:tblOverlap w:val="never"/>
        <w:tblW w:w="463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9"/>
        <w:gridCol w:w="1012"/>
        <w:gridCol w:w="1330"/>
        <w:gridCol w:w="798"/>
        <w:gridCol w:w="763"/>
        <w:gridCol w:w="1115"/>
        <w:gridCol w:w="571"/>
        <w:gridCol w:w="837"/>
        <w:gridCol w:w="1054"/>
        <w:gridCol w:w="1128"/>
      </w:tblGrid>
      <w:tr w14:paraId="6EDE9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7" w:hRule="atLeast"/>
          <w:jc w:val="center"/>
        </w:trPr>
        <w:tc>
          <w:tcPr>
            <w:tcW w:w="336" w:type="pct"/>
            <w:vAlign w:val="center"/>
          </w:tcPr>
          <w:p w14:paraId="353AEAA7">
            <w:pPr>
              <w:spacing w:line="400" w:lineRule="exact"/>
              <w:jc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序号</w:t>
            </w:r>
          </w:p>
        </w:tc>
        <w:tc>
          <w:tcPr>
            <w:tcW w:w="548" w:type="pct"/>
            <w:vAlign w:val="center"/>
          </w:tcPr>
          <w:p w14:paraId="6AD44B74">
            <w:pPr>
              <w:spacing w:line="400" w:lineRule="exact"/>
              <w:jc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设备</w:t>
            </w:r>
          </w:p>
          <w:p w14:paraId="4BCBF6B1">
            <w:pPr>
              <w:spacing w:line="400" w:lineRule="exact"/>
              <w:jc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名称</w:t>
            </w:r>
          </w:p>
        </w:tc>
        <w:tc>
          <w:tcPr>
            <w:tcW w:w="720" w:type="pct"/>
            <w:vAlign w:val="center"/>
          </w:tcPr>
          <w:p w14:paraId="4C29C626">
            <w:pPr>
              <w:spacing w:line="400" w:lineRule="exact"/>
              <w:jc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技术规格及标准</w:t>
            </w:r>
          </w:p>
        </w:tc>
        <w:tc>
          <w:tcPr>
            <w:tcW w:w="432" w:type="pct"/>
            <w:vAlign w:val="center"/>
          </w:tcPr>
          <w:p w14:paraId="56A9A2BD">
            <w:pPr>
              <w:spacing w:line="400" w:lineRule="exact"/>
              <w:jc w:val="center"/>
              <w:rPr>
                <w:rFonts w:ascii="宋体" w:hAnsi="宋体" w:cs="宋体"/>
                <w:b/>
                <w:color w:val="000000" w:themeColor="text1"/>
                <w:sz w:val="24"/>
                <w14:textFill>
                  <w14:solidFill>
                    <w14:schemeClr w14:val="tx1"/>
                  </w14:solidFill>
                </w14:textFill>
              </w:rPr>
            </w:pPr>
            <w:bookmarkStart w:id="167" w:name="OLE_LINK123"/>
            <w:bookmarkStart w:id="168" w:name="OLE_LINK124"/>
            <w:r>
              <w:rPr>
                <w:rFonts w:hint="eastAsia" w:ascii="宋体" w:hAnsi="宋体" w:cs="宋体"/>
                <w:b/>
                <w:color w:val="000000" w:themeColor="text1"/>
                <w:sz w:val="24"/>
                <w14:textFill>
                  <w14:solidFill>
                    <w14:schemeClr w14:val="tx1"/>
                  </w14:solidFill>
                </w14:textFill>
              </w:rPr>
              <w:t>品</w:t>
            </w:r>
            <w:bookmarkStart w:id="169" w:name="OLE_LINK126"/>
            <w:bookmarkStart w:id="170" w:name="OLE_LINK125"/>
            <w:r>
              <w:rPr>
                <w:rFonts w:hint="eastAsia" w:ascii="宋体" w:hAnsi="宋体" w:cs="宋体"/>
                <w:b/>
                <w:color w:val="000000" w:themeColor="text1"/>
                <w:sz w:val="24"/>
                <w14:textFill>
                  <w14:solidFill>
                    <w14:schemeClr w14:val="tx1"/>
                  </w14:solidFill>
                </w14:textFill>
              </w:rPr>
              <w:t>牌</w:t>
            </w:r>
            <w:bookmarkEnd w:id="167"/>
            <w:bookmarkEnd w:id="168"/>
          </w:p>
          <w:bookmarkEnd w:id="169"/>
          <w:bookmarkEnd w:id="170"/>
        </w:tc>
        <w:tc>
          <w:tcPr>
            <w:tcW w:w="413" w:type="pct"/>
            <w:vAlign w:val="center"/>
          </w:tcPr>
          <w:p w14:paraId="6BF4E1C1">
            <w:pPr>
              <w:spacing w:line="400" w:lineRule="exact"/>
              <w:jc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产</w:t>
            </w:r>
            <w:bookmarkStart w:id="171" w:name="OLE_LINK128"/>
            <w:bookmarkStart w:id="172" w:name="OLE_LINK127"/>
            <w:r>
              <w:rPr>
                <w:rFonts w:hint="eastAsia" w:ascii="宋体" w:hAnsi="宋体" w:cs="宋体"/>
                <w:b/>
                <w:color w:val="000000" w:themeColor="text1"/>
                <w:sz w:val="24"/>
                <w14:textFill>
                  <w14:solidFill>
                    <w14:schemeClr w14:val="tx1"/>
                  </w14:solidFill>
                </w14:textFill>
              </w:rPr>
              <w:t>地</w:t>
            </w:r>
          </w:p>
          <w:bookmarkEnd w:id="171"/>
          <w:bookmarkEnd w:id="172"/>
        </w:tc>
        <w:tc>
          <w:tcPr>
            <w:tcW w:w="604" w:type="pct"/>
            <w:vAlign w:val="center"/>
          </w:tcPr>
          <w:p w14:paraId="25F729E3">
            <w:pPr>
              <w:spacing w:line="400" w:lineRule="exact"/>
              <w:jc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制</w:t>
            </w:r>
            <w:bookmarkStart w:id="173" w:name="OLE_LINK130"/>
            <w:bookmarkStart w:id="174" w:name="OLE_LINK129"/>
            <w:r>
              <w:rPr>
                <w:rFonts w:hint="eastAsia" w:ascii="宋体" w:hAnsi="宋体" w:cs="宋体"/>
                <w:b/>
                <w:color w:val="000000" w:themeColor="text1"/>
                <w:sz w:val="24"/>
                <w14:textFill>
                  <w14:solidFill>
                    <w14:schemeClr w14:val="tx1"/>
                  </w14:solidFill>
                </w14:textFill>
              </w:rPr>
              <w:t>造商</w:t>
            </w:r>
          </w:p>
          <w:p w14:paraId="48479607">
            <w:pPr>
              <w:spacing w:line="400" w:lineRule="exact"/>
              <w:jc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名称</w:t>
            </w:r>
          </w:p>
          <w:bookmarkEnd w:id="173"/>
          <w:bookmarkEnd w:id="174"/>
        </w:tc>
        <w:tc>
          <w:tcPr>
            <w:tcW w:w="309" w:type="pct"/>
            <w:vAlign w:val="center"/>
          </w:tcPr>
          <w:p w14:paraId="17AE5135">
            <w:pPr>
              <w:spacing w:line="400" w:lineRule="exact"/>
              <w:jc w:val="center"/>
              <w:rPr>
                <w:rFonts w:ascii="宋体" w:hAnsi="宋体" w:cs="宋体"/>
                <w:b/>
                <w:color w:val="000000" w:themeColor="text1"/>
                <w:sz w:val="24"/>
                <w14:textFill>
                  <w14:solidFill>
                    <w14:schemeClr w14:val="tx1"/>
                  </w14:solidFill>
                </w14:textFill>
              </w:rPr>
            </w:pPr>
            <w:r>
              <w:rPr>
                <w:rFonts w:ascii="宋体" w:hAnsi="宋体" w:cs="宋体"/>
                <w:b/>
                <w:color w:val="000000" w:themeColor="text1"/>
                <w:sz w:val="24"/>
                <w14:textFill>
                  <w14:solidFill>
                    <w14:schemeClr w14:val="tx1"/>
                  </w14:solidFill>
                </w14:textFill>
              </w:rPr>
              <w:t>单位</w:t>
            </w:r>
          </w:p>
        </w:tc>
        <w:tc>
          <w:tcPr>
            <w:tcW w:w="453" w:type="pct"/>
            <w:vAlign w:val="center"/>
          </w:tcPr>
          <w:p w14:paraId="4F511752">
            <w:pPr>
              <w:spacing w:line="400" w:lineRule="exact"/>
              <w:jc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数量</w:t>
            </w:r>
          </w:p>
        </w:tc>
        <w:tc>
          <w:tcPr>
            <w:tcW w:w="571" w:type="pct"/>
            <w:vAlign w:val="center"/>
          </w:tcPr>
          <w:p w14:paraId="51F743C2">
            <w:pPr>
              <w:spacing w:line="360" w:lineRule="exact"/>
              <w:jc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单价</w:t>
            </w:r>
          </w:p>
          <w:p w14:paraId="110BE6F9">
            <w:pPr>
              <w:spacing w:line="400" w:lineRule="exact"/>
              <w:jc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（元）</w:t>
            </w:r>
          </w:p>
        </w:tc>
        <w:tc>
          <w:tcPr>
            <w:tcW w:w="611" w:type="pct"/>
            <w:vAlign w:val="center"/>
          </w:tcPr>
          <w:p w14:paraId="38AA8D8B">
            <w:pPr>
              <w:spacing w:line="360" w:lineRule="exact"/>
              <w:jc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总价（元）</w:t>
            </w:r>
          </w:p>
        </w:tc>
      </w:tr>
      <w:tr w14:paraId="7A961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336" w:type="pct"/>
            <w:vAlign w:val="center"/>
          </w:tcPr>
          <w:p w14:paraId="620A4D22">
            <w:pPr>
              <w:spacing w:line="40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p>
        </w:tc>
        <w:tc>
          <w:tcPr>
            <w:tcW w:w="548" w:type="pct"/>
            <w:vAlign w:val="center"/>
          </w:tcPr>
          <w:p w14:paraId="06723131">
            <w:pPr>
              <w:spacing w:line="400" w:lineRule="exact"/>
              <w:jc w:val="center"/>
              <w:rPr>
                <w:rFonts w:ascii="宋体" w:hAnsi="宋体" w:cs="宋体"/>
                <w:color w:val="000000" w:themeColor="text1"/>
                <w:sz w:val="24"/>
                <w14:textFill>
                  <w14:solidFill>
                    <w14:schemeClr w14:val="tx1"/>
                  </w14:solidFill>
                </w14:textFill>
              </w:rPr>
            </w:pPr>
          </w:p>
        </w:tc>
        <w:tc>
          <w:tcPr>
            <w:tcW w:w="720" w:type="pct"/>
            <w:vAlign w:val="center"/>
          </w:tcPr>
          <w:p w14:paraId="1E3AEFDB">
            <w:pPr>
              <w:spacing w:line="400" w:lineRule="exact"/>
              <w:jc w:val="center"/>
              <w:rPr>
                <w:rFonts w:ascii="宋体" w:hAnsi="宋体" w:cs="宋体"/>
                <w:color w:val="000000" w:themeColor="text1"/>
                <w:sz w:val="24"/>
                <w14:textFill>
                  <w14:solidFill>
                    <w14:schemeClr w14:val="tx1"/>
                  </w14:solidFill>
                </w14:textFill>
              </w:rPr>
            </w:pPr>
          </w:p>
        </w:tc>
        <w:tc>
          <w:tcPr>
            <w:tcW w:w="432" w:type="pct"/>
            <w:vAlign w:val="center"/>
          </w:tcPr>
          <w:p w14:paraId="52DF370B">
            <w:pPr>
              <w:spacing w:line="400" w:lineRule="exact"/>
              <w:jc w:val="center"/>
              <w:rPr>
                <w:rFonts w:ascii="宋体" w:hAnsi="宋体" w:cs="宋体"/>
                <w:b/>
                <w:color w:val="000000" w:themeColor="text1"/>
                <w:sz w:val="24"/>
                <w14:textFill>
                  <w14:solidFill>
                    <w14:schemeClr w14:val="tx1"/>
                  </w14:solidFill>
                </w14:textFill>
              </w:rPr>
            </w:pPr>
          </w:p>
        </w:tc>
        <w:tc>
          <w:tcPr>
            <w:tcW w:w="413" w:type="pct"/>
            <w:vAlign w:val="center"/>
          </w:tcPr>
          <w:p w14:paraId="09BFA586">
            <w:pPr>
              <w:spacing w:line="400" w:lineRule="exact"/>
              <w:jc w:val="center"/>
              <w:rPr>
                <w:rFonts w:ascii="宋体" w:hAnsi="宋体" w:cs="宋体"/>
                <w:color w:val="000000" w:themeColor="text1"/>
                <w:sz w:val="24"/>
                <w14:textFill>
                  <w14:solidFill>
                    <w14:schemeClr w14:val="tx1"/>
                  </w14:solidFill>
                </w14:textFill>
              </w:rPr>
            </w:pPr>
          </w:p>
        </w:tc>
        <w:tc>
          <w:tcPr>
            <w:tcW w:w="604" w:type="pct"/>
            <w:vAlign w:val="center"/>
          </w:tcPr>
          <w:p w14:paraId="5990E04C">
            <w:pPr>
              <w:spacing w:line="400" w:lineRule="exact"/>
              <w:jc w:val="center"/>
              <w:rPr>
                <w:rFonts w:ascii="宋体" w:hAnsi="宋体" w:cs="宋体"/>
                <w:color w:val="000000" w:themeColor="text1"/>
                <w:sz w:val="24"/>
                <w14:textFill>
                  <w14:solidFill>
                    <w14:schemeClr w14:val="tx1"/>
                  </w14:solidFill>
                </w14:textFill>
              </w:rPr>
            </w:pPr>
          </w:p>
        </w:tc>
        <w:tc>
          <w:tcPr>
            <w:tcW w:w="309" w:type="pct"/>
            <w:vAlign w:val="center"/>
          </w:tcPr>
          <w:p w14:paraId="2B67EDFF">
            <w:pPr>
              <w:spacing w:line="400" w:lineRule="exact"/>
              <w:jc w:val="center"/>
              <w:rPr>
                <w:rFonts w:ascii="宋体" w:hAnsi="宋体" w:cs="宋体"/>
                <w:color w:val="000000" w:themeColor="text1"/>
                <w:sz w:val="24"/>
                <w14:textFill>
                  <w14:solidFill>
                    <w14:schemeClr w14:val="tx1"/>
                  </w14:solidFill>
                </w14:textFill>
              </w:rPr>
            </w:pPr>
          </w:p>
        </w:tc>
        <w:tc>
          <w:tcPr>
            <w:tcW w:w="453" w:type="pct"/>
            <w:vAlign w:val="center"/>
          </w:tcPr>
          <w:p w14:paraId="7870A403">
            <w:pPr>
              <w:spacing w:line="400" w:lineRule="exact"/>
              <w:jc w:val="center"/>
              <w:rPr>
                <w:rFonts w:ascii="宋体" w:hAnsi="宋体" w:cs="宋体"/>
                <w:color w:val="000000" w:themeColor="text1"/>
                <w:sz w:val="24"/>
                <w14:textFill>
                  <w14:solidFill>
                    <w14:schemeClr w14:val="tx1"/>
                  </w14:solidFill>
                </w14:textFill>
              </w:rPr>
            </w:pPr>
          </w:p>
        </w:tc>
        <w:tc>
          <w:tcPr>
            <w:tcW w:w="571" w:type="pct"/>
            <w:vAlign w:val="center"/>
          </w:tcPr>
          <w:p w14:paraId="08A06A18">
            <w:pPr>
              <w:spacing w:line="400" w:lineRule="exact"/>
              <w:jc w:val="center"/>
              <w:rPr>
                <w:rFonts w:ascii="宋体" w:hAnsi="宋体" w:cs="宋体"/>
                <w:color w:val="000000" w:themeColor="text1"/>
                <w:sz w:val="24"/>
                <w14:textFill>
                  <w14:solidFill>
                    <w14:schemeClr w14:val="tx1"/>
                  </w14:solidFill>
                </w14:textFill>
              </w:rPr>
            </w:pPr>
          </w:p>
        </w:tc>
        <w:tc>
          <w:tcPr>
            <w:tcW w:w="611" w:type="pct"/>
            <w:vAlign w:val="center"/>
          </w:tcPr>
          <w:p w14:paraId="3B979AA1">
            <w:pPr>
              <w:spacing w:line="400" w:lineRule="exact"/>
              <w:jc w:val="center"/>
              <w:rPr>
                <w:rFonts w:ascii="宋体" w:hAnsi="宋体" w:cs="宋体"/>
                <w:color w:val="000000" w:themeColor="text1"/>
                <w:sz w:val="24"/>
                <w14:textFill>
                  <w14:solidFill>
                    <w14:schemeClr w14:val="tx1"/>
                  </w14:solidFill>
                </w14:textFill>
              </w:rPr>
            </w:pPr>
          </w:p>
        </w:tc>
      </w:tr>
      <w:tr w14:paraId="5DB93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336" w:type="pct"/>
            <w:vAlign w:val="center"/>
          </w:tcPr>
          <w:p w14:paraId="5ED759B3">
            <w:pPr>
              <w:spacing w:line="400" w:lineRule="exact"/>
              <w:jc w:val="center"/>
              <w:rPr>
                <w:rFonts w:hint="eastAsia" w:ascii="宋体" w:hAnsi="宋体" w:cs="宋体"/>
                <w:color w:val="000000" w:themeColor="text1"/>
                <w:sz w:val="24"/>
                <w14:textFill>
                  <w14:solidFill>
                    <w14:schemeClr w14:val="tx1"/>
                  </w14:solidFill>
                </w14:textFill>
              </w:rPr>
            </w:pPr>
          </w:p>
        </w:tc>
        <w:tc>
          <w:tcPr>
            <w:tcW w:w="548" w:type="pct"/>
            <w:vAlign w:val="center"/>
          </w:tcPr>
          <w:p w14:paraId="2B6CF863">
            <w:pPr>
              <w:spacing w:line="400" w:lineRule="exact"/>
              <w:jc w:val="center"/>
              <w:rPr>
                <w:rFonts w:ascii="宋体" w:hAnsi="宋体" w:cs="宋体"/>
                <w:color w:val="000000" w:themeColor="text1"/>
                <w:sz w:val="24"/>
                <w14:textFill>
                  <w14:solidFill>
                    <w14:schemeClr w14:val="tx1"/>
                  </w14:solidFill>
                </w14:textFill>
              </w:rPr>
            </w:pPr>
          </w:p>
        </w:tc>
        <w:tc>
          <w:tcPr>
            <w:tcW w:w="720" w:type="pct"/>
            <w:vAlign w:val="center"/>
          </w:tcPr>
          <w:p w14:paraId="28482024">
            <w:pPr>
              <w:spacing w:line="400" w:lineRule="exact"/>
              <w:jc w:val="center"/>
              <w:rPr>
                <w:rFonts w:ascii="宋体" w:hAnsi="宋体" w:cs="宋体"/>
                <w:color w:val="000000" w:themeColor="text1"/>
                <w:sz w:val="24"/>
                <w14:textFill>
                  <w14:solidFill>
                    <w14:schemeClr w14:val="tx1"/>
                  </w14:solidFill>
                </w14:textFill>
              </w:rPr>
            </w:pPr>
          </w:p>
        </w:tc>
        <w:tc>
          <w:tcPr>
            <w:tcW w:w="432" w:type="pct"/>
            <w:vAlign w:val="center"/>
          </w:tcPr>
          <w:p w14:paraId="33B7A3BC">
            <w:pPr>
              <w:spacing w:line="400" w:lineRule="exact"/>
              <w:jc w:val="center"/>
              <w:rPr>
                <w:rFonts w:ascii="宋体" w:hAnsi="宋体" w:cs="宋体"/>
                <w:b/>
                <w:color w:val="000000" w:themeColor="text1"/>
                <w:sz w:val="24"/>
                <w14:textFill>
                  <w14:solidFill>
                    <w14:schemeClr w14:val="tx1"/>
                  </w14:solidFill>
                </w14:textFill>
              </w:rPr>
            </w:pPr>
          </w:p>
        </w:tc>
        <w:tc>
          <w:tcPr>
            <w:tcW w:w="413" w:type="pct"/>
            <w:vAlign w:val="center"/>
          </w:tcPr>
          <w:p w14:paraId="12003A80">
            <w:pPr>
              <w:spacing w:line="400" w:lineRule="exact"/>
              <w:jc w:val="center"/>
              <w:rPr>
                <w:rFonts w:ascii="宋体" w:hAnsi="宋体" w:cs="宋体"/>
                <w:color w:val="000000" w:themeColor="text1"/>
                <w:sz w:val="24"/>
                <w14:textFill>
                  <w14:solidFill>
                    <w14:schemeClr w14:val="tx1"/>
                  </w14:solidFill>
                </w14:textFill>
              </w:rPr>
            </w:pPr>
          </w:p>
        </w:tc>
        <w:tc>
          <w:tcPr>
            <w:tcW w:w="604" w:type="pct"/>
            <w:vAlign w:val="center"/>
          </w:tcPr>
          <w:p w14:paraId="13BAA673">
            <w:pPr>
              <w:spacing w:line="400" w:lineRule="exact"/>
              <w:jc w:val="center"/>
              <w:rPr>
                <w:rFonts w:ascii="宋体" w:hAnsi="宋体" w:cs="宋体"/>
                <w:color w:val="000000" w:themeColor="text1"/>
                <w:sz w:val="24"/>
                <w14:textFill>
                  <w14:solidFill>
                    <w14:schemeClr w14:val="tx1"/>
                  </w14:solidFill>
                </w14:textFill>
              </w:rPr>
            </w:pPr>
          </w:p>
        </w:tc>
        <w:tc>
          <w:tcPr>
            <w:tcW w:w="309" w:type="pct"/>
            <w:vAlign w:val="center"/>
          </w:tcPr>
          <w:p w14:paraId="14E9A930">
            <w:pPr>
              <w:spacing w:line="400" w:lineRule="exact"/>
              <w:jc w:val="center"/>
              <w:rPr>
                <w:rFonts w:ascii="宋体" w:hAnsi="宋体" w:cs="宋体"/>
                <w:color w:val="000000" w:themeColor="text1"/>
                <w:sz w:val="24"/>
                <w14:textFill>
                  <w14:solidFill>
                    <w14:schemeClr w14:val="tx1"/>
                  </w14:solidFill>
                </w14:textFill>
              </w:rPr>
            </w:pPr>
          </w:p>
        </w:tc>
        <w:tc>
          <w:tcPr>
            <w:tcW w:w="453" w:type="pct"/>
            <w:vAlign w:val="center"/>
          </w:tcPr>
          <w:p w14:paraId="7D452ED9">
            <w:pPr>
              <w:spacing w:line="400" w:lineRule="exact"/>
              <w:jc w:val="center"/>
              <w:rPr>
                <w:rFonts w:ascii="宋体" w:hAnsi="宋体" w:cs="宋体"/>
                <w:color w:val="000000" w:themeColor="text1"/>
                <w:sz w:val="24"/>
                <w14:textFill>
                  <w14:solidFill>
                    <w14:schemeClr w14:val="tx1"/>
                  </w14:solidFill>
                </w14:textFill>
              </w:rPr>
            </w:pPr>
          </w:p>
        </w:tc>
        <w:tc>
          <w:tcPr>
            <w:tcW w:w="571" w:type="pct"/>
            <w:vAlign w:val="center"/>
          </w:tcPr>
          <w:p w14:paraId="025B9EFC">
            <w:pPr>
              <w:spacing w:line="400" w:lineRule="exact"/>
              <w:jc w:val="center"/>
              <w:rPr>
                <w:rFonts w:ascii="宋体" w:hAnsi="宋体" w:cs="宋体"/>
                <w:color w:val="000000" w:themeColor="text1"/>
                <w:sz w:val="24"/>
                <w14:textFill>
                  <w14:solidFill>
                    <w14:schemeClr w14:val="tx1"/>
                  </w14:solidFill>
                </w14:textFill>
              </w:rPr>
            </w:pPr>
          </w:p>
        </w:tc>
        <w:tc>
          <w:tcPr>
            <w:tcW w:w="611" w:type="pct"/>
            <w:vAlign w:val="center"/>
          </w:tcPr>
          <w:p w14:paraId="31D4FA1C">
            <w:pPr>
              <w:spacing w:line="400" w:lineRule="exact"/>
              <w:jc w:val="center"/>
              <w:rPr>
                <w:rFonts w:ascii="宋体" w:hAnsi="宋体" w:cs="宋体"/>
                <w:color w:val="000000" w:themeColor="text1"/>
                <w:sz w:val="24"/>
                <w14:textFill>
                  <w14:solidFill>
                    <w14:schemeClr w14:val="tx1"/>
                  </w14:solidFill>
                </w14:textFill>
              </w:rPr>
            </w:pPr>
          </w:p>
        </w:tc>
      </w:tr>
      <w:tr w14:paraId="1C111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336" w:type="pct"/>
            <w:vAlign w:val="center"/>
          </w:tcPr>
          <w:p w14:paraId="1B12C4A5">
            <w:pPr>
              <w:spacing w:line="400" w:lineRule="exact"/>
              <w:jc w:val="center"/>
              <w:rPr>
                <w:rFonts w:hint="eastAsia" w:ascii="宋体" w:hAnsi="宋体" w:cs="宋体"/>
                <w:color w:val="000000" w:themeColor="text1"/>
                <w:sz w:val="24"/>
                <w14:textFill>
                  <w14:solidFill>
                    <w14:schemeClr w14:val="tx1"/>
                  </w14:solidFill>
                </w14:textFill>
              </w:rPr>
            </w:pPr>
          </w:p>
        </w:tc>
        <w:tc>
          <w:tcPr>
            <w:tcW w:w="548" w:type="pct"/>
            <w:vAlign w:val="center"/>
          </w:tcPr>
          <w:p w14:paraId="56312613">
            <w:pPr>
              <w:spacing w:line="400" w:lineRule="exact"/>
              <w:jc w:val="center"/>
              <w:rPr>
                <w:rFonts w:ascii="宋体" w:hAnsi="宋体" w:cs="宋体"/>
                <w:color w:val="000000" w:themeColor="text1"/>
                <w:sz w:val="24"/>
                <w14:textFill>
                  <w14:solidFill>
                    <w14:schemeClr w14:val="tx1"/>
                  </w14:solidFill>
                </w14:textFill>
              </w:rPr>
            </w:pPr>
          </w:p>
        </w:tc>
        <w:tc>
          <w:tcPr>
            <w:tcW w:w="720" w:type="pct"/>
            <w:vAlign w:val="center"/>
          </w:tcPr>
          <w:p w14:paraId="3EE015D6">
            <w:pPr>
              <w:spacing w:line="400" w:lineRule="exact"/>
              <w:jc w:val="center"/>
              <w:rPr>
                <w:rFonts w:ascii="宋体" w:hAnsi="宋体" w:cs="宋体"/>
                <w:color w:val="000000" w:themeColor="text1"/>
                <w:sz w:val="24"/>
                <w14:textFill>
                  <w14:solidFill>
                    <w14:schemeClr w14:val="tx1"/>
                  </w14:solidFill>
                </w14:textFill>
              </w:rPr>
            </w:pPr>
          </w:p>
        </w:tc>
        <w:tc>
          <w:tcPr>
            <w:tcW w:w="432" w:type="pct"/>
            <w:vAlign w:val="center"/>
          </w:tcPr>
          <w:p w14:paraId="5B18D462">
            <w:pPr>
              <w:spacing w:line="400" w:lineRule="exact"/>
              <w:jc w:val="center"/>
              <w:rPr>
                <w:rFonts w:ascii="宋体" w:hAnsi="宋体" w:cs="宋体"/>
                <w:b/>
                <w:color w:val="000000" w:themeColor="text1"/>
                <w:sz w:val="24"/>
                <w14:textFill>
                  <w14:solidFill>
                    <w14:schemeClr w14:val="tx1"/>
                  </w14:solidFill>
                </w14:textFill>
              </w:rPr>
            </w:pPr>
          </w:p>
        </w:tc>
        <w:tc>
          <w:tcPr>
            <w:tcW w:w="413" w:type="pct"/>
            <w:vAlign w:val="center"/>
          </w:tcPr>
          <w:p w14:paraId="261F6BD2">
            <w:pPr>
              <w:spacing w:line="400" w:lineRule="exact"/>
              <w:jc w:val="center"/>
              <w:rPr>
                <w:rFonts w:ascii="宋体" w:hAnsi="宋体" w:cs="宋体"/>
                <w:color w:val="000000" w:themeColor="text1"/>
                <w:sz w:val="24"/>
                <w14:textFill>
                  <w14:solidFill>
                    <w14:schemeClr w14:val="tx1"/>
                  </w14:solidFill>
                </w14:textFill>
              </w:rPr>
            </w:pPr>
          </w:p>
        </w:tc>
        <w:tc>
          <w:tcPr>
            <w:tcW w:w="604" w:type="pct"/>
            <w:vAlign w:val="center"/>
          </w:tcPr>
          <w:p w14:paraId="08D4C3E2">
            <w:pPr>
              <w:spacing w:line="400" w:lineRule="exact"/>
              <w:jc w:val="center"/>
              <w:rPr>
                <w:rFonts w:ascii="宋体" w:hAnsi="宋体" w:cs="宋体"/>
                <w:color w:val="000000" w:themeColor="text1"/>
                <w:sz w:val="24"/>
                <w14:textFill>
                  <w14:solidFill>
                    <w14:schemeClr w14:val="tx1"/>
                  </w14:solidFill>
                </w14:textFill>
              </w:rPr>
            </w:pPr>
          </w:p>
        </w:tc>
        <w:tc>
          <w:tcPr>
            <w:tcW w:w="309" w:type="pct"/>
            <w:vAlign w:val="center"/>
          </w:tcPr>
          <w:p w14:paraId="050E52E1">
            <w:pPr>
              <w:spacing w:line="400" w:lineRule="exact"/>
              <w:jc w:val="center"/>
              <w:rPr>
                <w:rFonts w:ascii="宋体" w:hAnsi="宋体" w:cs="宋体"/>
                <w:color w:val="000000" w:themeColor="text1"/>
                <w:sz w:val="24"/>
                <w14:textFill>
                  <w14:solidFill>
                    <w14:schemeClr w14:val="tx1"/>
                  </w14:solidFill>
                </w14:textFill>
              </w:rPr>
            </w:pPr>
          </w:p>
        </w:tc>
        <w:tc>
          <w:tcPr>
            <w:tcW w:w="453" w:type="pct"/>
            <w:vAlign w:val="center"/>
          </w:tcPr>
          <w:p w14:paraId="12D9B17A">
            <w:pPr>
              <w:spacing w:line="400" w:lineRule="exact"/>
              <w:jc w:val="center"/>
              <w:rPr>
                <w:rFonts w:ascii="宋体" w:hAnsi="宋体" w:cs="宋体"/>
                <w:color w:val="000000" w:themeColor="text1"/>
                <w:sz w:val="24"/>
                <w14:textFill>
                  <w14:solidFill>
                    <w14:schemeClr w14:val="tx1"/>
                  </w14:solidFill>
                </w14:textFill>
              </w:rPr>
            </w:pPr>
          </w:p>
        </w:tc>
        <w:tc>
          <w:tcPr>
            <w:tcW w:w="571" w:type="pct"/>
            <w:vAlign w:val="center"/>
          </w:tcPr>
          <w:p w14:paraId="6981E710">
            <w:pPr>
              <w:spacing w:line="400" w:lineRule="exact"/>
              <w:jc w:val="center"/>
              <w:rPr>
                <w:rFonts w:ascii="宋体" w:hAnsi="宋体" w:cs="宋体"/>
                <w:color w:val="000000" w:themeColor="text1"/>
                <w:sz w:val="24"/>
                <w14:textFill>
                  <w14:solidFill>
                    <w14:schemeClr w14:val="tx1"/>
                  </w14:solidFill>
                </w14:textFill>
              </w:rPr>
            </w:pPr>
          </w:p>
        </w:tc>
        <w:tc>
          <w:tcPr>
            <w:tcW w:w="611" w:type="pct"/>
            <w:vAlign w:val="center"/>
          </w:tcPr>
          <w:p w14:paraId="536BBE03">
            <w:pPr>
              <w:spacing w:line="400" w:lineRule="exact"/>
              <w:jc w:val="center"/>
              <w:rPr>
                <w:rFonts w:ascii="宋体" w:hAnsi="宋体" w:cs="宋体"/>
                <w:color w:val="000000" w:themeColor="text1"/>
                <w:sz w:val="24"/>
                <w14:textFill>
                  <w14:solidFill>
                    <w14:schemeClr w14:val="tx1"/>
                  </w14:solidFill>
                </w14:textFill>
              </w:rPr>
            </w:pPr>
          </w:p>
        </w:tc>
      </w:tr>
      <w:tr w14:paraId="35C97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336" w:type="pct"/>
            <w:vAlign w:val="center"/>
          </w:tcPr>
          <w:p w14:paraId="64FC35F1">
            <w:pPr>
              <w:spacing w:line="400" w:lineRule="exact"/>
              <w:jc w:val="center"/>
              <w:rPr>
                <w:rFonts w:hint="eastAsia" w:ascii="宋体" w:hAnsi="宋体" w:cs="宋体"/>
                <w:color w:val="000000" w:themeColor="text1"/>
                <w:sz w:val="24"/>
                <w14:textFill>
                  <w14:solidFill>
                    <w14:schemeClr w14:val="tx1"/>
                  </w14:solidFill>
                </w14:textFill>
              </w:rPr>
            </w:pPr>
          </w:p>
        </w:tc>
        <w:tc>
          <w:tcPr>
            <w:tcW w:w="548" w:type="pct"/>
            <w:vAlign w:val="center"/>
          </w:tcPr>
          <w:p w14:paraId="0554118E">
            <w:pPr>
              <w:spacing w:line="400" w:lineRule="exact"/>
              <w:jc w:val="center"/>
              <w:rPr>
                <w:rFonts w:ascii="宋体" w:hAnsi="宋体" w:cs="宋体"/>
                <w:color w:val="000000" w:themeColor="text1"/>
                <w:sz w:val="24"/>
                <w14:textFill>
                  <w14:solidFill>
                    <w14:schemeClr w14:val="tx1"/>
                  </w14:solidFill>
                </w14:textFill>
              </w:rPr>
            </w:pPr>
          </w:p>
        </w:tc>
        <w:tc>
          <w:tcPr>
            <w:tcW w:w="720" w:type="pct"/>
            <w:vAlign w:val="center"/>
          </w:tcPr>
          <w:p w14:paraId="261AB862">
            <w:pPr>
              <w:spacing w:line="400" w:lineRule="exact"/>
              <w:jc w:val="center"/>
              <w:rPr>
                <w:rFonts w:ascii="宋体" w:hAnsi="宋体" w:cs="宋体"/>
                <w:color w:val="000000" w:themeColor="text1"/>
                <w:sz w:val="24"/>
                <w14:textFill>
                  <w14:solidFill>
                    <w14:schemeClr w14:val="tx1"/>
                  </w14:solidFill>
                </w14:textFill>
              </w:rPr>
            </w:pPr>
          </w:p>
        </w:tc>
        <w:tc>
          <w:tcPr>
            <w:tcW w:w="432" w:type="pct"/>
            <w:vAlign w:val="center"/>
          </w:tcPr>
          <w:p w14:paraId="75B442A2">
            <w:pPr>
              <w:spacing w:line="400" w:lineRule="exact"/>
              <w:jc w:val="center"/>
              <w:rPr>
                <w:rFonts w:ascii="宋体" w:hAnsi="宋体" w:cs="宋体"/>
                <w:b/>
                <w:color w:val="000000" w:themeColor="text1"/>
                <w:sz w:val="24"/>
                <w14:textFill>
                  <w14:solidFill>
                    <w14:schemeClr w14:val="tx1"/>
                  </w14:solidFill>
                </w14:textFill>
              </w:rPr>
            </w:pPr>
          </w:p>
        </w:tc>
        <w:tc>
          <w:tcPr>
            <w:tcW w:w="413" w:type="pct"/>
            <w:vAlign w:val="center"/>
          </w:tcPr>
          <w:p w14:paraId="1C2ECECE">
            <w:pPr>
              <w:spacing w:line="400" w:lineRule="exact"/>
              <w:jc w:val="center"/>
              <w:rPr>
                <w:rFonts w:ascii="宋体" w:hAnsi="宋体" w:cs="宋体"/>
                <w:color w:val="000000" w:themeColor="text1"/>
                <w:sz w:val="24"/>
                <w14:textFill>
                  <w14:solidFill>
                    <w14:schemeClr w14:val="tx1"/>
                  </w14:solidFill>
                </w14:textFill>
              </w:rPr>
            </w:pPr>
          </w:p>
        </w:tc>
        <w:tc>
          <w:tcPr>
            <w:tcW w:w="604" w:type="pct"/>
            <w:vAlign w:val="center"/>
          </w:tcPr>
          <w:p w14:paraId="7F28230F">
            <w:pPr>
              <w:spacing w:line="400" w:lineRule="exact"/>
              <w:jc w:val="center"/>
              <w:rPr>
                <w:rFonts w:ascii="宋体" w:hAnsi="宋体" w:cs="宋体"/>
                <w:color w:val="000000" w:themeColor="text1"/>
                <w:sz w:val="24"/>
                <w14:textFill>
                  <w14:solidFill>
                    <w14:schemeClr w14:val="tx1"/>
                  </w14:solidFill>
                </w14:textFill>
              </w:rPr>
            </w:pPr>
          </w:p>
        </w:tc>
        <w:tc>
          <w:tcPr>
            <w:tcW w:w="309" w:type="pct"/>
            <w:vAlign w:val="center"/>
          </w:tcPr>
          <w:p w14:paraId="120F0830">
            <w:pPr>
              <w:spacing w:line="400" w:lineRule="exact"/>
              <w:jc w:val="center"/>
              <w:rPr>
                <w:rFonts w:ascii="宋体" w:hAnsi="宋体" w:cs="宋体"/>
                <w:color w:val="000000" w:themeColor="text1"/>
                <w:sz w:val="24"/>
                <w14:textFill>
                  <w14:solidFill>
                    <w14:schemeClr w14:val="tx1"/>
                  </w14:solidFill>
                </w14:textFill>
              </w:rPr>
            </w:pPr>
          </w:p>
        </w:tc>
        <w:tc>
          <w:tcPr>
            <w:tcW w:w="453" w:type="pct"/>
            <w:vAlign w:val="center"/>
          </w:tcPr>
          <w:p w14:paraId="1E144E13">
            <w:pPr>
              <w:spacing w:line="400" w:lineRule="exact"/>
              <w:jc w:val="center"/>
              <w:rPr>
                <w:rFonts w:ascii="宋体" w:hAnsi="宋体" w:cs="宋体"/>
                <w:color w:val="000000" w:themeColor="text1"/>
                <w:sz w:val="24"/>
                <w14:textFill>
                  <w14:solidFill>
                    <w14:schemeClr w14:val="tx1"/>
                  </w14:solidFill>
                </w14:textFill>
              </w:rPr>
            </w:pPr>
          </w:p>
        </w:tc>
        <w:tc>
          <w:tcPr>
            <w:tcW w:w="571" w:type="pct"/>
            <w:vAlign w:val="center"/>
          </w:tcPr>
          <w:p w14:paraId="16E7D07E">
            <w:pPr>
              <w:spacing w:line="400" w:lineRule="exact"/>
              <w:jc w:val="center"/>
              <w:rPr>
                <w:rFonts w:ascii="宋体" w:hAnsi="宋体" w:cs="宋体"/>
                <w:color w:val="000000" w:themeColor="text1"/>
                <w:sz w:val="24"/>
                <w14:textFill>
                  <w14:solidFill>
                    <w14:schemeClr w14:val="tx1"/>
                  </w14:solidFill>
                </w14:textFill>
              </w:rPr>
            </w:pPr>
          </w:p>
        </w:tc>
        <w:tc>
          <w:tcPr>
            <w:tcW w:w="611" w:type="pct"/>
            <w:vAlign w:val="center"/>
          </w:tcPr>
          <w:p w14:paraId="55F67CCC">
            <w:pPr>
              <w:spacing w:line="400" w:lineRule="exact"/>
              <w:jc w:val="center"/>
              <w:rPr>
                <w:rFonts w:ascii="宋体" w:hAnsi="宋体" w:cs="宋体"/>
                <w:color w:val="000000" w:themeColor="text1"/>
                <w:sz w:val="24"/>
                <w14:textFill>
                  <w14:solidFill>
                    <w14:schemeClr w14:val="tx1"/>
                  </w14:solidFill>
                </w14:textFill>
              </w:rPr>
            </w:pPr>
          </w:p>
        </w:tc>
      </w:tr>
    </w:tbl>
    <w:p w14:paraId="251CFAB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注：</w:t>
      </w:r>
    </w:p>
    <w:p w14:paraId="5216F44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1.如果按单价计算的结果与总价不一致,以单价为准修正总价。</w:t>
      </w:r>
    </w:p>
    <w:p w14:paraId="6B07A54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2.如果不提供详细分项报价将视为没有实质性响应招标文件。</w:t>
      </w:r>
    </w:p>
    <w:p w14:paraId="614FDAF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3.本分项报价表如填写不下，可另页描述。</w:t>
      </w:r>
    </w:p>
    <w:p w14:paraId="4B510613">
      <w:pPr>
        <w:spacing w:line="500" w:lineRule="exact"/>
        <w:jc w:val="left"/>
        <w:rPr>
          <w:rFonts w:asciiTheme="minorEastAsia" w:hAnsiTheme="minorEastAsia" w:eastAsiaTheme="minorEastAsia"/>
          <w:color w:val="000000" w:themeColor="text1"/>
          <w:sz w:val="24"/>
          <w14:textFill>
            <w14:solidFill>
              <w14:schemeClr w14:val="tx1"/>
            </w14:solidFill>
          </w14:textFill>
        </w:rPr>
      </w:pPr>
    </w:p>
    <w:p w14:paraId="6CE1E7F6">
      <w:pPr>
        <w:spacing w:line="480" w:lineRule="auto"/>
        <w:ind w:firstLine="2640" w:firstLineChars="1100"/>
        <w:rPr>
          <w:rFonts w:ascii="宋体" w:hAns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投标人：</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w:t>
      </w:r>
      <w:r>
        <w:rPr>
          <w:rFonts w:hint="eastAsia" w:ascii="宋体" w:hAnsi="宋体"/>
          <w:iCs/>
          <w:color w:val="000000" w:themeColor="text1"/>
          <w:sz w:val="24"/>
          <w14:textFill>
            <w14:solidFill>
              <w14:schemeClr w14:val="tx1"/>
            </w14:solidFill>
          </w14:textFill>
        </w:rPr>
        <w:t>盖单位公章</w:t>
      </w:r>
      <w:r>
        <w:rPr>
          <w:rFonts w:hint="eastAsia" w:ascii="宋体" w:hAnsi="宋体" w:cs="宋体"/>
          <w:color w:val="000000" w:themeColor="text1"/>
          <w:sz w:val="24"/>
          <w14:textFill>
            <w14:solidFill>
              <w14:schemeClr w14:val="tx1"/>
            </w14:solidFill>
          </w14:textFill>
        </w:rPr>
        <w:t>）</w:t>
      </w:r>
    </w:p>
    <w:p w14:paraId="6D816867">
      <w:pPr>
        <w:spacing w:line="480" w:lineRule="auto"/>
        <w:ind w:firstLine="2640" w:firstLineChars="1100"/>
        <w:rPr>
          <w:rFonts w:ascii="宋体" w:hAns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法定代表人或</w:t>
      </w:r>
      <w:r>
        <w:rPr>
          <w:rFonts w:hint="eastAsia" w:ascii="宋体" w:hAnsi="宋体" w:cs="宋体"/>
          <w:color w:val="000000" w:themeColor="text1"/>
          <w:sz w:val="24"/>
          <w:lang w:val="en-US" w:eastAsia="zh-CN"/>
          <w14:textFill>
            <w14:solidFill>
              <w14:schemeClr w14:val="tx1"/>
            </w14:solidFill>
          </w14:textFill>
        </w:rPr>
        <w:t>委托代</w:t>
      </w:r>
      <w:r>
        <w:rPr>
          <w:rFonts w:hint="eastAsia" w:ascii="宋体" w:hAnsi="宋体" w:cs="宋体"/>
          <w:color w:val="000000" w:themeColor="text1"/>
          <w:sz w:val="24"/>
          <w14:textFill>
            <w14:solidFill>
              <w14:schemeClr w14:val="tx1"/>
            </w14:solidFill>
          </w14:textFill>
        </w:rPr>
        <w:t>理人：</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（签字或盖章）</w:t>
      </w:r>
    </w:p>
    <w:bookmarkEnd w:id="153"/>
    <w:bookmarkEnd w:id="154"/>
    <w:bookmarkEnd w:id="157"/>
    <w:bookmarkEnd w:id="164"/>
    <w:bookmarkEnd w:id="166"/>
    <w:p w14:paraId="4F63E1C2">
      <w:pPr>
        <w:pStyle w:val="29"/>
        <w:spacing w:line="480" w:lineRule="auto"/>
        <w:ind w:firstLine="2640" w:firstLineChars="1100"/>
        <w:rPr>
          <w:rFonts w:hint="eastAsia" w:ascii="宋体" w:hAnsi="宋体"/>
          <w:iCs/>
          <w:color w:val="000000" w:themeColor="text1"/>
          <w:sz w:val="24"/>
          <w14:textFill>
            <w14:solidFill>
              <w14:schemeClr w14:val="tx1"/>
            </w14:solidFill>
          </w14:textFill>
        </w:rPr>
      </w:pPr>
      <w:r>
        <w:rPr>
          <w:rFonts w:hint="eastAsia" w:ascii="宋体" w:hAnsi="宋体"/>
          <w:iCs/>
          <w:color w:val="000000" w:themeColor="text1"/>
          <w:sz w:val="24"/>
          <w14:textFill>
            <w14:solidFill>
              <w14:schemeClr w14:val="tx1"/>
            </w14:solidFill>
          </w14:textFill>
        </w:rPr>
        <w:t>日  期：</w:t>
      </w:r>
      <w:r>
        <w:rPr>
          <w:rFonts w:hint="eastAsia" w:ascii="宋体" w:hAnsi="宋体"/>
          <w:iCs/>
          <w:color w:val="000000" w:themeColor="text1"/>
          <w:sz w:val="24"/>
          <w:u w:val="single"/>
          <w14:textFill>
            <w14:solidFill>
              <w14:schemeClr w14:val="tx1"/>
            </w14:solidFill>
          </w14:textFill>
        </w:rPr>
        <w:t xml:space="preserve">       </w:t>
      </w:r>
      <w:r>
        <w:rPr>
          <w:rFonts w:hint="eastAsia" w:ascii="宋体" w:hAnsi="宋体"/>
          <w:iCs/>
          <w:color w:val="000000" w:themeColor="text1"/>
          <w:sz w:val="24"/>
          <w14:textFill>
            <w14:solidFill>
              <w14:schemeClr w14:val="tx1"/>
            </w14:solidFill>
          </w14:textFill>
        </w:rPr>
        <w:t>年</w:t>
      </w:r>
      <w:r>
        <w:rPr>
          <w:rFonts w:hint="eastAsia" w:ascii="宋体" w:hAnsi="宋体"/>
          <w:iCs/>
          <w:color w:val="000000" w:themeColor="text1"/>
          <w:sz w:val="24"/>
          <w:u w:val="single"/>
          <w14:textFill>
            <w14:solidFill>
              <w14:schemeClr w14:val="tx1"/>
            </w14:solidFill>
          </w14:textFill>
        </w:rPr>
        <w:t xml:space="preserve">       </w:t>
      </w:r>
      <w:r>
        <w:rPr>
          <w:rFonts w:hint="eastAsia" w:ascii="宋体" w:hAnsi="宋体"/>
          <w:iCs/>
          <w:color w:val="000000" w:themeColor="text1"/>
          <w:sz w:val="24"/>
          <w14:textFill>
            <w14:solidFill>
              <w14:schemeClr w14:val="tx1"/>
            </w14:solidFill>
          </w14:textFill>
        </w:rPr>
        <w:t>月</w:t>
      </w:r>
      <w:r>
        <w:rPr>
          <w:rFonts w:hint="eastAsia" w:ascii="宋体" w:hAnsi="宋体"/>
          <w:iCs/>
          <w:color w:val="000000" w:themeColor="text1"/>
          <w:sz w:val="24"/>
          <w:u w:val="single"/>
          <w14:textFill>
            <w14:solidFill>
              <w14:schemeClr w14:val="tx1"/>
            </w14:solidFill>
          </w14:textFill>
        </w:rPr>
        <w:t xml:space="preserve">       </w:t>
      </w:r>
      <w:r>
        <w:rPr>
          <w:rFonts w:hint="eastAsia" w:ascii="宋体" w:hAnsi="宋体"/>
          <w:iCs/>
          <w:color w:val="000000" w:themeColor="text1"/>
          <w:sz w:val="24"/>
          <w14:textFill>
            <w14:solidFill>
              <w14:schemeClr w14:val="tx1"/>
            </w14:solidFill>
          </w14:textFill>
        </w:rPr>
        <w:t>日</w:t>
      </w:r>
    </w:p>
    <w:p w14:paraId="2D07BC32">
      <w:pPr>
        <w:rPr>
          <w:rFonts w:hint="eastAsia" w:ascii="宋体" w:hAnsi="宋体"/>
          <w:iCs/>
          <w:color w:val="000000" w:themeColor="text1"/>
          <w:sz w:val="24"/>
          <w14:textFill>
            <w14:solidFill>
              <w14:schemeClr w14:val="tx1"/>
            </w14:solidFill>
          </w14:textFill>
        </w:rPr>
      </w:pPr>
      <w:r>
        <w:rPr>
          <w:rFonts w:hint="eastAsia" w:ascii="宋体" w:hAnsi="宋体"/>
          <w:iCs/>
          <w:color w:val="000000" w:themeColor="text1"/>
          <w:sz w:val="24"/>
          <w14:textFill>
            <w14:solidFill>
              <w14:schemeClr w14:val="tx1"/>
            </w14:solidFill>
          </w14:textFill>
        </w:rPr>
        <w:br w:type="page"/>
      </w:r>
    </w:p>
    <w:p w14:paraId="524561C5">
      <w:pPr>
        <w:pStyle w:val="3"/>
        <w:bidi w:val="0"/>
      </w:pPr>
      <w:bookmarkStart w:id="175" w:name="_Toc18997"/>
      <w:r>
        <w:rPr>
          <w:rFonts w:hint="eastAsia"/>
        </w:rPr>
        <w:t>格式五、法定代表人身份证明</w:t>
      </w:r>
      <w:bookmarkEnd w:id="175"/>
    </w:p>
    <w:p w14:paraId="57F06212">
      <w:pPr>
        <w:spacing w:line="440" w:lineRule="exact"/>
        <w:rPr>
          <w:rFonts w:ascii="宋体" w:hAnsi="宋体" w:cs="宋体"/>
          <w:color w:val="000000" w:themeColor="text1"/>
          <w:szCs w:val="21"/>
          <w14:textFill>
            <w14:solidFill>
              <w14:schemeClr w14:val="tx1"/>
            </w14:solidFill>
          </w14:textFill>
        </w:rPr>
      </w:pPr>
    </w:p>
    <w:p w14:paraId="04F2344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ascii="宋体" w:hAnsi="宋体" w:cs="宋体"/>
          <w:color w:val="000000" w:themeColor="text1"/>
          <w:kern w:val="0"/>
          <w:sz w:val="24"/>
          <w:u w:val="single"/>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投标人名称：</w:t>
      </w:r>
      <w:r>
        <w:rPr>
          <w:rFonts w:hint="eastAsia" w:ascii="宋体" w:hAnsi="宋体" w:cs="宋体"/>
          <w:color w:val="000000" w:themeColor="text1"/>
          <w:kern w:val="0"/>
          <w:sz w:val="24"/>
          <w:u w:val="single"/>
          <w14:textFill>
            <w14:solidFill>
              <w14:schemeClr w14:val="tx1"/>
            </w14:solidFill>
          </w14:textFill>
        </w:rPr>
        <w:t xml:space="preserve">                             </w:t>
      </w:r>
    </w:p>
    <w:p w14:paraId="1B2576A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单位性质：</w:t>
      </w:r>
      <w:r>
        <w:rPr>
          <w:rFonts w:hint="eastAsia" w:ascii="宋体" w:hAnsi="宋体" w:cs="宋体"/>
          <w:color w:val="000000" w:themeColor="text1"/>
          <w:kern w:val="0"/>
          <w:sz w:val="24"/>
          <w:u w:val="single"/>
          <w14:textFill>
            <w14:solidFill>
              <w14:schemeClr w14:val="tx1"/>
            </w14:solidFill>
          </w14:textFill>
        </w:rPr>
        <w:t xml:space="preserve">                               </w:t>
      </w:r>
      <w:r>
        <w:rPr>
          <w:rFonts w:hint="eastAsia" w:ascii="宋体" w:hAnsi="宋体" w:cs="宋体"/>
          <w:color w:val="000000" w:themeColor="text1"/>
          <w:kern w:val="0"/>
          <w:sz w:val="24"/>
          <w14:textFill>
            <w14:solidFill>
              <w14:schemeClr w14:val="tx1"/>
            </w14:solidFill>
          </w14:textFill>
        </w:rPr>
        <w:t xml:space="preserve"> </w:t>
      </w:r>
    </w:p>
    <w:p w14:paraId="218B965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ascii="宋体" w:hAnsi="宋体" w:cs="宋体"/>
          <w:color w:val="000000" w:themeColor="text1"/>
          <w:kern w:val="0"/>
          <w:sz w:val="24"/>
          <w:u w:val="single"/>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地    址：</w:t>
      </w:r>
      <w:r>
        <w:rPr>
          <w:rFonts w:hint="eastAsia" w:ascii="宋体" w:hAnsi="宋体" w:cs="宋体"/>
          <w:color w:val="000000" w:themeColor="text1"/>
          <w:kern w:val="0"/>
          <w:sz w:val="24"/>
          <w:u w:val="single"/>
          <w14:textFill>
            <w14:solidFill>
              <w14:schemeClr w14:val="tx1"/>
            </w14:solidFill>
          </w14:textFill>
        </w:rPr>
        <w:t xml:space="preserve">                                   </w:t>
      </w:r>
    </w:p>
    <w:p w14:paraId="5487449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ascii="宋体" w:hAnsi="宋体" w:cs="宋体"/>
          <w:color w:val="000000" w:themeColor="text1"/>
          <w:kern w:val="0"/>
          <w:sz w:val="24"/>
          <w:u w:val="single"/>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成立时间： </w:t>
      </w:r>
      <w:r>
        <w:rPr>
          <w:rFonts w:hint="eastAsia" w:ascii="宋体" w:hAnsi="宋体" w:cs="宋体"/>
          <w:color w:val="000000" w:themeColor="text1"/>
          <w:kern w:val="0"/>
          <w:sz w:val="24"/>
          <w:u w:val="single"/>
          <w14:textFill>
            <w14:solidFill>
              <w14:schemeClr w14:val="tx1"/>
            </w14:solidFill>
          </w14:textFill>
        </w:rPr>
        <w:t xml:space="preserve">         年        月        日</w:t>
      </w:r>
    </w:p>
    <w:p w14:paraId="6AFAFCD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ascii="宋体" w:hAnsi="宋体" w:cs="宋体"/>
          <w:color w:val="000000" w:themeColor="text1"/>
          <w:kern w:val="0"/>
          <w:sz w:val="24"/>
          <w:u w:val="single"/>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经营期限：</w:t>
      </w:r>
      <w:r>
        <w:rPr>
          <w:rFonts w:hint="eastAsia" w:ascii="宋体" w:hAnsi="宋体" w:cs="宋体"/>
          <w:color w:val="000000" w:themeColor="text1"/>
          <w:kern w:val="0"/>
          <w:sz w:val="24"/>
          <w:u w:val="single"/>
          <w14:textFill>
            <w14:solidFill>
              <w14:schemeClr w14:val="tx1"/>
            </w14:solidFill>
          </w14:textFill>
        </w:rPr>
        <w:t xml:space="preserve">                               </w:t>
      </w:r>
    </w:p>
    <w:p w14:paraId="24BA5F1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ascii="宋体" w:hAnsi="宋体" w:cs="宋体"/>
          <w:color w:val="000000" w:themeColor="text1"/>
          <w:kern w:val="0"/>
          <w:sz w:val="24"/>
          <w:u w:val="single"/>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姓名：</w:t>
      </w:r>
      <w:r>
        <w:rPr>
          <w:rFonts w:hint="eastAsia" w:ascii="宋体" w:hAnsi="宋体" w:cs="宋体"/>
          <w:color w:val="000000" w:themeColor="text1"/>
          <w:kern w:val="0"/>
          <w:sz w:val="24"/>
          <w:u w:val="single"/>
          <w14:textFill>
            <w14:solidFill>
              <w14:schemeClr w14:val="tx1"/>
            </w14:solidFill>
          </w14:textFill>
        </w:rPr>
        <w:t xml:space="preserve">          </w:t>
      </w:r>
      <w:r>
        <w:rPr>
          <w:rFonts w:hint="eastAsia" w:ascii="宋体" w:hAnsi="宋体" w:cs="宋体"/>
          <w:color w:val="000000" w:themeColor="text1"/>
          <w:kern w:val="0"/>
          <w:sz w:val="24"/>
          <w14:textFill>
            <w14:solidFill>
              <w14:schemeClr w14:val="tx1"/>
            </w14:solidFill>
          </w14:textFill>
        </w:rPr>
        <w:t>性别：</w:t>
      </w:r>
      <w:r>
        <w:rPr>
          <w:rFonts w:hint="eastAsia" w:ascii="宋体" w:hAnsi="宋体" w:cs="宋体"/>
          <w:color w:val="000000" w:themeColor="text1"/>
          <w:kern w:val="0"/>
          <w:sz w:val="24"/>
          <w:u w:val="single"/>
          <w14:textFill>
            <w14:solidFill>
              <w14:schemeClr w14:val="tx1"/>
            </w14:solidFill>
          </w14:textFill>
        </w:rPr>
        <w:t xml:space="preserve">         </w:t>
      </w:r>
      <w:r>
        <w:rPr>
          <w:rFonts w:hint="eastAsia" w:ascii="宋体" w:hAnsi="宋体" w:cs="宋体"/>
          <w:color w:val="000000" w:themeColor="text1"/>
          <w:kern w:val="0"/>
          <w:sz w:val="24"/>
          <w14:textFill>
            <w14:solidFill>
              <w14:schemeClr w14:val="tx1"/>
            </w14:solidFill>
          </w14:textFill>
        </w:rPr>
        <w:t>年龄：</w:t>
      </w:r>
      <w:r>
        <w:rPr>
          <w:rFonts w:hint="eastAsia" w:ascii="宋体" w:hAnsi="宋体" w:cs="宋体"/>
          <w:color w:val="000000" w:themeColor="text1"/>
          <w:kern w:val="0"/>
          <w:sz w:val="24"/>
          <w:u w:val="single"/>
          <w14:textFill>
            <w14:solidFill>
              <w14:schemeClr w14:val="tx1"/>
            </w14:solidFill>
          </w14:textFill>
        </w:rPr>
        <w:t xml:space="preserve">        </w:t>
      </w:r>
      <w:r>
        <w:rPr>
          <w:rFonts w:hint="eastAsia" w:ascii="宋体" w:hAnsi="宋体" w:cs="宋体"/>
          <w:color w:val="000000" w:themeColor="text1"/>
          <w:kern w:val="0"/>
          <w:sz w:val="24"/>
          <w14:textFill>
            <w14:solidFill>
              <w14:schemeClr w14:val="tx1"/>
            </w14:solidFill>
          </w14:textFill>
        </w:rPr>
        <w:t>职务：</w:t>
      </w:r>
      <w:r>
        <w:rPr>
          <w:rFonts w:hint="eastAsia" w:ascii="宋体" w:hAnsi="宋体" w:cs="宋体"/>
          <w:color w:val="000000" w:themeColor="text1"/>
          <w:kern w:val="0"/>
          <w:sz w:val="24"/>
          <w:u w:val="single"/>
          <w14:textFill>
            <w14:solidFill>
              <w14:schemeClr w14:val="tx1"/>
            </w14:solidFill>
          </w14:textFill>
        </w:rPr>
        <w:t xml:space="preserve">        </w:t>
      </w:r>
    </w:p>
    <w:p w14:paraId="1B14106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系 </w:t>
      </w:r>
      <w:r>
        <w:rPr>
          <w:rFonts w:hint="eastAsia" w:ascii="宋体" w:hAnsi="宋体" w:cs="宋体"/>
          <w:color w:val="000000" w:themeColor="text1"/>
          <w:kern w:val="0"/>
          <w:sz w:val="24"/>
          <w:u w:val="single"/>
          <w14:textFill>
            <w14:solidFill>
              <w14:schemeClr w14:val="tx1"/>
            </w14:solidFill>
          </w14:textFill>
        </w:rPr>
        <w:t xml:space="preserve">                             </w:t>
      </w:r>
      <w:r>
        <w:rPr>
          <w:rFonts w:hint="eastAsia" w:ascii="宋体" w:hAnsi="宋体" w:cs="宋体"/>
          <w:color w:val="000000" w:themeColor="text1"/>
          <w:kern w:val="0"/>
          <w:sz w:val="24"/>
          <w14:textFill>
            <w14:solidFill>
              <w14:schemeClr w14:val="tx1"/>
            </w14:solidFill>
          </w14:textFill>
        </w:rPr>
        <w:t>（投标人名称）的法定代表人。</w:t>
      </w:r>
    </w:p>
    <w:p w14:paraId="51A9501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特此证明。</w:t>
      </w:r>
    </w:p>
    <w:p w14:paraId="6C41AEA8">
      <w:pPr>
        <w:spacing w:line="440" w:lineRule="exact"/>
        <w:rPr>
          <w:rFonts w:ascii="宋体" w:hAnsi="宋体" w:cs="宋体"/>
          <w:color w:val="000000" w:themeColor="text1"/>
          <w:sz w:val="24"/>
          <w14:textFill>
            <w14:solidFill>
              <w14:schemeClr w14:val="tx1"/>
            </w14:solidFill>
          </w14:textFill>
        </w:rPr>
      </w:pPr>
    </w:p>
    <w:p w14:paraId="4E273A84">
      <w:pPr>
        <w:spacing w:line="440" w:lineRule="exact"/>
        <w:rPr>
          <w:rFonts w:ascii="宋体" w:hAns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-3810</wp:posOffset>
                </wp:positionH>
                <wp:positionV relativeFrom="paragraph">
                  <wp:posOffset>160655</wp:posOffset>
                </wp:positionV>
                <wp:extent cx="2571750" cy="1476375"/>
                <wp:effectExtent l="0" t="0" r="19050" b="28575"/>
                <wp:wrapNone/>
                <wp:docPr id="6" name="圆角矩形 6"/>
                <wp:cNvGraphicFramePr/>
                <a:graphic xmlns:a="http://schemas.openxmlformats.org/drawingml/2006/main">
                  <a:graphicData uri="http://schemas.microsoft.com/office/word/2010/wordprocessingShape">
                    <wps:wsp>
                      <wps:cNvSpPr/>
                      <wps:spPr>
                        <a:xfrm>
                          <a:off x="0" y="0"/>
                          <a:ext cx="2571750" cy="1476375"/>
                        </a:xfrm>
                        <a:prstGeom prst="roundRect">
                          <a:avLst>
                            <a:gd name="adj" fmla="val 16667"/>
                          </a:avLst>
                        </a:prstGeom>
                        <a:solidFill>
                          <a:srgbClr val="FFFFFF"/>
                        </a:solidFill>
                        <a:ln w="9525" cap="flat" cmpd="sng">
                          <a:solidFill>
                            <a:srgbClr val="0D0D0D"/>
                          </a:solidFill>
                          <a:prstDash val="dash"/>
                          <a:headEnd type="none" w="med" len="med"/>
                          <a:tailEnd type="none" w="med" len="med"/>
                        </a:ln>
                      </wps:spPr>
                      <wps:txbx>
                        <w:txbxContent>
                          <w:p w14:paraId="70E2EEA9">
                            <w:pPr>
                              <w:jc w:val="center"/>
                            </w:pPr>
                          </w:p>
                          <w:p w14:paraId="6E9FD824">
                            <w:pPr>
                              <w:jc w:val="center"/>
                            </w:pPr>
                          </w:p>
                          <w:p w14:paraId="0F32B83D">
                            <w:pPr>
                              <w:spacing w:line="360" w:lineRule="exact"/>
                              <w:jc w:val="center"/>
                              <w:rPr>
                                <w:rFonts w:ascii="宋体" w:hAnsi="宋体"/>
                                <w:sz w:val="24"/>
                              </w:rPr>
                            </w:pPr>
                            <w:r>
                              <w:rPr>
                                <w:rFonts w:hint="eastAsia" w:ascii="宋体" w:hAnsi="宋体"/>
                                <w:sz w:val="24"/>
                              </w:rPr>
                              <w:t>法定代表人身份证扫描件</w:t>
                            </w:r>
                          </w:p>
                          <w:p w14:paraId="373C453B">
                            <w:pPr>
                              <w:jc w:val="center"/>
                              <w:rPr>
                                <w:rFonts w:ascii="宋体" w:hAnsi="宋体" w:cs="宋体"/>
                                <w:kern w:val="0"/>
                                <w:sz w:val="24"/>
                              </w:rPr>
                            </w:pPr>
                            <w:r>
                              <w:rPr>
                                <w:rFonts w:hint="eastAsia" w:ascii="宋体" w:hAnsi="宋体"/>
                                <w:sz w:val="24"/>
                              </w:rPr>
                              <w:t>正面</w:t>
                            </w:r>
                          </w:p>
                        </w:txbxContent>
                      </wps:txbx>
                      <wps:bodyPr upright="1"/>
                    </wps:wsp>
                  </a:graphicData>
                </a:graphic>
              </wp:anchor>
            </w:drawing>
          </mc:Choice>
          <mc:Fallback>
            <w:pict>
              <v:roundrect id="_x0000_s1026" o:spid="_x0000_s1026" o:spt="2" style="position:absolute;left:0pt;margin-left:-0.3pt;margin-top:12.65pt;height:116.25pt;width:202.5pt;z-index:251660288;mso-width-relative:page;mso-height-relative:page;" fillcolor="#FFFFFF" filled="t" stroked="t" coordsize="21600,21600" arcsize="0.166666666666667" o:gfxdata="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Hay&#10;2A3XAAAACAEAAA8AAAAAAAAAAQAgAAAAIgAAAGRycy9kb3ducmV2LnhtbFBLAQIUABQAAAAIAIdO&#10;4kCKlovmJAIAAFYEAAAOAAAAAAAAAAEAIAAAACYBAABkcnMvZTJvRG9jLnhtbFBLBQYAAAAABgAG&#10;AFkBAAC8BQAAAAA=&#10;">
                <v:fill on="t" focussize="0,0"/>
                <v:stroke color="#0D0D0D" joinstyle="round" dashstyle="dash"/>
                <v:imagedata o:title=""/>
                <o:lock v:ext="edit" aspectratio="f"/>
                <v:textbox>
                  <w:txbxContent>
                    <w:p w14:paraId="70E2EEA9">
                      <w:pPr>
                        <w:jc w:val="center"/>
                      </w:pPr>
                    </w:p>
                    <w:p w14:paraId="6E9FD824">
                      <w:pPr>
                        <w:jc w:val="center"/>
                      </w:pPr>
                    </w:p>
                    <w:p w14:paraId="0F32B83D">
                      <w:pPr>
                        <w:spacing w:line="360" w:lineRule="exact"/>
                        <w:jc w:val="center"/>
                        <w:rPr>
                          <w:rFonts w:ascii="宋体" w:hAnsi="宋体"/>
                          <w:sz w:val="24"/>
                        </w:rPr>
                      </w:pPr>
                      <w:r>
                        <w:rPr>
                          <w:rFonts w:hint="eastAsia" w:ascii="宋体" w:hAnsi="宋体"/>
                          <w:sz w:val="24"/>
                        </w:rPr>
                        <w:t>法定代表人身份证扫描件</w:t>
                      </w:r>
                    </w:p>
                    <w:p w14:paraId="373C453B">
                      <w:pPr>
                        <w:jc w:val="center"/>
                        <w:rPr>
                          <w:rFonts w:ascii="宋体" w:hAnsi="宋体" w:cs="宋体"/>
                          <w:kern w:val="0"/>
                          <w:sz w:val="24"/>
                        </w:rPr>
                      </w:pPr>
                      <w:r>
                        <w:rPr>
                          <w:rFonts w:hint="eastAsia" w:ascii="宋体" w:hAnsi="宋体"/>
                          <w:sz w:val="24"/>
                        </w:rPr>
                        <w:t>正面</w:t>
                      </w:r>
                    </w:p>
                  </w:txbxContent>
                </v:textbox>
              </v:roundrect>
            </w:pict>
          </mc:Fallback>
        </mc:AlternateContent>
      </w:r>
      <w:r>
        <w:rPr>
          <w:rFonts w:ascii="宋体" w:hAnsi="宋体" w:cs="宋体"/>
          <w:color w:val="000000" w:themeColor="text1"/>
          <w:sz w:val="24"/>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2872740</wp:posOffset>
                </wp:positionH>
                <wp:positionV relativeFrom="paragraph">
                  <wp:posOffset>132080</wp:posOffset>
                </wp:positionV>
                <wp:extent cx="2571750" cy="1476375"/>
                <wp:effectExtent l="0" t="0" r="19050" b="28575"/>
                <wp:wrapNone/>
                <wp:docPr id="3" name="圆角矩形 3"/>
                <wp:cNvGraphicFramePr/>
                <a:graphic xmlns:a="http://schemas.openxmlformats.org/drawingml/2006/main">
                  <a:graphicData uri="http://schemas.microsoft.com/office/word/2010/wordprocessingShape">
                    <wps:wsp>
                      <wps:cNvSpPr/>
                      <wps:spPr>
                        <a:xfrm>
                          <a:off x="0" y="0"/>
                          <a:ext cx="2571750" cy="1476375"/>
                        </a:xfrm>
                        <a:prstGeom prst="roundRect">
                          <a:avLst>
                            <a:gd name="adj" fmla="val 16667"/>
                          </a:avLst>
                        </a:prstGeom>
                        <a:solidFill>
                          <a:srgbClr val="FFFFFF"/>
                        </a:solidFill>
                        <a:ln w="9525" cap="flat" cmpd="sng">
                          <a:solidFill>
                            <a:srgbClr val="000000"/>
                          </a:solidFill>
                          <a:prstDash val="dash"/>
                          <a:headEnd type="none" w="med" len="med"/>
                          <a:tailEnd type="none" w="med" len="med"/>
                        </a:ln>
                      </wps:spPr>
                      <wps:txbx>
                        <w:txbxContent>
                          <w:p w14:paraId="76D4C736"/>
                          <w:p w14:paraId="19BE23BB"/>
                          <w:p w14:paraId="5D592390">
                            <w:pPr>
                              <w:spacing w:line="360" w:lineRule="exact"/>
                              <w:jc w:val="center"/>
                              <w:rPr>
                                <w:rFonts w:ascii="宋体" w:hAnsi="宋体"/>
                                <w:sz w:val="24"/>
                              </w:rPr>
                            </w:pPr>
                            <w:r>
                              <w:rPr>
                                <w:rFonts w:hint="eastAsia" w:ascii="宋体" w:hAnsi="宋体"/>
                                <w:sz w:val="24"/>
                              </w:rPr>
                              <w:t>法定代表人身份证扫描件</w:t>
                            </w:r>
                          </w:p>
                          <w:p w14:paraId="57965D4B">
                            <w:pPr>
                              <w:jc w:val="center"/>
                            </w:pPr>
                            <w:r>
                              <w:rPr>
                                <w:rFonts w:hint="eastAsia" w:ascii="宋体" w:hAnsi="宋体"/>
                                <w:sz w:val="24"/>
                              </w:rPr>
                              <w:t>反面</w:t>
                            </w:r>
                          </w:p>
                          <w:p w14:paraId="63D6BBF7">
                            <w:pPr>
                              <w:spacing w:line="440" w:lineRule="exact"/>
                              <w:jc w:val="left"/>
                              <w:rPr>
                                <w:rFonts w:ascii="宋体" w:hAnsi="宋体" w:cs="宋体"/>
                                <w:kern w:val="0"/>
                                <w:sz w:val="24"/>
                              </w:rPr>
                            </w:pPr>
                          </w:p>
                        </w:txbxContent>
                      </wps:txbx>
                      <wps:bodyPr upright="1"/>
                    </wps:wsp>
                  </a:graphicData>
                </a:graphic>
              </wp:anchor>
            </w:drawing>
          </mc:Choice>
          <mc:Fallback>
            <w:pict>
              <v:roundrect id="_x0000_s1026" o:spid="_x0000_s1026" o:spt="2" style="position:absolute;left:0pt;margin-left:226.2pt;margin-top:10.4pt;height:116.25pt;width:202.5pt;z-index:251661312;mso-width-relative:page;mso-height-relative:page;" fillcolor="#FFFFFF" filled="t" stroked="t" coordsize="21600,21600" arcsize="0.166666666666667" o:gfxdata="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z&#10;qhDg2QAAAAoBAAAPAAAAAAAAAAEAIAAAACIAAABkcnMvZG93bnJldi54bWxQSwECFAAUAAAACACH&#10;TuJA4aLP9SMCAABWBAAADgAAAAAAAAABACAAAAAoAQAAZHJzL2Uyb0RvYy54bWxQSwUGAAAAAAYA&#10;BgBZAQAAvQUAAAAA&#10;">
                <v:fill on="t" focussize="0,0"/>
                <v:stroke color="#000000" joinstyle="round" dashstyle="dash"/>
                <v:imagedata o:title=""/>
                <o:lock v:ext="edit" aspectratio="f"/>
                <v:textbox>
                  <w:txbxContent>
                    <w:p w14:paraId="76D4C736"/>
                    <w:p w14:paraId="19BE23BB"/>
                    <w:p w14:paraId="5D592390">
                      <w:pPr>
                        <w:spacing w:line="360" w:lineRule="exact"/>
                        <w:jc w:val="center"/>
                        <w:rPr>
                          <w:rFonts w:ascii="宋体" w:hAnsi="宋体"/>
                          <w:sz w:val="24"/>
                        </w:rPr>
                      </w:pPr>
                      <w:r>
                        <w:rPr>
                          <w:rFonts w:hint="eastAsia" w:ascii="宋体" w:hAnsi="宋体"/>
                          <w:sz w:val="24"/>
                        </w:rPr>
                        <w:t>法定代表人身份证扫描件</w:t>
                      </w:r>
                    </w:p>
                    <w:p w14:paraId="57965D4B">
                      <w:pPr>
                        <w:jc w:val="center"/>
                      </w:pPr>
                      <w:r>
                        <w:rPr>
                          <w:rFonts w:hint="eastAsia" w:ascii="宋体" w:hAnsi="宋体"/>
                          <w:sz w:val="24"/>
                        </w:rPr>
                        <w:t>反面</w:t>
                      </w:r>
                    </w:p>
                    <w:p w14:paraId="63D6BBF7">
                      <w:pPr>
                        <w:spacing w:line="440" w:lineRule="exact"/>
                        <w:jc w:val="left"/>
                        <w:rPr>
                          <w:rFonts w:ascii="宋体" w:hAnsi="宋体" w:cs="宋体"/>
                          <w:kern w:val="0"/>
                          <w:sz w:val="24"/>
                        </w:rPr>
                      </w:pPr>
                    </w:p>
                  </w:txbxContent>
                </v:textbox>
              </v:roundrect>
            </w:pict>
          </mc:Fallback>
        </mc:AlternateContent>
      </w:r>
    </w:p>
    <w:p w14:paraId="297F1D42">
      <w:pPr>
        <w:spacing w:line="500" w:lineRule="exact"/>
        <w:rPr>
          <w:rFonts w:ascii="宋体" w:hAnsi="宋体" w:cs="宋体"/>
          <w:color w:val="000000" w:themeColor="text1"/>
          <w:sz w:val="24"/>
          <w14:textFill>
            <w14:solidFill>
              <w14:schemeClr w14:val="tx1"/>
            </w14:solidFill>
          </w14:textFill>
        </w:rPr>
      </w:pPr>
    </w:p>
    <w:p w14:paraId="522CDB86">
      <w:pPr>
        <w:spacing w:line="500" w:lineRule="exact"/>
        <w:rPr>
          <w:rFonts w:ascii="宋体" w:hAnsi="宋体" w:cs="宋体"/>
          <w:color w:val="000000" w:themeColor="text1"/>
          <w:sz w:val="24"/>
          <w14:textFill>
            <w14:solidFill>
              <w14:schemeClr w14:val="tx1"/>
            </w14:solidFill>
          </w14:textFill>
        </w:rPr>
      </w:pPr>
    </w:p>
    <w:p w14:paraId="4F88ED56">
      <w:pPr>
        <w:spacing w:line="500" w:lineRule="exact"/>
        <w:rPr>
          <w:rFonts w:ascii="宋体" w:hAnsi="宋体" w:cs="宋体"/>
          <w:color w:val="000000" w:themeColor="text1"/>
          <w:sz w:val="24"/>
          <w14:textFill>
            <w14:solidFill>
              <w14:schemeClr w14:val="tx1"/>
            </w14:solidFill>
          </w14:textFill>
        </w:rPr>
      </w:pPr>
    </w:p>
    <w:p w14:paraId="755F99AB">
      <w:pPr>
        <w:wordWrap w:val="0"/>
        <w:spacing w:line="500" w:lineRule="exact"/>
        <w:jc w:val="right"/>
        <w:rPr>
          <w:rFonts w:ascii="宋体" w:hAnsi="宋体" w:cs="宋体"/>
          <w:color w:val="000000" w:themeColor="text1"/>
          <w:sz w:val="24"/>
          <w14:textFill>
            <w14:solidFill>
              <w14:schemeClr w14:val="tx1"/>
            </w14:solidFill>
          </w14:textFill>
        </w:rPr>
      </w:pPr>
    </w:p>
    <w:p w14:paraId="53C58F48">
      <w:pPr>
        <w:spacing w:line="440" w:lineRule="exact"/>
        <w:rPr>
          <w:rFonts w:ascii="宋体" w:hAnsi="宋体" w:cs="宋体"/>
          <w:color w:val="000000" w:themeColor="text1"/>
          <w:sz w:val="24"/>
          <w14:textFill>
            <w14:solidFill>
              <w14:schemeClr w14:val="tx1"/>
            </w14:solidFill>
          </w14:textFill>
        </w:rPr>
      </w:pPr>
    </w:p>
    <w:p w14:paraId="1B140C2A">
      <w:pPr>
        <w:spacing w:line="440" w:lineRule="exact"/>
        <w:rPr>
          <w:rFonts w:ascii="宋体" w:hAnsi="宋体" w:cs="宋体"/>
          <w:color w:val="000000" w:themeColor="text1"/>
          <w:sz w:val="24"/>
          <w14:textFill>
            <w14:solidFill>
              <w14:schemeClr w14:val="tx1"/>
            </w14:solidFill>
          </w14:textFill>
        </w:rPr>
      </w:pPr>
    </w:p>
    <w:p w14:paraId="36997936">
      <w:pPr>
        <w:spacing w:line="440" w:lineRule="exact"/>
        <w:ind w:left="0" w:leftChars="0" w:firstLine="1898" w:firstLineChars="791"/>
        <w:jc w:val="both"/>
        <w:rPr>
          <w:rFonts w:ascii="宋体" w:hAnsi="宋体" w:cs="宋体"/>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投标人：</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w:t>
      </w:r>
      <w:r>
        <w:rPr>
          <w:rFonts w:hint="eastAsia" w:ascii="宋体" w:hAnsi="宋体"/>
          <w:iCs/>
          <w:color w:val="000000" w:themeColor="text1"/>
          <w:sz w:val="24"/>
          <w14:textFill>
            <w14:solidFill>
              <w14:schemeClr w14:val="tx1"/>
            </w14:solidFill>
          </w14:textFill>
        </w:rPr>
        <w:t>盖单位公章</w:t>
      </w:r>
      <w:r>
        <w:rPr>
          <w:rFonts w:hint="eastAsia" w:ascii="宋体" w:hAnsi="宋体" w:cs="宋体"/>
          <w:color w:val="000000" w:themeColor="text1"/>
          <w:sz w:val="24"/>
          <w14:textFill>
            <w14:solidFill>
              <w14:schemeClr w14:val="tx1"/>
            </w14:solidFill>
          </w14:textFill>
        </w:rPr>
        <w:t>）</w:t>
      </w:r>
    </w:p>
    <w:p w14:paraId="280EFF14">
      <w:pPr>
        <w:spacing w:line="440" w:lineRule="exact"/>
        <w:ind w:left="0" w:leftChars="0" w:firstLine="1898" w:firstLineChars="791"/>
        <w:rPr>
          <w:rFonts w:ascii="宋体" w:hAnsi="宋体" w:cs="宋体"/>
          <w:color w:val="000000" w:themeColor="text1"/>
          <w:sz w:val="24"/>
          <w14:textFill>
            <w14:solidFill>
              <w14:schemeClr w14:val="tx1"/>
            </w14:solidFill>
          </w14:textFill>
        </w:rPr>
      </w:pPr>
    </w:p>
    <w:p w14:paraId="5808201C">
      <w:pPr>
        <w:ind w:left="0" w:leftChars="0" w:firstLine="1898" w:firstLineChars="791"/>
        <w:rPr>
          <w:rFonts w:eastAsia="黑体"/>
          <w:color w:val="000000" w:themeColor="text1"/>
          <w:sz w:val="28"/>
          <w14:textFill>
            <w14:solidFill>
              <w14:schemeClr w14:val="tx1"/>
            </w14:solidFill>
          </w14:textFill>
        </w:rPr>
      </w:pPr>
      <w:r>
        <w:rPr>
          <w:rFonts w:hint="eastAsia" w:ascii="宋体" w:hAnsi="宋体"/>
          <w:iCs/>
          <w:color w:val="000000" w:themeColor="text1"/>
          <w:sz w:val="24"/>
          <w14:textFill>
            <w14:solidFill>
              <w14:schemeClr w14:val="tx1"/>
            </w14:solidFill>
          </w14:textFill>
        </w:rPr>
        <w:t>日  期：</w:t>
      </w:r>
      <w:r>
        <w:rPr>
          <w:rFonts w:hint="eastAsia" w:ascii="宋体" w:hAnsi="宋体"/>
          <w:iCs/>
          <w:color w:val="000000" w:themeColor="text1"/>
          <w:sz w:val="24"/>
          <w:u w:val="single"/>
          <w14:textFill>
            <w14:solidFill>
              <w14:schemeClr w14:val="tx1"/>
            </w14:solidFill>
          </w14:textFill>
        </w:rPr>
        <w:t xml:space="preserve">       </w:t>
      </w:r>
      <w:r>
        <w:rPr>
          <w:rFonts w:hint="eastAsia" w:ascii="宋体" w:hAnsi="宋体"/>
          <w:iCs/>
          <w:color w:val="000000" w:themeColor="text1"/>
          <w:sz w:val="24"/>
          <w14:textFill>
            <w14:solidFill>
              <w14:schemeClr w14:val="tx1"/>
            </w14:solidFill>
          </w14:textFill>
        </w:rPr>
        <w:t>年</w:t>
      </w:r>
      <w:r>
        <w:rPr>
          <w:rFonts w:hint="eastAsia" w:ascii="宋体" w:hAnsi="宋体"/>
          <w:iCs/>
          <w:color w:val="000000" w:themeColor="text1"/>
          <w:sz w:val="24"/>
          <w:u w:val="single"/>
          <w14:textFill>
            <w14:solidFill>
              <w14:schemeClr w14:val="tx1"/>
            </w14:solidFill>
          </w14:textFill>
        </w:rPr>
        <w:t xml:space="preserve">       </w:t>
      </w:r>
      <w:r>
        <w:rPr>
          <w:rFonts w:hint="eastAsia" w:ascii="宋体" w:hAnsi="宋体"/>
          <w:iCs/>
          <w:color w:val="000000" w:themeColor="text1"/>
          <w:sz w:val="24"/>
          <w14:textFill>
            <w14:solidFill>
              <w14:schemeClr w14:val="tx1"/>
            </w14:solidFill>
          </w14:textFill>
        </w:rPr>
        <w:t>月</w:t>
      </w:r>
      <w:r>
        <w:rPr>
          <w:rFonts w:hint="eastAsia" w:ascii="宋体" w:hAnsi="宋体"/>
          <w:iCs/>
          <w:color w:val="000000" w:themeColor="text1"/>
          <w:sz w:val="24"/>
          <w:u w:val="single"/>
          <w14:textFill>
            <w14:solidFill>
              <w14:schemeClr w14:val="tx1"/>
            </w14:solidFill>
          </w14:textFill>
        </w:rPr>
        <w:t xml:space="preserve">       </w:t>
      </w:r>
      <w:r>
        <w:rPr>
          <w:rFonts w:hint="eastAsia" w:ascii="宋体" w:hAnsi="宋体"/>
          <w:iCs/>
          <w:color w:val="000000" w:themeColor="text1"/>
          <w:sz w:val="24"/>
          <w14:textFill>
            <w14:solidFill>
              <w14:schemeClr w14:val="tx1"/>
            </w14:solidFill>
          </w14:textFill>
        </w:rPr>
        <w:t>日</w:t>
      </w:r>
      <w:r>
        <w:rPr>
          <w:rFonts w:hint="eastAsia" w:ascii="宋体" w:hAnsi="宋体" w:cs="宋体"/>
          <w:color w:val="000000" w:themeColor="text1"/>
          <w:szCs w:val="21"/>
          <w14:textFill>
            <w14:solidFill>
              <w14:schemeClr w14:val="tx1"/>
            </w14:solidFill>
          </w14:textFill>
        </w:rPr>
        <w:t xml:space="preserve"> </w:t>
      </w:r>
    </w:p>
    <w:p w14:paraId="7B595470">
      <w:pPr>
        <w:pStyle w:val="3"/>
        <w:bidi w:val="0"/>
        <w:rPr>
          <w:rFonts w:ascii="宋体" w:hAnsi="宋体"/>
          <w:bCs/>
          <w:color w:val="000000" w:themeColor="text1"/>
          <w:sz w:val="52"/>
          <w14:textFill>
            <w14:solidFill>
              <w14:schemeClr w14:val="tx1"/>
            </w14:solidFill>
          </w14:textFill>
        </w:rPr>
      </w:pPr>
      <w:bookmarkStart w:id="176" w:name="_Toc496690850"/>
      <w:bookmarkStart w:id="177" w:name="_Toc59528768"/>
      <w:bookmarkStart w:id="178" w:name="_Toc30147"/>
      <w:r>
        <w:rPr>
          <w:color w:val="000000" w:themeColor="text1"/>
          <w14:textFill>
            <w14:solidFill>
              <w14:schemeClr w14:val="tx1"/>
            </w14:solidFill>
          </w14:textFill>
        </w:rPr>
        <w:br w:type="page"/>
      </w:r>
      <w:bookmarkStart w:id="179" w:name="_Toc25598"/>
      <w:bookmarkStart w:id="180" w:name="_Toc16952"/>
      <w:r>
        <w:rPr>
          <w:rFonts w:hint="eastAsia"/>
        </w:rPr>
        <w:t>格式六、授权委托书</w:t>
      </w:r>
      <w:bookmarkEnd w:id="179"/>
      <w:bookmarkEnd w:id="180"/>
    </w:p>
    <w:p w14:paraId="10473309">
      <w:pPr>
        <w:spacing w:line="480" w:lineRule="exact"/>
        <w:ind w:firstLine="840" w:firstLineChars="300"/>
        <w:rPr>
          <w:color w:val="000000" w:themeColor="text1"/>
          <w:sz w:val="28"/>
          <w14:textFill>
            <w14:solidFill>
              <w14:schemeClr w14:val="tx1"/>
            </w14:solidFill>
          </w14:textFill>
        </w:rPr>
      </w:pPr>
    </w:p>
    <w:p w14:paraId="31999CF4">
      <w:pPr>
        <w:spacing w:line="500" w:lineRule="exact"/>
        <w:ind w:firstLine="480" w:firstLineChars="200"/>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本人</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（姓名）系</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投标人名称）的法定代表人，现委托</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（姓名）为我方代理人。参加</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（项目名称）的招标。代理人根据授权，以我方名义签署、澄清确认、递交、撤回、修改招标项目</w:t>
      </w:r>
      <w:r>
        <w:rPr>
          <w:rFonts w:hint="eastAsia" w:ascii="宋体" w:hAnsi="宋体" w:cs="宋体"/>
          <w:color w:val="000000" w:themeColor="text1"/>
          <w:sz w:val="24"/>
          <w:lang w:eastAsia="zh-CN"/>
          <w14:textFill>
            <w14:solidFill>
              <w14:schemeClr w14:val="tx1"/>
            </w14:solidFill>
          </w14:textFill>
        </w:rPr>
        <w:t>投标文件</w:t>
      </w:r>
      <w:r>
        <w:rPr>
          <w:rFonts w:hint="eastAsia" w:ascii="宋体" w:hAnsi="宋体" w:cs="宋体"/>
          <w:color w:val="000000" w:themeColor="text1"/>
          <w:sz w:val="24"/>
          <w14:textFill>
            <w14:solidFill>
              <w14:schemeClr w14:val="tx1"/>
            </w14:solidFill>
          </w14:textFill>
        </w:rPr>
        <w:t>、签订合同和处理有关事宜，其法律后果由我方承担。</w:t>
      </w:r>
    </w:p>
    <w:p w14:paraId="4EB0D910">
      <w:pPr>
        <w:spacing w:line="500" w:lineRule="exact"/>
        <w:ind w:firstLine="480" w:firstLineChars="200"/>
        <w:jc w:val="left"/>
        <w:rPr>
          <w:rFonts w:ascii="宋体" w:hAnsi="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委托期限：</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w:t>
      </w:r>
    </w:p>
    <w:p w14:paraId="504C2D9D">
      <w:pPr>
        <w:spacing w:line="480" w:lineRule="exact"/>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代理人无权转委托，特此委托。</w:t>
      </w:r>
    </w:p>
    <w:p w14:paraId="661667A1">
      <w:pPr>
        <w:spacing w:line="440" w:lineRule="exact"/>
        <w:rPr>
          <w:rFonts w:ascii="宋体" w:hAns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mc:AlternateContent>
          <mc:Choice Requires="wps">
            <w:drawing>
              <wp:anchor distT="0" distB="0" distL="114300" distR="114300" simplePos="0" relativeHeight="251664384" behindDoc="0" locked="0" layoutInCell="1" allowOverlap="1">
                <wp:simplePos x="0" y="0"/>
                <wp:positionH relativeFrom="column">
                  <wp:posOffset>199390</wp:posOffset>
                </wp:positionH>
                <wp:positionV relativeFrom="paragraph">
                  <wp:posOffset>74930</wp:posOffset>
                </wp:positionV>
                <wp:extent cx="2571750" cy="1476375"/>
                <wp:effectExtent l="4445" t="4445" r="14605" b="5080"/>
                <wp:wrapNone/>
                <wp:docPr id="20" name="圆角矩形 20"/>
                <wp:cNvGraphicFramePr/>
                <a:graphic xmlns:a="http://schemas.openxmlformats.org/drawingml/2006/main">
                  <a:graphicData uri="http://schemas.microsoft.com/office/word/2010/wordprocessingShape">
                    <wps:wsp>
                      <wps:cNvSpPr/>
                      <wps:spPr>
                        <a:xfrm>
                          <a:off x="0" y="0"/>
                          <a:ext cx="2571750" cy="1476375"/>
                        </a:xfrm>
                        <a:prstGeom prst="roundRect">
                          <a:avLst>
                            <a:gd name="adj" fmla="val 16667"/>
                          </a:avLst>
                        </a:prstGeom>
                        <a:solidFill>
                          <a:srgbClr val="FFFFFF"/>
                        </a:solidFill>
                        <a:ln w="9525" cap="flat" cmpd="sng">
                          <a:solidFill>
                            <a:srgbClr val="0D0D0D"/>
                          </a:solidFill>
                          <a:prstDash val="dash"/>
                          <a:headEnd type="none" w="med" len="med"/>
                          <a:tailEnd type="none" w="med" len="med"/>
                        </a:ln>
                      </wps:spPr>
                      <wps:txbx>
                        <w:txbxContent>
                          <w:p w14:paraId="26CD0204">
                            <w:pPr>
                              <w:jc w:val="center"/>
                            </w:pPr>
                          </w:p>
                          <w:p w14:paraId="69F7CD8D">
                            <w:pPr>
                              <w:jc w:val="center"/>
                            </w:pPr>
                          </w:p>
                          <w:p w14:paraId="78A1A376">
                            <w:pPr>
                              <w:spacing w:line="360" w:lineRule="exact"/>
                              <w:jc w:val="center"/>
                              <w:rPr>
                                <w:rFonts w:ascii="宋体" w:hAnsi="宋体"/>
                                <w:sz w:val="24"/>
                              </w:rPr>
                            </w:pPr>
                            <w:r>
                              <w:rPr>
                                <w:rFonts w:hint="eastAsia" w:ascii="宋体" w:hAnsi="宋体"/>
                                <w:sz w:val="24"/>
                              </w:rPr>
                              <w:t>法定代表人身份证扫描件</w:t>
                            </w:r>
                          </w:p>
                          <w:p w14:paraId="4B1EB234">
                            <w:pPr>
                              <w:jc w:val="center"/>
                              <w:rPr>
                                <w:rFonts w:ascii="宋体" w:hAnsi="宋体" w:cs="宋体"/>
                                <w:kern w:val="0"/>
                                <w:sz w:val="24"/>
                              </w:rPr>
                            </w:pPr>
                            <w:r>
                              <w:rPr>
                                <w:rFonts w:hint="eastAsia" w:ascii="宋体" w:hAnsi="宋体"/>
                                <w:sz w:val="24"/>
                              </w:rPr>
                              <w:t>正面</w:t>
                            </w:r>
                          </w:p>
                        </w:txbxContent>
                      </wps:txbx>
                      <wps:bodyPr upright="1"/>
                    </wps:wsp>
                  </a:graphicData>
                </a:graphic>
              </wp:anchor>
            </w:drawing>
          </mc:Choice>
          <mc:Fallback>
            <w:pict>
              <v:roundrect id="_x0000_s1026" o:spid="_x0000_s1026" o:spt="2" style="position:absolute;left:0pt;margin-left:15.7pt;margin-top:5.9pt;height:116.25pt;width:202.5pt;z-index:251664384;mso-width-relative:page;mso-height-relative:page;" fillcolor="#FFFFFF" filled="t" stroked="t" coordsize="21600,21600" arcsize="0.166666666666667" o:gfxdata="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MAM&#10;KVnWAAAACQEAAA8AAAAAAAAAAQAgAAAAIgAAAGRycy9kb3ducmV2LnhtbFBLAQIUABQAAAAIAIdO&#10;4kDuorMIJQIAAFgEAAAOAAAAAAAAAAEAIAAAACUBAABkcnMvZTJvRG9jLnhtbFBLBQYAAAAABgAG&#10;AFkBAAC8BQAAAAA=&#10;">
                <v:fill on="t" focussize="0,0"/>
                <v:stroke color="#0D0D0D" joinstyle="round" dashstyle="dash"/>
                <v:imagedata o:title=""/>
                <o:lock v:ext="edit" aspectratio="f"/>
                <v:textbox>
                  <w:txbxContent>
                    <w:p w14:paraId="26CD0204">
                      <w:pPr>
                        <w:jc w:val="center"/>
                      </w:pPr>
                    </w:p>
                    <w:p w14:paraId="69F7CD8D">
                      <w:pPr>
                        <w:jc w:val="center"/>
                      </w:pPr>
                    </w:p>
                    <w:p w14:paraId="78A1A376">
                      <w:pPr>
                        <w:spacing w:line="360" w:lineRule="exact"/>
                        <w:jc w:val="center"/>
                        <w:rPr>
                          <w:rFonts w:ascii="宋体" w:hAnsi="宋体"/>
                          <w:sz w:val="24"/>
                        </w:rPr>
                      </w:pPr>
                      <w:r>
                        <w:rPr>
                          <w:rFonts w:hint="eastAsia" w:ascii="宋体" w:hAnsi="宋体"/>
                          <w:sz w:val="24"/>
                        </w:rPr>
                        <w:t>法定代表人身份证扫描件</w:t>
                      </w:r>
                    </w:p>
                    <w:p w14:paraId="4B1EB234">
                      <w:pPr>
                        <w:jc w:val="center"/>
                        <w:rPr>
                          <w:rFonts w:ascii="宋体" w:hAnsi="宋体" w:cs="宋体"/>
                          <w:kern w:val="0"/>
                          <w:sz w:val="24"/>
                        </w:rPr>
                      </w:pPr>
                      <w:r>
                        <w:rPr>
                          <w:rFonts w:hint="eastAsia" w:ascii="宋体" w:hAnsi="宋体"/>
                          <w:sz w:val="24"/>
                        </w:rPr>
                        <w:t>正面</w:t>
                      </w:r>
                    </w:p>
                  </w:txbxContent>
                </v:textbox>
              </v:roundrect>
            </w:pict>
          </mc:Fallback>
        </mc:AlternateContent>
      </w:r>
      <w:r>
        <w:rPr>
          <w:rFonts w:ascii="宋体" w:hAnsi="宋体" w:cs="宋体"/>
          <w:color w:val="000000" w:themeColor="text1"/>
          <w:sz w:val="24"/>
          <w14:textFill>
            <w14:solidFill>
              <w14:schemeClr w14:val="tx1"/>
            </w14:solidFill>
          </w14:textFill>
        </w:rPr>
        <mc:AlternateContent>
          <mc:Choice Requires="wps">
            <w:drawing>
              <wp:anchor distT="0" distB="0" distL="114300" distR="114300" simplePos="0" relativeHeight="251665408" behindDoc="0" locked="0" layoutInCell="1" allowOverlap="1">
                <wp:simplePos x="0" y="0"/>
                <wp:positionH relativeFrom="column">
                  <wp:posOffset>3009900</wp:posOffset>
                </wp:positionH>
                <wp:positionV relativeFrom="paragraph">
                  <wp:posOffset>84455</wp:posOffset>
                </wp:positionV>
                <wp:extent cx="2571750" cy="1476375"/>
                <wp:effectExtent l="4445" t="4445" r="14605" b="5080"/>
                <wp:wrapNone/>
                <wp:docPr id="19" name="圆角矩形 19"/>
                <wp:cNvGraphicFramePr/>
                <a:graphic xmlns:a="http://schemas.openxmlformats.org/drawingml/2006/main">
                  <a:graphicData uri="http://schemas.microsoft.com/office/word/2010/wordprocessingShape">
                    <wps:wsp>
                      <wps:cNvSpPr/>
                      <wps:spPr>
                        <a:xfrm>
                          <a:off x="0" y="0"/>
                          <a:ext cx="2571750" cy="1476375"/>
                        </a:xfrm>
                        <a:prstGeom prst="roundRect">
                          <a:avLst>
                            <a:gd name="adj" fmla="val 16667"/>
                          </a:avLst>
                        </a:prstGeom>
                        <a:solidFill>
                          <a:srgbClr val="FFFFFF"/>
                        </a:solidFill>
                        <a:ln w="9525" cap="flat" cmpd="sng">
                          <a:solidFill>
                            <a:srgbClr val="000000"/>
                          </a:solidFill>
                          <a:prstDash val="dash"/>
                          <a:headEnd type="none" w="med" len="med"/>
                          <a:tailEnd type="none" w="med" len="med"/>
                        </a:ln>
                      </wps:spPr>
                      <wps:txbx>
                        <w:txbxContent>
                          <w:p w14:paraId="2D876AEF"/>
                          <w:p w14:paraId="4E880371"/>
                          <w:p w14:paraId="72BACAA8">
                            <w:pPr>
                              <w:spacing w:line="360" w:lineRule="exact"/>
                              <w:jc w:val="center"/>
                              <w:rPr>
                                <w:rFonts w:ascii="宋体" w:hAnsi="宋体"/>
                                <w:sz w:val="24"/>
                              </w:rPr>
                            </w:pPr>
                            <w:r>
                              <w:rPr>
                                <w:rFonts w:hint="eastAsia" w:ascii="宋体" w:hAnsi="宋体"/>
                                <w:sz w:val="24"/>
                              </w:rPr>
                              <w:t>法定代表人身份证扫描件</w:t>
                            </w:r>
                          </w:p>
                          <w:p w14:paraId="684211FC">
                            <w:pPr>
                              <w:jc w:val="center"/>
                            </w:pPr>
                            <w:r>
                              <w:rPr>
                                <w:rFonts w:hint="eastAsia" w:ascii="宋体" w:hAnsi="宋体"/>
                                <w:sz w:val="24"/>
                              </w:rPr>
                              <w:t>反面</w:t>
                            </w:r>
                          </w:p>
                          <w:p w14:paraId="7902E004">
                            <w:pPr>
                              <w:spacing w:line="440" w:lineRule="exact"/>
                              <w:jc w:val="left"/>
                              <w:rPr>
                                <w:rFonts w:ascii="宋体" w:hAnsi="宋体" w:cs="宋体"/>
                                <w:kern w:val="0"/>
                                <w:sz w:val="24"/>
                              </w:rPr>
                            </w:pPr>
                          </w:p>
                        </w:txbxContent>
                      </wps:txbx>
                      <wps:bodyPr upright="1"/>
                    </wps:wsp>
                  </a:graphicData>
                </a:graphic>
              </wp:anchor>
            </w:drawing>
          </mc:Choice>
          <mc:Fallback>
            <w:pict>
              <v:roundrect id="_x0000_s1026" o:spid="_x0000_s1026" o:spt="2" style="position:absolute;left:0pt;margin-left:237pt;margin-top:6.65pt;height:116.25pt;width:202.5pt;z-index:251665408;mso-width-relative:page;mso-height-relative:page;" fillcolor="#FFFFFF" filled="t" stroked="t" coordsize="21600,21600" arcsize="0.166666666666667" o:gfxdata="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bZPzi2gAAAAoBAAAPAAAAAAAAAAEAIAAAACIAAABkcnMvZG93bnJldi54bWxQSwECFAAUAAAA&#10;CACHTuJA+lYMriUCAABYBAAADgAAAAAAAAABACAAAAApAQAAZHJzL2Uyb0RvYy54bWxQSwUGAAAA&#10;AAYABgBZAQAAwAUAAAAA&#10;">
                <v:fill on="t" focussize="0,0"/>
                <v:stroke color="#000000" joinstyle="round" dashstyle="dash"/>
                <v:imagedata o:title=""/>
                <o:lock v:ext="edit" aspectratio="f"/>
                <v:textbox>
                  <w:txbxContent>
                    <w:p w14:paraId="2D876AEF"/>
                    <w:p w14:paraId="4E880371"/>
                    <w:p w14:paraId="72BACAA8">
                      <w:pPr>
                        <w:spacing w:line="360" w:lineRule="exact"/>
                        <w:jc w:val="center"/>
                        <w:rPr>
                          <w:rFonts w:ascii="宋体" w:hAnsi="宋体"/>
                          <w:sz w:val="24"/>
                        </w:rPr>
                      </w:pPr>
                      <w:r>
                        <w:rPr>
                          <w:rFonts w:hint="eastAsia" w:ascii="宋体" w:hAnsi="宋体"/>
                          <w:sz w:val="24"/>
                        </w:rPr>
                        <w:t>法定代表人身份证扫描件</w:t>
                      </w:r>
                    </w:p>
                    <w:p w14:paraId="684211FC">
                      <w:pPr>
                        <w:jc w:val="center"/>
                      </w:pPr>
                      <w:r>
                        <w:rPr>
                          <w:rFonts w:hint="eastAsia" w:ascii="宋体" w:hAnsi="宋体"/>
                          <w:sz w:val="24"/>
                        </w:rPr>
                        <w:t>反面</w:t>
                      </w:r>
                    </w:p>
                    <w:p w14:paraId="7902E004">
                      <w:pPr>
                        <w:spacing w:line="440" w:lineRule="exact"/>
                        <w:jc w:val="left"/>
                        <w:rPr>
                          <w:rFonts w:ascii="宋体" w:hAnsi="宋体" w:cs="宋体"/>
                          <w:kern w:val="0"/>
                          <w:sz w:val="24"/>
                        </w:rPr>
                      </w:pPr>
                    </w:p>
                  </w:txbxContent>
                </v:textbox>
              </v:roundrect>
            </w:pict>
          </mc:Fallback>
        </mc:AlternateContent>
      </w:r>
    </w:p>
    <w:p w14:paraId="0234242C">
      <w:pPr>
        <w:spacing w:line="500" w:lineRule="exact"/>
        <w:rPr>
          <w:rFonts w:ascii="宋体" w:hAnsi="宋体" w:cs="宋体"/>
          <w:color w:val="000000" w:themeColor="text1"/>
          <w:sz w:val="24"/>
          <w14:textFill>
            <w14:solidFill>
              <w14:schemeClr w14:val="tx1"/>
            </w14:solidFill>
          </w14:textFill>
        </w:rPr>
      </w:pPr>
    </w:p>
    <w:p w14:paraId="5BB8C4CF">
      <w:pPr>
        <w:spacing w:line="500" w:lineRule="exact"/>
        <w:rPr>
          <w:rFonts w:ascii="宋体" w:hAnsi="宋体" w:cs="宋体"/>
          <w:color w:val="000000" w:themeColor="text1"/>
          <w:sz w:val="24"/>
          <w14:textFill>
            <w14:solidFill>
              <w14:schemeClr w14:val="tx1"/>
            </w14:solidFill>
          </w14:textFill>
        </w:rPr>
      </w:pPr>
    </w:p>
    <w:p w14:paraId="50373481">
      <w:pPr>
        <w:spacing w:line="500" w:lineRule="exact"/>
        <w:rPr>
          <w:rFonts w:ascii="宋体" w:hAnsi="宋体" w:cs="宋体"/>
          <w:color w:val="000000" w:themeColor="text1"/>
          <w:sz w:val="24"/>
          <w14:textFill>
            <w14:solidFill>
              <w14:schemeClr w14:val="tx1"/>
            </w14:solidFill>
          </w14:textFill>
        </w:rPr>
      </w:pPr>
    </w:p>
    <w:p w14:paraId="38B43187">
      <w:pPr>
        <w:spacing w:line="440" w:lineRule="exact"/>
        <w:rPr>
          <w:rFonts w:ascii="宋体" w:hAnsi="宋体" w:cs="宋体"/>
          <w:color w:val="000000" w:themeColor="text1"/>
          <w:sz w:val="24"/>
          <w14:textFill>
            <w14:solidFill>
              <w14:schemeClr w14:val="tx1"/>
            </w14:solidFill>
          </w14:textFill>
        </w:rPr>
      </w:pPr>
    </w:p>
    <w:p w14:paraId="080CE5B0">
      <w:pPr>
        <w:spacing w:line="440" w:lineRule="exact"/>
        <w:rPr>
          <w:rFonts w:ascii="宋体" w:hAns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column">
                  <wp:posOffset>208915</wp:posOffset>
                </wp:positionH>
                <wp:positionV relativeFrom="paragraph">
                  <wp:posOffset>140335</wp:posOffset>
                </wp:positionV>
                <wp:extent cx="2571750" cy="1476375"/>
                <wp:effectExtent l="4445" t="4445" r="14605" b="5080"/>
                <wp:wrapNone/>
                <wp:docPr id="18" name="圆角矩形 18"/>
                <wp:cNvGraphicFramePr/>
                <a:graphic xmlns:a="http://schemas.openxmlformats.org/drawingml/2006/main">
                  <a:graphicData uri="http://schemas.microsoft.com/office/word/2010/wordprocessingShape">
                    <wps:wsp>
                      <wps:cNvSpPr/>
                      <wps:spPr>
                        <a:xfrm>
                          <a:off x="0" y="0"/>
                          <a:ext cx="2571750" cy="1476375"/>
                        </a:xfrm>
                        <a:prstGeom prst="roundRect">
                          <a:avLst>
                            <a:gd name="adj" fmla="val 16667"/>
                          </a:avLst>
                        </a:prstGeom>
                        <a:solidFill>
                          <a:srgbClr val="FFFFFF"/>
                        </a:solidFill>
                        <a:ln w="9525" cap="flat" cmpd="sng">
                          <a:solidFill>
                            <a:srgbClr val="0D0D0D"/>
                          </a:solidFill>
                          <a:prstDash val="dash"/>
                          <a:headEnd type="none" w="med" len="med"/>
                          <a:tailEnd type="none" w="med" len="med"/>
                        </a:ln>
                      </wps:spPr>
                      <wps:txbx>
                        <w:txbxContent>
                          <w:p w14:paraId="01A1D5A0">
                            <w:pPr>
                              <w:jc w:val="center"/>
                            </w:pPr>
                          </w:p>
                          <w:p w14:paraId="7E46BF68">
                            <w:pPr>
                              <w:jc w:val="center"/>
                            </w:pPr>
                          </w:p>
                          <w:p w14:paraId="5656D087">
                            <w:pPr>
                              <w:spacing w:line="360" w:lineRule="exact"/>
                              <w:jc w:val="center"/>
                              <w:rPr>
                                <w:rFonts w:ascii="宋体" w:hAnsi="宋体"/>
                                <w:sz w:val="24"/>
                              </w:rPr>
                            </w:pPr>
                            <w:r>
                              <w:rPr>
                                <w:rFonts w:hint="eastAsia" w:ascii="宋体" w:hAnsi="宋体"/>
                                <w:sz w:val="24"/>
                              </w:rPr>
                              <w:t>委托代理人身份证扫描件</w:t>
                            </w:r>
                          </w:p>
                          <w:p w14:paraId="23297E90">
                            <w:pPr>
                              <w:jc w:val="center"/>
                              <w:rPr>
                                <w:rFonts w:ascii="宋体" w:hAnsi="宋体" w:cs="宋体"/>
                                <w:kern w:val="0"/>
                                <w:sz w:val="24"/>
                              </w:rPr>
                            </w:pPr>
                            <w:r>
                              <w:rPr>
                                <w:rFonts w:hint="eastAsia" w:ascii="宋体" w:hAnsi="宋体"/>
                                <w:sz w:val="24"/>
                              </w:rPr>
                              <w:t>正面</w:t>
                            </w:r>
                          </w:p>
                        </w:txbxContent>
                      </wps:txbx>
                      <wps:bodyPr upright="1"/>
                    </wps:wsp>
                  </a:graphicData>
                </a:graphic>
              </wp:anchor>
            </w:drawing>
          </mc:Choice>
          <mc:Fallback>
            <w:pict>
              <v:roundrect id="_x0000_s1026" o:spid="_x0000_s1026" o:spt="2" style="position:absolute;left:0pt;margin-left:16.45pt;margin-top:11.05pt;height:116.25pt;width:202.5pt;z-index:251662336;mso-width-relative:page;mso-height-relative:page;" fillcolor="#FFFFFF" filled="t" stroked="t" coordsize="21600,21600" arcsize="0.166666666666667" o:gfxdata="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EeJ3j9gAAAAJAQAADwAAAAAAAAABACAAAAAiAAAAZHJzL2Rvd25yZXYueG1sUEsBAhQAFAAAAAgA&#10;h07iQOTXqu4lAgAAWAQAAA4AAAAAAAAAAQAgAAAAJwEAAGRycy9lMm9Eb2MueG1sUEsFBgAAAAAG&#10;AAYAWQEAAL4FAAAAAA==&#10;">
                <v:fill on="t" focussize="0,0"/>
                <v:stroke color="#0D0D0D" joinstyle="round" dashstyle="dash"/>
                <v:imagedata o:title=""/>
                <o:lock v:ext="edit" aspectratio="f"/>
                <v:textbox>
                  <w:txbxContent>
                    <w:p w14:paraId="01A1D5A0">
                      <w:pPr>
                        <w:jc w:val="center"/>
                      </w:pPr>
                    </w:p>
                    <w:p w14:paraId="7E46BF68">
                      <w:pPr>
                        <w:jc w:val="center"/>
                      </w:pPr>
                    </w:p>
                    <w:p w14:paraId="5656D087">
                      <w:pPr>
                        <w:spacing w:line="360" w:lineRule="exact"/>
                        <w:jc w:val="center"/>
                        <w:rPr>
                          <w:rFonts w:ascii="宋体" w:hAnsi="宋体"/>
                          <w:sz w:val="24"/>
                        </w:rPr>
                      </w:pPr>
                      <w:r>
                        <w:rPr>
                          <w:rFonts w:hint="eastAsia" w:ascii="宋体" w:hAnsi="宋体"/>
                          <w:sz w:val="24"/>
                        </w:rPr>
                        <w:t>委托代理人身份证扫描件</w:t>
                      </w:r>
                    </w:p>
                    <w:p w14:paraId="23297E90">
                      <w:pPr>
                        <w:jc w:val="center"/>
                        <w:rPr>
                          <w:rFonts w:ascii="宋体" w:hAnsi="宋体" w:cs="宋体"/>
                          <w:kern w:val="0"/>
                          <w:sz w:val="24"/>
                        </w:rPr>
                      </w:pPr>
                      <w:r>
                        <w:rPr>
                          <w:rFonts w:hint="eastAsia" w:ascii="宋体" w:hAnsi="宋体"/>
                          <w:sz w:val="24"/>
                        </w:rPr>
                        <w:t>正面</w:t>
                      </w:r>
                    </w:p>
                  </w:txbxContent>
                </v:textbox>
              </v:roundrect>
            </w:pict>
          </mc:Fallback>
        </mc:AlternateContent>
      </w:r>
      <w:r>
        <w:rPr>
          <w:rFonts w:ascii="宋体" w:hAnsi="宋体" w:cs="宋体"/>
          <w:color w:val="000000" w:themeColor="text1"/>
          <w:sz w:val="24"/>
          <w14:textFill>
            <w14:solidFill>
              <w14:schemeClr w14:val="tx1"/>
            </w14:solidFill>
          </w14:textFill>
        </w:rPr>
        <mc:AlternateContent>
          <mc:Choice Requires="wps">
            <w:drawing>
              <wp:anchor distT="0" distB="0" distL="114300" distR="114300" simplePos="0" relativeHeight="251663360" behindDoc="0" locked="0" layoutInCell="1" allowOverlap="1">
                <wp:simplePos x="0" y="0"/>
                <wp:positionH relativeFrom="column">
                  <wp:posOffset>3019425</wp:posOffset>
                </wp:positionH>
                <wp:positionV relativeFrom="paragraph">
                  <wp:posOffset>131445</wp:posOffset>
                </wp:positionV>
                <wp:extent cx="2571750" cy="1476375"/>
                <wp:effectExtent l="4445" t="4445" r="14605" b="5080"/>
                <wp:wrapNone/>
                <wp:docPr id="17" name="圆角矩形 17"/>
                <wp:cNvGraphicFramePr/>
                <a:graphic xmlns:a="http://schemas.openxmlformats.org/drawingml/2006/main">
                  <a:graphicData uri="http://schemas.microsoft.com/office/word/2010/wordprocessingShape">
                    <wps:wsp>
                      <wps:cNvSpPr/>
                      <wps:spPr>
                        <a:xfrm>
                          <a:off x="0" y="0"/>
                          <a:ext cx="2571750" cy="1476375"/>
                        </a:xfrm>
                        <a:prstGeom prst="roundRect">
                          <a:avLst>
                            <a:gd name="adj" fmla="val 16667"/>
                          </a:avLst>
                        </a:prstGeom>
                        <a:solidFill>
                          <a:srgbClr val="FFFFFF"/>
                        </a:solidFill>
                        <a:ln w="9525" cap="flat" cmpd="sng">
                          <a:solidFill>
                            <a:srgbClr val="000000"/>
                          </a:solidFill>
                          <a:prstDash val="dash"/>
                          <a:headEnd type="none" w="med" len="med"/>
                          <a:tailEnd type="none" w="med" len="med"/>
                        </a:ln>
                      </wps:spPr>
                      <wps:txbx>
                        <w:txbxContent>
                          <w:p w14:paraId="37B25B7D"/>
                          <w:p w14:paraId="2FD87A25"/>
                          <w:p w14:paraId="6BB335A8">
                            <w:pPr>
                              <w:spacing w:line="360" w:lineRule="exact"/>
                              <w:jc w:val="center"/>
                              <w:rPr>
                                <w:rFonts w:ascii="宋体" w:hAnsi="宋体"/>
                                <w:sz w:val="24"/>
                              </w:rPr>
                            </w:pPr>
                            <w:r>
                              <w:rPr>
                                <w:rFonts w:hint="eastAsia" w:ascii="宋体" w:hAnsi="宋体"/>
                                <w:sz w:val="24"/>
                              </w:rPr>
                              <w:t>委托代理人身份证扫描件</w:t>
                            </w:r>
                          </w:p>
                          <w:p w14:paraId="268E563C">
                            <w:pPr>
                              <w:jc w:val="center"/>
                            </w:pPr>
                            <w:r>
                              <w:rPr>
                                <w:rFonts w:hint="eastAsia" w:ascii="宋体" w:hAnsi="宋体"/>
                                <w:sz w:val="24"/>
                              </w:rPr>
                              <w:t>反面</w:t>
                            </w:r>
                          </w:p>
                          <w:p w14:paraId="4D9D08A5">
                            <w:pPr>
                              <w:spacing w:line="440" w:lineRule="exact"/>
                              <w:jc w:val="left"/>
                              <w:rPr>
                                <w:rFonts w:ascii="宋体" w:hAnsi="宋体" w:cs="宋体"/>
                                <w:kern w:val="0"/>
                                <w:sz w:val="24"/>
                              </w:rPr>
                            </w:pPr>
                          </w:p>
                        </w:txbxContent>
                      </wps:txbx>
                      <wps:bodyPr upright="1"/>
                    </wps:wsp>
                  </a:graphicData>
                </a:graphic>
              </wp:anchor>
            </w:drawing>
          </mc:Choice>
          <mc:Fallback>
            <w:pict>
              <v:roundrect id="_x0000_s1026" o:spid="_x0000_s1026" o:spt="2" style="position:absolute;left:0pt;margin-left:237.75pt;margin-top:10.35pt;height:116.25pt;width:202.5pt;z-index:251663360;mso-width-relative:page;mso-height-relative:page;" fillcolor="#FFFFFF" filled="t" stroked="t" coordsize="21600,21600" arcsize="0.166666666666667" o:gfxdata="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fZFJDNkAAAAKAQAADwAAAAAAAAABACAAAAAiAAAAZHJzL2Rvd25yZXYueG1sUEsBAhQAFAAAAAgA&#10;h07iQLIQphMkAgAAWAQAAA4AAAAAAAAAAQAgAAAAKAEAAGRycy9lMm9Eb2MueG1sUEsFBgAAAAAG&#10;AAYAWQEAAL4FAAAAAA==&#10;">
                <v:fill on="t" focussize="0,0"/>
                <v:stroke color="#000000" joinstyle="round" dashstyle="dash"/>
                <v:imagedata o:title=""/>
                <o:lock v:ext="edit" aspectratio="f"/>
                <v:textbox>
                  <w:txbxContent>
                    <w:p w14:paraId="37B25B7D"/>
                    <w:p w14:paraId="2FD87A25"/>
                    <w:p w14:paraId="6BB335A8">
                      <w:pPr>
                        <w:spacing w:line="360" w:lineRule="exact"/>
                        <w:jc w:val="center"/>
                        <w:rPr>
                          <w:rFonts w:ascii="宋体" w:hAnsi="宋体"/>
                          <w:sz w:val="24"/>
                        </w:rPr>
                      </w:pPr>
                      <w:r>
                        <w:rPr>
                          <w:rFonts w:hint="eastAsia" w:ascii="宋体" w:hAnsi="宋体"/>
                          <w:sz w:val="24"/>
                        </w:rPr>
                        <w:t>委托代理人身份证扫描件</w:t>
                      </w:r>
                    </w:p>
                    <w:p w14:paraId="268E563C">
                      <w:pPr>
                        <w:jc w:val="center"/>
                      </w:pPr>
                      <w:r>
                        <w:rPr>
                          <w:rFonts w:hint="eastAsia" w:ascii="宋体" w:hAnsi="宋体"/>
                          <w:sz w:val="24"/>
                        </w:rPr>
                        <w:t>反面</w:t>
                      </w:r>
                    </w:p>
                    <w:p w14:paraId="4D9D08A5">
                      <w:pPr>
                        <w:spacing w:line="440" w:lineRule="exact"/>
                        <w:jc w:val="left"/>
                        <w:rPr>
                          <w:rFonts w:ascii="宋体" w:hAnsi="宋体" w:cs="宋体"/>
                          <w:kern w:val="0"/>
                          <w:sz w:val="24"/>
                        </w:rPr>
                      </w:pPr>
                    </w:p>
                  </w:txbxContent>
                </v:textbox>
              </v:roundrect>
            </w:pict>
          </mc:Fallback>
        </mc:AlternateContent>
      </w:r>
    </w:p>
    <w:p w14:paraId="60265BDA">
      <w:pPr>
        <w:spacing w:line="500" w:lineRule="exact"/>
        <w:rPr>
          <w:rFonts w:ascii="宋体" w:hAnsi="宋体" w:cs="宋体"/>
          <w:color w:val="000000" w:themeColor="text1"/>
          <w:sz w:val="24"/>
          <w14:textFill>
            <w14:solidFill>
              <w14:schemeClr w14:val="tx1"/>
            </w14:solidFill>
          </w14:textFill>
        </w:rPr>
      </w:pPr>
    </w:p>
    <w:p w14:paraId="4844056E">
      <w:pPr>
        <w:spacing w:line="500" w:lineRule="exact"/>
        <w:rPr>
          <w:rFonts w:ascii="宋体" w:hAnsi="宋体" w:cs="宋体"/>
          <w:color w:val="000000" w:themeColor="text1"/>
          <w:sz w:val="24"/>
          <w14:textFill>
            <w14:solidFill>
              <w14:schemeClr w14:val="tx1"/>
            </w14:solidFill>
          </w14:textFill>
        </w:rPr>
      </w:pPr>
    </w:p>
    <w:p w14:paraId="01B51B50">
      <w:pPr>
        <w:spacing w:line="500" w:lineRule="exact"/>
        <w:rPr>
          <w:rFonts w:ascii="宋体" w:hAnsi="宋体" w:cs="宋体"/>
          <w:color w:val="000000" w:themeColor="text1"/>
          <w:sz w:val="24"/>
          <w14:textFill>
            <w14:solidFill>
              <w14:schemeClr w14:val="tx1"/>
            </w14:solidFill>
          </w14:textFill>
        </w:rPr>
      </w:pPr>
    </w:p>
    <w:p w14:paraId="663C236F">
      <w:pPr>
        <w:spacing w:line="480" w:lineRule="exact"/>
        <w:ind w:firstLine="480" w:firstLineChars="200"/>
        <w:rPr>
          <w:color w:val="000000" w:themeColor="text1"/>
          <w:sz w:val="24"/>
          <w14:textFill>
            <w14:solidFill>
              <w14:schemeClr w14:val="tx1"/>
            </w14:solidFill>
          </w14:textFill>
        </w:rPr>
      </w:pPr>
    </w:p>
    <w:p w14:paraId="7EB140B9">
      <w:pPr>
        <w:spacing w:line="480" w:lineRule="exact"/>
        <w:rPr>
          <w:color w:val="000000" w:themeColor="text1"/>
          <w:sz w:val="24"/>
          <w14:textFill>
            <w14:solidFill>
              <w14:schemeClr w14:val="tx1"/>
            </w14:solidFill>
          </w14:textFill>
        </w:rPr>
      </w:pPr>
    </w:p>
    <w:p w14:paraId="5F942461">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投标人：</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w:t>
      </w:r>
      <w:r>
        <w:rPr>
          <w:rFonts w:hint="eastAsia" w:ascii="宋体" w:hAnsi="宋体"/>
          <w:iCs/>
          <w:color w:val="000000" w:themeColor="text1"/>
          <w:sz w:val="24"/>
          <w14:textFill>
            <w14:solidFill>
              <w14:schemeClr w14:val="tx1"/>
            </w14:solidFill>
          </w14:textFill>
        </w:rPr>
        <w:t>盖单位公章</w:t>
      </w:r>
      <w:r>
        <w:rPr>
          <w:rFonts w:hint="eastAsia" w:ascii="宋体" w:hAnsi="宋体" w:cs="宋体"/>
          <w:color w:val="000000" w:themeColor="text1"/>
          <w:sz w:val="24"/>
          <w14:textFill>
            <w14:solidFill>
              <w14:schemeClr w14:val="tx1"/>
            </w14:solidFill>
          </w14:textFill>
        </w:rPr>
        <w:t>）</w:t>
      </w:r>
    </w:p>
    <w:p w14:paraId="65205DE8">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color w:val="000000" w:themeColor="text1"/>
          <w:sz w:val="24"/>
          <w14:textFill>
            <w14:solidFill>
              <w14:schemeClr w14:val="tx1"/>
            </w14:solidFill>
          </w14:textFill>
        </w:rPr>
      </w:pPr>
    </w:p>
    <w:p w14:paraId="759294E7">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法定代表人：</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（签字或盖章）</w:t>
      </w:r>
    </w:p>
    <w:p w14:paraId="5A7E2428">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color w:val="000000" w:themeColor="text1"/>
          <w:sz w:val="24"/>
          <w14:textFill>
            <w14:solidFill>
              <w14:schemeClr w14:val="tx1"/>
            </w14:solidFill>
          </w14:textFill>
        </w:rPr>
      </w:pPr>
    </w:p>
    <w:p w14:paraId="087869DD">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color w:val="000000" w:themeColor="text1"/>
          <w:sz w:val="24"/>
          <w:u w:val="single"/>
          <w14:textFill>
            <w14:solidFill>
              <w14:schemeClr w14:val="tx1"/>
            </w14:solidFill>
          </w14:textFill>
        </w:rPr>
      </w:pPr>
      <w:r>
        <w:rPr>
          <w:rFonts w:hint="eastAsia"/>
          <w:color w:val="000000" w:themeColor="text1"/>
          <w:sz w:val="24"/>
          <w14:textFill>
            <w14:solidFill>
              <w14:schemeClr w14:val="tx1"/>
            </w14:solidFill>
          </w14:textFill>
        </w:rPr>
        <w:t>身份证号码：</w:t>
      </w:r>
      <w:r>
        <w:rPr>
          <w:color w:val="000000" w:themeColor="text1"/>
          <w:sz w:val="24"/>
          <w:u w:val="single"/>
          <w14:textFill>
            <w14:solidFill>
              <w14:schemeClr w14:val="tx1"/>
            </w14:solidFill>
          </w14:textFill>
        </w:rPr>
        <w:t xml:space="preserve">                        </w:t>
      </w:r>
    </w:p>
    <w:p w14:paraId="09CDAEAE">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color w:val="000000" w:themeColor="text1"/>
          <w:sz w:val="24"/>
          <w14:textFill>
            <w14:solidFill>
              <w14:schemeClr w14:val="tx1"/>
            </w14:solidFill>
          </w14:textFill>
        </w:rPr>
      </w:pPr>
    </w:p>
    <w:p w14:paraId="1062BF26">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委托代理人：</w:t>
      </w:r>
      <w:r>
        <w:rPr>
          <w:color w:val="000000" w:themeColor="text1"/>
          <w:sz w:val="24"/>
          <w:u w:val="single"/>
          <w14:textFill>
            <w14:solidFill>
              <w14:schemeClr w14:val="tx1"/>
            </w14:solidFill>
          </w14:textFill>
        </w:rPr>
        <w:t xml:space="preserve">                        </w:t>
      </w:r>
      <w:r>
        <w:rPr>
          <w:rFonts w:hint="eastAsia"/>
          <w:color w:val="000000" w:themeColor="text1"/>
          <w:sz w:val="24"/>
          <w14:textFill>
            <w14:solidFill>
              <w14:schemeClr w14:val="tx1"/>
            </w14:solidFill>
          </w14:textFill>
        </w:rPr>
        <w:t>（签字）</w:t>
      </w:r>
    </w:p>
    <w:p w14:paraId="78310232">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color w:val="000000" w:themeColor="text1"/>
          <w:sz w:val="24"/>
          <w14:textFill>
            <w14:solidFill>
              <w14:schemeClr w14:val="tx1"/>
            </w14:solidFill>
          </w14:textFill>
        </w:rPr>
      </w:pPr>
    </w:p>
    <w:p w14:paraId="6DF9BA66">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身份证号码：</w:t>
      </w:r>
      <w:r>
        <w:rPr>
          <w:color w:val="000000" w:themeColor="text1"/>
          <w:sz w:val="24"/>
          <w:u w:val="single"/>
          <w14:textFill>
            <w14:solidFill>
              <w14:schemeClr w14:val="tx1"/>
            </w14:solidFill>
          </w14:textFill>
        </w:rPr>
        <w:t xml:space="preserve">                        </w:t>
      </w:r>
    </w:p>
    <w:p w14:paraId="33BDF452">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color w:val="000000" w:themeColor="text1"/>
          <w:sz w:val="24"/>
          <w14:textFill>
            <w14:solidFill>
              <w14:schemeClr w14:val="tx1"/>
            </w14:solidFill>
          </w14:textFill>
        </w:rPr>
      </w:pPr>
    </w:p>
    <w:p w14:paraId="5A707C12">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color w:val="000000" w:themeColor="text1"/>
          <w:sz w:val="24"/>
          <w:u w:val="single"/>
          <w14:textFill>
            <w14:solidFill>
              <w14:schemeClr w14:val="tx1"/>
            </w14:solidFill>
          </w14:textFill>
        </w:rPr>
      </w:pPr>
      <w:r>
        <w:rPr>
          <w:rFonts w:hint="eastAsia" w:ascii="宋体" w:hAnsi="宋体"/>
          <w:iCs/>
          <w:color w:val="000000" w:themeColor="text1"/>
          <w:sz w:val="24"/>
          <w14:textFill>
            <w14:solidFill>
              <w14:schemeClr w14:val="tx1"/>
            </w14:solidFill>
          </w14:textFill>
        </w:rPr>
        <w:t>日  期：</w:t>
      </w:r>
      <w:r>
        <w:rPr>
          <w:rFonts w:hint="eastAsia" w:ascii="宋体" w:hAnsi="宋体"/>
          <w:iCs/>
          <w:color w:val="000000" w:themeColor="text1"/>
          <w:sz w:val="24"/>
          <w:u w:val="single"/>
          <w14:textFill>
            <w14:solidFill>
              <w14:schemeClr w14:val="tx1"/>
            </w14:solidFill>
          </w14:textFill>
        </w:rPr>
        <w:t xml:space="preserve">       </w:t>
      </w:r>
      <w:r>
        <w:rPr>
          <w:rFonts w:hint="eastAsia" w:ascii="宋体" w:hAnsi="宋体"/>
          <w:iCs/>
          <w:color w:val="000000" w:themeColor="text1"/>
          <w:sz w:val="24"/>
          <w14:textFill>
            <w14:solidFill>
              <w14:schemeClr w14:val="tx1"/>
            </w14:solidFill>
          </w14:textFill>
        </w:rPr>
        <w:t>年</w:t>
      </w:r>
      <w:r>
        <w:rPr>
          <w:rFonts w:hint="eastAsia" w:ascii="宋体" w:hAnsi="宋体"/>
          <w:iCs/>
          <w:color w:val="000000" w:themeColor="text1"/>
          <w:sz w:val="24"/>
          <w:u w:val="single"/>
          <w14:textFill>
            <w14:solidFill>
              <w14:schemeClr w14:val="tx1"/>
            </w14:solidFill>
          </w14:textFill>
        </w:rPr>
        <w:t xml:space="preserve">       </w:t>
      </w:r>
      <w:r>
        <w:rPr>
          <w:rFonts w:hint="eastAsia" w:ascii="宋体" w:hAnsi="宋体"/>
          <w:iCs/>
          <w:color w:val="000000" w:themeColor="text1"/>
          <w:sz w:val="24"/>
          <w14:textFill>
            <w14:solidFill>
              <w14:schemeClr w14:val="tx1"/>
            </w14:solidFill>
          </w14:textFill>
        </w:rPr>
        <w:t>月</w:t>
      </w:r>
      <w:r>
        <w:rPr>
          <w:rFonts w:hint="eastAsia" w:ascii="宋体" w:hAnsi="宋体"/>
          <w:iCs/>
          <w:color w:val="000000" w:themeColor="text1"/>
          <w:sz w:val="24"/>
          <w:u w:val="single"/>
          <w14:textFill>
            <w14:solidFill>
              <w14:schemeClr w14:val="tx1"/>
            </w14:solidFill>
          </w14:textFill>
        </w:rPr>
        <w:t xml:space="preserve">       </w:t>
      </w:r>
      <w:r>
        <w:rPr>
          <w:rFonts w:hint="eastAsia" w:ascii="宋体" w:hAnsi="宋体"/>
          <w:iCs/>
          <w:color w:val="000000" w:themeColor="text1"/>
          <w:sz w:val="24"/>
          <w14:textFill>
            <w14:solidFill>
              <w14:schemeClr w14:val="tx1"/>
            </w14:solidFill>
          </w14:textFill>
        </w:rPr>
        <w:t>日</w:t>
      </w:r>
    </w:p>
    <w:p w14:paraId="2BE0D0C1"/>
    <w:p w14:paraId="75729D67">
      <w:pPr>
        <w:pStyle w:val="3"/>
        <w:bidi w:val="0"/>
        <w:rPr>
          <w:rFonts w:hint="eastAsia"/>
        </w:rPr>
      </w:pPr>
      <w:bookmarkStart w:id="181" w:name="_Toc884"/>
      <w:r>
        <w:rPr>
          <w:rFonts w:hint="eastAsia"/>
        </w:rPr>
        <w:t>格式七、</w:t>
      </w:r>
      <w:bookmarkEnd w:id="176"/>
      <w:r>
        <w:rPr>
          <w:rFonts w:hint="eastAsia"/>
        </w:rPr>
        <w:t>服务方案</w:t>
      </w:r>
      <w:bookmarkEnd w:id="177"/>
      <w:bookmarkEnd w:id="178"/>
      <w:bookmarkEnd w:id="181"/>
    </w:p>
    <w:p w14:paraId="10622089">
      <w:pPr>
        <w:spacing w:line="480" w:lineRule="exact"/>
        <w:ind w:firstLine="240" w:firstLineChars="1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主要内容包括但不限于：针对本项目特点，保证本项目质量、全面和合理等方面的措施与方案</w:t>
      </w:r>
      <w:bookmarkStart w:id="182" w:name="_Toc9898"/>
      <w:r>
        <w:rPr>
          <w:rFonts w:hint="eastAsia" w:ascii="宋体" w:hAnsi="宋体"/>
          <w:color w:val="000000" w:themeColor="text1"/>
          <w:sz w:val="24"/>
          <w14:textFill>
            <w14:solidFill>
              <w14:schemeClr w14:val="tx1"/>
            </w14:solidFill>
          </w14:textFill>
        </w:rPr>
        <w:t>。（格式自拟）</w:t>
      </w:r>
    </w:p>
    <w:p w14:paraId="4CB8B109">
      <w:pPr>
        <w:spacing w:line="480" w:lineRule="exact"/>
        <w:rPr>
          <w:rFonts w:ascii="宋体" w:hAnsi="宋体"/>
          <w:color w:val="000000" w:themeColor="text1"/>
          <w:sz w:val="24"/>
          <w14:textFill>
            <w14:solidFill>
              <w14:schemeClr w14:val="tx1"/>
            </w14:solidFill>
          </w14:textFill>
        </w:rPr>
      </w:pPr>
    </w:p>
    <w:bookmarkEnd w:id="182"/>
    <w:p w14:paraId="56ECF197">
      <w:pPr>
        <w:pStyle w:val="3"/>
        <w:bidi w:val="0"/>
        <w:rPr>
          <w:color w:val="000000" w:themeColor="text1"/>
          <w14:textFill>
            <w14:solidFill>
              <w14:schemeClr w14:val="tx1"/>
            </w14:solidFill>
          </w14:textFill>
        </w:rPr>
      </w:pPr>
      <w:bookmarkStart w:id="183" w:name="_Toc28151"/>
      <w:bookmarkStart w:id="184" w:name="_Toc59528770"/>
      <w:r>
        <w:rPr>
          <w:rFonts w:hint="eastAsia"/>
          <w:color w:val="000000" w:themeColor="text1"/>
          <w14:textFill>
            <w14:solidFill>
              <w14:schemeClr w14:val="tx1"/>
            </w14:solidFill>
          </w14:textFill>
        </w:rPr>
        <w:br w:type="page"/>
      </w:r>
      <w:bookmarkStart w:id="185" w:name="_Toc4294"/>
      <w:bookmarkStart w:id="186" w:name="_Toc26578"/>
      <w:r>
        <w:rPr>
          <w:rFonts w:hint="eastAsia"/>
        </w:rPr>
        <w:t>格式八、计划参加本项目技术人员一览表</w:t>
      </w:r>
      <w:bookmarkEnd w:id="183"/>
      <w:bookmarkEnd w:id="184"/>
      <w:bookmarkEnd w:id="185"/>
      <w:bookmarkEnd w:id="186"/>
    </w:p>
    <w:tbl>
      <w:tblPr>
        <w:tblStyle w:val="21"/>
        <w:tblW w:w="95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1"/>
        <w:gridCol w:w="2015"/>
        <w:gridCol w:w="1016"/>
        <w:gridCol w:w="1323"/>
        <w:gridCol w:w="2121"/>
        <w:gridCol w:w="1893"/>
      </w:tblGrid>
      <w:tr w14:paraId="65FB2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191" w:type="dxa"/>
            <w:vAlign w:val="center"/>
          </w:tcPr>
          <w:p w14:paraId="7640B285">
            <w:pPr>
              <w:spacing w:line="400" w:lineRule="exact"/>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总人数</w:t>
            </w:r>
          </w:p>
        </w:tc>
        <w:tc>
          <w:tcPr>
            <w:tcW w:w="4354" w:type="dxa"/>
            <w:gridSpan w:val="3"/>
            <w:vAlign w:val="center"/>
          </w:tcPr>
          <w:p w14:paraId="506F9313">
            <w:pPr>
              <w:spacing w:line="400" w:lineRule="exact"/>
              <w:jc w:val="center"/>
              <w:rPr>
                <w:rFonts w:ascii="宋体" w:hAnsi="宋体" w:cs="宋体"/>
                <w:bCs/>
                <w:color w:val="000000" w:themeColor="text1"/>
                <w:sz w:val="24"/>
                <w14:textFill>
                  <w14:solidFill>
                    <w14:schemeClr w14:val="tx1"/>
                  </w14:solidFill>
                </w14:textFill>
              </w:rPr>
            </w:pPr>
          </w:p>
        </w:tc>
        <w:tc>
          <w:tcPr>
            <w:tcW w:w="2121" w:type="dxa"/>
            <w:vAlign w:val="center"/>
          </w:tcPr>
          <w:p w14:paraId="2848C283">
            <w:pPr>
              <w:spacing w:line="400" w:lineRule="exact"/>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专业技术人员</w:t>
            </w:r>
          </w:p>
        </w:tc>
        <w:tc>
          <w:tcPr>
            <w:tcW w:w="1893" w:type="dxa"/>
            <w:vAlign w:val="center"/>
          </w:tcPr>
          <w:p w14:paraId="443557D1">
            <w:pPr>
              <w:spacing w:line="400" w:lineRule="exact"/>
              <w:jc w:val="center"/>
              <w:rPr>
                <w:rFonts w:ascii="宋体" w:hAnsi="宋体" w:cs="宋体"/>
                <w:bCs/>
                <w:color w:val="000000" w:themeColor="text1"/>
                <w:sz w:val="24"/>
                <w14:textFill>
                  <w14:solidFill>
                    <w14:schemeClr w14:val="tx1"/>
                  </w14:solidFill>
                </w14:textFill>
              </w:rPr>
            </w:pPr>
          </w:p>
        </w:tc>
      </w:tr>
      <w:tr w14:paraId="02915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jc w:val="center"/>
        </w:trPr>
        <w:tc>
          <w:tcPr>
            <w:tcW w:w="9559" w:type="dxa"/>
            <w:gridSpan w:val="6"/>
            <w:vAlign w:val="center"/>
          </w:tcPr>
          <w:p w14:paraId="54DCEAC7">
            <w:pPr>
              <w:spacing w:line="400" w:lineRule="exact"/>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计划参加本项目的主要人员</w:t>
            </w:r>
          </w:p>
        </w:tc>
      </w:tr>
      <w:tr w14:paraId="62076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1191" w:type="dxa"/>
            <w:vAlign w:val="center"/>
          </w:tcPr>
          <w:p w14:paraId="2B6DE74C">
            <w:pPr>
              <w:spacing w:line="400" w:lineRule="exact"/>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姓名</w:t>
            </w:r>
          </w:p>
        </w:tc>
        <w:tc>
          <w:tcPr>
            <w:tcW w:w="2015" w:type="dxa"/>
            <w:vAlign w:val="center"/>
          </w:tcPr>
          <w:p w14:paraId="16EFBDE6">
            <w:pPr>
              <w:spacing w:line="36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本项目</w:t>
            </w:r>
          </w:p>
          <w:p w14:paraId="20D58C74">
            <w:pPr>
              <w:spacing w:line="400" w:lineRule="exact"/>
              <w:jc w:val="center"/>
              <w:rPr>
                <w:rFonts w:ascii="宋体" w:hAnsi="宋体" w:cs="宋体"/>
                <w:bCs/>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拟任职务</w:t>
            </w:r>
          </w:p>
        </w:tc>
        <w:tc>
          <w:tcPr>
            <w:tcW w:w="1016" w:type="dxa"/>
            <w:vAlign w:val="center"/>
          </w:tcPr>
          <w:p w14:paraId="19CCFB3A">
            <w:pPr>
              <w:spacing w:line="400" w:lineRule="exact"/>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年龄</w:t>
            </w:r>
          </w:p>
        </w:tc>
        <w:tc>
          <w:tcPr>
            <w:tcW w:w="1323" w:type="dxa"/>
            <w:vAlign w:val="center"/>
          </w:tcPr>
          <w:p w14:paraId="318D81F1">
            <w:pPr>
              <w:spacing w:line="400" w:lineRule="exact"/>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职  称</w:t>
            </w:r>
          </w:p>
        </w:tc>
        <w:tc>
          <w:tcPr>
            <w:tcW w:w="2121" w:type="dxa"/>
            <w:vAlign w:val="center"/>
          </w:tcPr>
          <w:p w14:paraId="7B3292F1">
            <w:pPr>
              <w:spacing w:line="400" w:lineRule="exact"/>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学历</w:t>
            </w:r>
          </w:p>
        </w:tc>
        <w:tc>
          <w:tcPr>
            <w:tcW w:w="1893" w:type="dxa"/>
            <w:vAlign w:val="center"/>
          </w:tcPr>
          <w:p w14:paraId="32F1C8C0">
            <w:pPr>
              <w:spacing w:line="400" w:lineRule="exact"/>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备注</w:t>
            </w:r>
          </w:p>
        </w:tc>
      </w:tr>
      <w:tr w14:paraId="3439F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91" w:type="dxa"/>
            <w:vAlign w:val="center"/>
          </w:tcPr>
          <w:p w14:paraId="282287A3">
            <w:pPr>
              <w:spacing w:line="400" w:lineRule="exact"/>
              <w:jc w:val="center"/>
              <w:rPr>
                <w:rFonts w:ascii="宋体" w:hAnsi="宋体" w:cs="宋体"/>
                <w:bCs/>
                <w:color w:val="000000" w:themeColor="text1"/>
                <w:sz w:val="24"/>
                <w14:textFill>
                  <w14:solidFill>
                    <w14:schemeClr w14:val="tx1"/>
                  </w14:solidFill>
                </w14:textFill>
              </w:rPr>
            </w:pPr>
          </w:p>
        </w:tc>
        <w:tc>
          <w:tcPr>
            <w:tcW w:w="2015" w:type="dxa"/>
            <w:vAlign w:val="center"/>
          </w:tcPr>
          <w:p w14:paraId="3CD15D21">
            <w:pPr>
              <w:spacing w:line="400" w:lineRule="exact"/>
              <w:jc w:val="center"/>
              <w:rPr>
                <w:rFonts w:ascii="宋体" w:hAnsi="宋体" w:cs="宋体"/>
                <w:bCs/>
                <w:color w:val="000000" w:themeColor="text1"/>
                <w:sz w:val="24"/>
                <w14:textFill>
                  <w14:solidFill>
                    <w14:schemeClr w14:val="tx1"/>
                  </w14:solidFill>
                </w14:textFill>
              </w:rPr>
            </w:pPr>
          </w:p>
        </w:tc>
        <w:tc>
          <w:tcPr>
            <w:tcW w:w="1016" w:type="dxa"/>
            <w:vAlign w:val="center"/>
          </w:tcPr>
          <w:p w14:paraId="225E0D3F">
            <w:pPr>
              <w:spacing w:line="400" w:lineRule="exact"/>
              <w:jc w:val="center"/>
              <w:rPr>
                <w:rFonts w:ascii="宋体" w:hAnsi="宋体" w:cs="宋体"/>
                <w:bCs/>
                <w:color w:val="000000" w:themeColor="text1"/>
                <w:sz w:val="24"/>
                <w14:textFill>
                  <w14:solidFill>
                    <w14:schemeClr w14:val="tx1"/>
                  </w14:solidFill>
                </w14:textFill>
              </w:rPr>
            </w:pPr>
          </w:p>
        </w:tc>
        <w:tc>
          <w:tcPr>
            <w:tcW w:w="1323" w:type="dxa"/>
            <w:vAlign w:val="center"/>
          </w:tcPr>
          <w:p w14:paraId="5FC0054F">
            <w:pPr>
              <w:spacing w:line="400" w:lineRule="exact"/>
              <w:jc w:val="center"/>
              <w:rPr>
                <w:rFonts w:ascii="宋体" w:hAnsi="宋体" w:cs="宋体"/>
                <w:bCs/>
                <w:color w:val="000000" w:themeColor="text1"/>
                <w:sz w:val="24"/>
                <w14:textFill>
                  <w14:solidFill>
                    <w14:schemeClr w14:val="tx1"/>
                  </w14:solidFill>
                </w14:textFill>
              </w:rPr>
            </w:pPr>
          </w:p>
        </w:tc>
        <w:tc>
          <w:tcPr>
            <w:tcW w:w="2121" w:type="dxa"/>
            <w:vAlign w:val="center"/>
          </w:tcPr>
          <w:p w14:paraId="5742E339">
            <w:pPr>
              <w:spacing w:line="400" w:lineRule="exact"/>
              <w:jc w:val="center"/>
              <w:rPr>
                <w:rFonts w:ascii="宋体" w:hAnsi="宋体" w:cs="宋体"/>
                <w:bCs/>
                <w:color w:val="000000" w:themeColor="text1"/>
                <w:sz w:val="24"/>
                <w14:textFill>
                  <w14:solidFill>
                    <w14:schemeClr w14:val="tx1"/>
                  </w14:solidFill>
                </w14:textFill>
              </w:rPr>
            </w:pPr>
          </w:p>
        </w:tc>
        <w:tc>
          <w:tcPr>
            <w:tcW w:w="1893" w:type="dxa"/>
            <w:vAlign w:val="center"/>
          </w:tcPr>
          <w:p w14:paraId="0BF2500C">
            <w:pPr>
              <w:spacing w:line="400" w:lineRule="exact"/>
              <w:jc w:val="center"/>
              <w:rPr>
                <w:rFonts w:ascii="宋体" w:hAnsi="宋体" w:cs="宋体"/>
                <w:bCs/>
                <w:color w:val="000000" w:themeColor="text1"/>
                <w:sz w:val="24"/>
                <w14:textFill>
                  <w14:solidFill>
                    <w14:schemeClr w14:val="tx1"/>
                  </w14:solidFill>
                </w14:textFill>
              </w:rPr>
            </w:pPr>
          </w:p>
        </w:tc>
      </w:tr>
      <w:tr w14:paraId="4D860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91" w:type="dxa"/>
            <w:vAlign w:val="center"/>
          </w:tcPr>
          <w:p w14:paraId="40AB23C0">
            <w:pPr>
              <w:spacing w:line="400" w:lineRule="exact"/>
              <w:jc w:val="center"/>
              <w:rPr>
                <w:rFonts w:ascii="宋体" w:hAnsi="宋体" w:cs="宋体"/>
                <w:bCs/>
                <w:color w:val="000000" w:themeColor="text1"/>
                <w:sz w:val="24"/>
                <w14:textFill>
                  <w14:solidFill>
                    <w14:schemeClr w14:val="tx1"/>
                  </w14:solidFill>
                </w14:textFill>
              </w:rPr>
            </w:pPr>
          </w:p>
        </w:tc>
        <w:tc>
          <w:tcPr>
            <w:tcW w:w="2015" w:type="dxa"/>
            <w:vAlign w:val="center"/>
          </w:tcPr>
          <w:p w14:paraId="3A0D376D">
            <w:pPr>
              <w:spacing w:line="400" w:lineRule="exact"/>
              <w:jc w:val="center"/>
              <w:rPr>
                <w:rFonts w:ascii="宋体" w:hAnsi="宋体" w:cs="宋体"/>
                <w:bCs/>
                <w:color w:val="000000" w:themeColor="text1"/>
                <w:sz w:val="24"/>
                <w14:textFill>
                  <w14:solidFill>
                    <w14:schemeClr w14:val="tx1"/>
                  </w14:solidFill>
                </w14:textFill>
              </w:rPr>
            </w:pPr>
          </w:p>
        </w:tc>
        <w:tc>
          <w:tcPr>
            <w:tcW w:w="1016" w:type="dxa"/>
            <w:vAlign w:val="center"/>
          </w:tcPr>
          <w:p w14:paraId="6B102BFA">
            <w:pPr>
              <w:spacing w:line="400" w:lineRule="exact"/>
              <w:jc w:val="center"/>
              <w:rPr>
                <w:rFonts w:ascii="宋体" w:hAnsi="宋体" w:cs="宋体"/>
                <w:bCs/>
                <w:color w:val="000000" w:themeColor="text1"/>
                <w:sz w:val="24"/>
                <w14:textFill>
                  <w14:solidFill>
                    <w14:schemeClr w14:val="tx1"/>
                  </w14:solidFill>
                </w14:textFill>
              </w:rPr>
            </w:pPr>
          </w:p>
        </w:tc>
        <w:tc>
          <w:tcPr>
            <w:tcW w:w="1323" w:type="dxa"/>
            <w:vAlign w:val="center"/>
          </w:tcPr>
          <w:p w14:paraId="22C2BCAF">
            <w:pPr>
              <w:spacing w:line="400" w:lineRule="exact"/>
              <w:jc w:val="center"/>
              <w:rPr>
                <w:rFonts w:ascii="宋体" w:hAnsi="宋体" w:cs="宋体"/>
                <w:bCs/>
                <w:color w:val="000000" w:themeColor="text1"/>
                <w:sz w:val="24"/>
                <w14:textFill>
                  <w14:solidFill>
                    <w14:schemeClr w14:val="tx1"/>
                  </w14:solidFill>
                </w14:textFill>
              </w:rPr>
            </w:pPr>
          </w:p>
        </w:tc>
        <w:tc>
          <w:tcPr>
            <w:tcW w:w="2121" w:type="dxa"/>
            <w:vAlign w:val="center"/>
          </w:tcPr>
          <w:p w14:paraId="7DCDF8B3">
            <w:pPr>
              <w:spacing w:line="400" w:lineRule="exact"/>
              <w:jc w:val="center"/>
              <w:rPr>
                <w:rFonts w:ascii="宋体" w:hAnsi="宋体" w:cs="宋体"/>
                <w:bCs/>
                <w:color w:val="000000" w:themeColor="text1"/>
                <w:sz w:val="24"/>
                <w14:textFill>
                  <w14:solidFill>
                    <w14:schemeClr w14:val="tx1"/>
                  </w14:solidFill>
                </w14:textFill>
              </w:rPr>
            </w:pPr>
          </w:p>
        </w:tc>
        <w:tc>
          <w:tcPr>
            <w:tcW w:w="1893" w:type="dxa"/>
            <w:vAlign w:val="center"/>
          </w:tcPr>
          <w:p w14:paraId="02F17137">
            <w:pPr>
              <w:spacing w:line="400" w:lineRule="exact"/>
              <w:jc w:val="center"/>
              <w:rPr>
                <w:rFonts w:ascii="宋体" w:hAnsi="宋体" w:cs="宋体"/>
                <w:bCs/>
                <w:color w:val="000000" w:themeColor="text1"/>
                <w:sz w:val="24"/>
                <w14:textFill>
                  <w14:solidFill>
                    <w14:schemeClr w14:val="tx1"/>
                  </w14:solidFill>
                </w14:textFill>
              </w:rPr>
            </w:pPr>
          </w:p>
        </w:tc>
      </w:tr>
      <w:tr w14:paraId="6E449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91" w:type="dxa"/>
            <w:vAlign w:val="center"/>
          </w:tcPr>
          <w:p w14:paraId="4FDC4C3D">
            <w:pPr>
              <w:spacing w:line="400" w:lineRule="exact"/>
              <w:jc w:val="center"/>
              <w:rPr>
                <w:rFonts w:ascii="宋体" w:hAnsi="宋体" w:cs="宋体"/>
                <w:bCs/>
                <w:color w:val="000000" w:themeColor="text1"/>
                <w:sz w:val="24"/>
                <w14:textFill>
                  <w14:solidFill>
                    <w14:schemeClr w14:val="tx1"/>
                  </w14:solidFill>
                </w14:textFill>
              </w:rPr>
            </w:pPr>
          </w:p>
        </w:tc>
        <w:tc>
          <w:tcPr>
            <w:tcW w:w="2015" w:type="dxa"/>
            <w:vAlign w:val="center"/>
          </w:tcPr>
          <w:p w14:paraId="20859BC4">
            <w:pPr>
              <w:spacing w:line="400" w:lineRule="exact"/>
              <w:jc w:val="center"/>
              <w:rPr>
                <w:rFonts w:ascii="宋体" w:hAnsi="宋体" w:cs="宋体"/>
                <w:bCs/>
                <w:color w:val="000000" w:themeColor="text1"/>
                <w:sz w:val="24"/>
                <w14:textFill>
                  <w14:solidFill>
                    <w14:schemeClr w14:val="tx1"/>
                  </w14:solidFill>
                </w14:textFill>
              </w:rPr>
            </w:pPr>
          </w:p>
        </w:tc>
        <w:tc>
          <w:tcPr>
            <w:tcW w:w="1016" w:type="dxa"/>
            <w:vAlign w:val="center"/>
          </w:tcPr>
          <w:p w14:paraId="2DF2970C">
            <w:pPr>
              <w:spacing w:line="400" w:lineRule="exact"/>
              <w:jc w:val="center"/>
              <w:rPr>
                <w:rFonts w:ascii="宋体" w:hAnsi="宋体" w:cs="宋体"/>
                <w:bCs/>
                <w:color w:val="000000" w:themeColor="text1"/>
                <w:sz w:val="24"/>
                <w14:textFill>
                  <w14:solidFill>
                    <w14:schemeClr w14:val="tx1"/>
                  </w14:solidFill>
                </w14:textFill>
              </w:rPr>
            </w:pPr>
          </w:p>
        </w:tc>
        <w:tc>
          <w:tcPr>
            <w:tcW w:w="1323" w:type="dxa"/>
            <w:vAlign w:val="center"/>
          </w:tcPr>
          <w:p w14:paraId="4021F5DE">
            <w:pPr>
              <w:spacing w:line="400" w:lineRule="exact"/>
              <w:jc w:val="center"/>
              <w:rPr>
                <w:rFonts w:ascii="宋体" w:hAnsi="宋体" w:cs="宋体"/>
                <w:bCs/>
                <w:color w:val="000000" w:themeColor="text1"/>
                <w:sz w:val="24"/>
                <w14:textFill>
                  <w14:solidFill>
                    <w14:schemeClr w14:val="tx1"/>
                  </w14:solidFill>
                </w14:textFill>
              </w:rPr>
            </w:pPr>
          </w:p>
        </w:tc>
        <w:tc>
          <w:tcPr>
            <w:tcW w:w="2121" w:type="dxa"/>
            <w:vAlign w:val="center"/>
          </w:tcPr>
          <w:p w14:paraId="1F996C7D">
            <w:pPr>
              <w:spacing w:line="400" w:lineRule="exact"/>
              <w:jc w:val="center"/>
              <w:rPr>
                <w:rFonts w:ascii="宋体" w:hAnsi="宋体" w:cs="宋体"/>
                <w:bCs/>
                <w:color w:val="000000" w:themeColor="text1"/>
                <w:sz w:val="24"/>
                <w14:textFill>
                  <w14:solidFill>
                    <w14:schemeClr w14:val="tx1"/>
                  </w14:solidFill>
                </w14:textFill>
              </w:rPr>
            </w:pPr>
          </w:p>
        </w:tc>
        <w:tc>
          <w:tcPr>
            <w:tcW w:w="1893" w:type="dxa"/>
            <w:vAlign w:val="center"/>
          </w:tcPr>
          <w:p w14:paraId="42DC347E">
            <w:pPr>
              <w:spacing w:line="400" w:lineRule="exact"/>
              <w:jc w:val="center"/>
              <w:rPr>
                <w:rFonts w:ascii="宋体" w:hAnsi="宋体" w:cs="宋体"/>
                <w:bCs/>
                <w:color w:val="000000" w:themeColor="text1"/>
                <w:sz w:val="24"/>
                <w14:textFill>
                  <w14:solidFill>
                    <w14:schemeClr w14:val="tx1"/>
                  </w14:solidFill>
                </w14:textFill>
              </w:rPr>
            </w:pPr>
          </w:p>
        </w:tc>
      </w:tr>
      <w:tr w14:paraId="00D4E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91" w:type="dxa"/>
            <w:vAlign w:val="center"/>
          </w:tcPr>
          <w:p w14:paraId="0C61B32D">
            <w:pPr>
              <w:spacing w:line="400" w:lineRule="exact"/>
              <w:jc w:val="center"/>
              <w:rPr>
                <w:rFonts w:ascii="宋体" w:hAnsi="宋体" w:cs="宋体"/>
                <w:bCs/>
                <w:color w:val="000000" w:themeColor="text1"/>
                <w:sz w:val="24"/>
                <w14:textFill>
                  <w14:solidFill>
                    <w14:schemeClr w14:val="tx1"/>
                  </w14:solidFill>
                </w14:textFill>
              </w:rPr>
            </w:pPr>
          </w:p>
        </w:tc>
        <w:tc>
          <w:tcPr>
            <w:tcW w:w="2015" w:type="dxa"/>
            <w:vAlign w:val="center"/>
          </w:tcPr>
          <w:p w14:paraId="219AB4DB">
            <w:pPr>
              <w:spacing w:line="400" w:lineRule="exact"/>
              <w:jc w:val="center"/>
              <w:rPr>
                <w:rFonts w:ascii="宋体" w:hAnsi="宋体" w:cs="宋体"/>
                <w:bCs/>
                <w:color w:val="000000" w:themeColor="text1"/>
                <w:sz w:val="24"/>
                <w14:textFill>
                  <w14:solidFill>
                    <w14:schemeClr w14:val="tx1"/>
                  </w14:solidFill>
                </w14:textFill>
              </w:rPr>
            </w:pPr>
          </w:p>
        </w:tc>
        <w:tc>
          <w:tcPr>
            <w:tcW w:w="1016" w:type="dxa"/>
            <w:vAlign w:val="center"/>
          </w:tcPr>
          <w:p w14:paraId="21BEA2B2">
            <w:pPr>
              <w:spacing w:line="400" w:lineRule="exact"/>
              <w:jc w:val="center"/>
              <w:rPr>
                <w:rFonts w:ascii="宋体" w:hAnsi="宋体" w:cs="宋体"/>
                <w:bCs/>
                <w:color w:val="000000" w:themeColor="text1"/>
                <w:sz w:val="24"/>
                <w14:textFill>
                  <w14:solidFill>
                    <w14:schemeClr w14:val="tx1"/>
                  </w14:solidFill>
                </w14:textFill>
              </w:rPr>
            </w:pPr>
          </w:p>
        </w:tc>
        <w:tc>
          <w:tcPr>
            <w:tcW w:w="1323" w:type="dxa"/>
            <w:vAlign w:val="center"/>
          </w:tcPr>
          <w:p w14:paraId="261171A8">
            <w:pPr>
              <w:spacing w:line="400" w:lineRule="exact"/>
              <w:jc w:val="center"/>
              <w:rPr>
                <w:rFonts w:ascii="宋体" w:hAnsi="宋体" w:cs="宋体"/>
                <w:bCs/>
                <w:color w:val="000000" w:themeColor="text1"/>
                <w:sz w:val="24"/>
                <w14:textFill>
                  <w14:solidFill>
                    <w14:schemeClr w14:val="tx1"/>
                  </w14:solidFill>
                </w14:textFill>
              </w:rPr>
            </w:pPr>
          </w:p>
        </w:tc>
        <w:tc>
          <w:tcPr>
            <w:tcW w:w="2121" w:type="dxa"/>
            <w:vAlign w:val="center"/>
          </w:tcPr>
          <w:p w14:paraId="5558F6DB">
            <w:pPr>
              <w:spacing w:line="400" w:lineRule="exact"/>
              <w:jc w:val="center"/>
              <w:rPr>
                <w:rFonts w:ascii="宋体" w:hAnsi="宋体" w:cs="宋体"/>
                <w:bCs/>
                <w:color w:val="000000" w:themeColor="text1"/>
                <w:sz w:val="24"/>
                <w14:textFill>
                  <w14:solidFill>
                    <w14:schemeClr w14:val="tx1"/>
                  </w14:solidFill>
                </w14:textFill>
              </w:rPr>
            </w:pPr>
          </w:p>
        </w:tc>
        <w:tc>
          <w:tcPr>
            <w:tcW w:w="1893" w:type="dxa"/>
            <w:vAlign w:val="center"/>
          </w:tcPr>
          <w:p w14:paraId="2EAD8C5C">
            <w:pPr>
              <w:spacing w:line="400" w:lineRule="exact"/>
              <w:jc w:val="center"/>
              <w:rPr>
                <w:rFonts w:ascii="宋体" w:hAnsi="宋体" w:cs="宋体"/>
                <w:bCs/>
                <w:color w:val="000000" w:themeColor="text1"/>
                <w:sz w:val="24"/>
                <w14:textFill>
                  <w14:solidFill>
                    <w14:schemeClr w14:val="tx1"/>
                  </w14:solidFill>
                </w14:textFill>
              </w:rPr>
            </w:pPr>
          </w:p>
        </w:tc>
      </w:tr>
      <w:tr w14:paraId="71CDA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91" w:type="dxa"/>
            <w:vAlign w:val="center"/>
          </w:tcPr>
          <w:p w14:paraId="5F702334">
            <w:pPr>
              <w:spacing w:line="400" w:lineRule="exact"/>
              <w:jc w:val="center"/>
              <w:rPr>
                <w:rFonts w:ascii="宋体" w:hAnsi="宋体" w:cs="宋体"/>
                <w:bCs/>
                <w:color w:val="000000" w:themeColor="text1"/>
                <w:sz w:val="24"/>
                <w14:textFill>
                  <w14:solidFill>
                    <w14:schemeClr w14:val="tx1"/>
                  </w14:solidFill>
                </w14:textFill>
              </w:rPr>
            </w:pPr>
          </w:p>
        </w:tc>
        <w:tc>
          <w:tcPr>
            <w:tcW w:w="2015" w:type="dxa"/>
            <w:vAlign w:val="center"/>
          </w:tcPr>
          <w:p w14:paraId="19076116">
            <w:pPr>
              <w:spacing w:line="400" w:lineRule="exact"/>
              <w:jc w:val="center"/>
              <w:rPr>
                <w:rFonts w:ascii="宋体" w:hAnsi="宋体" w:cs="宋体"/>
                <w:bCs/>
                <w:color w:val="000000" w:themeColor="text1"/>
                <w:sz w:val="24"/>
                <w14:textFill>
                  <w14:solidFill>
                    <w14:schemeClr w14:val="tx1"/>
                  </w14:solidFill>
                </w14:textFill>
              </w:rPr>
            </w:pPr>
          </w:p>
        </w:tc>
        <w:tc>
          <w:tcPr>
            <w:tcW w:w="1016" w:type="dxa"/>
            <w:vAlign w:val="center"/>
          </w:tcPr>
          <w:p w14:paraId="674FA11E">
            <w:pPr>
              <w:spacing w:line="400" w:lineRule="exact"/>
              <w:jc w:val="center"/>
              <w:rPr>
                <w:rFonts w:ascii="宋体" w:hAnsi="宋体" w:cs="宋体"/>
                <w:bCs/>
                <w:color w:val="000000" w:themeColor="text1"/>
                <w:sz w:val="24"/>
                <w14:textFill>
                  <w14:solidFill>
                    <w14:schemeClr w14:val="tx1"/>
                  </w14:solidFill>
                </w14:textFill>
              </w:rPr>
            </w:pPr>
          </w:p>
        </w:tc>
        <w:tc>
          <w:tcPr>
            <w:tcW w:w="1323" w:type="dxa"/>
            <w:vAlign w:val="center"/>
          </w:tcPr>
          <w:p w14:paraId="37AC9BC2">
            <w:pPr>
              <w:spacing w:line="400" w:lineRule="exact"/>
              <w:jc w:val="center"/>
              <w:rPr>
                <w:rFonts w:ascii="宋体" w:hAnsi="宋体" w:cs="宋体"/>
                <w:bCs/>
                <w:color w:val="000000" w:themeColor="text1"/>
                <w:sz w:val="24"/>
                <w14:textFill>
                  <w14:solidFill>
                    <w14:schemeClr w14:val="tx1"/>
                  </w14:solidFill>
                </w14:textFill>
              </w:rPr>
            </w:pPr>
          </w:p>
        </w:tc>
        <w:tc>
          <w:tcPr>
            <w:tcW w:w="2121" w:type="dxa"/>
            <w:vAlign w:val="center"/>
          </w:tcPr>
          <w:p w14:paraId="5F37B210">
            <w:pPr>
              <w:spacing w:line="400" w:lineRule="exact"/>
              <w:jc w:val="center"/>
              <w:rPr>
                <w:rFonts w:ascii="宋体" w:hAnsi="宋体" w:cs="宋体"/>
                <w:bCs/>
                <w:color w:val="000000" w:themeColor="text1"/>
                <w:sz w:val="24"/>
                <w14:textFill>
                  <w14:solidFill>
                    <w14:schemeClr w14:val="tx1"/>
                  </w14:solidFill>
                </w14:textFill>
              </w:rPr>
            </w:pPr>
          </w:p>
        </w:tc>
        <w:tc>
          <w:tcPr>
            <w:tcW w:w="1893" w:type="dxa"/>
            <w:vAlign w:val="center"/>
          </w:tcPr>
          <w:p w14:paraId="5D167848">
            <w:pPr>
              <w:spacing w:line="400" w:lineRule="exact"/>
              <w:jc w:val="center"/>
              <w:rPr>
                <w:rFonts w:ascii="宋体" w:hAnsi="宋体" w:cs="宋体"/>
                <w:bCs/>
                <w:color w:val="000000" w:themeColor="text1"/>
                <w:sz w:val="24"/>
                <w14:textFill>
                  <w14:solidFill>
                    <w14:schemeClr w14:val="tx1"/>
                  </w14:solidFill>
                </w14:textFill>
              </w:rPr>
            </w:pPr>
          </w:p>
        </w:tc>
      </w:tr>
      <w:tr w14:paraId="49342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91" w:type="dxa"/>
            <w:vAlign w:val="center"/>
          </w:tcPr>
          <w:p w14:paraId="12395DD6">
            <w:pPr>
              <w:spacing w:line="400" w:lineRule="exact"/>
              <w:jc w:val="center"/>
              <w:rPr>
                <w:rFonts w:ascii="宋体" w:hAnsi="宋体" w:cs="宋体"/>
                <w:bCs/>
                <w:color w:val="000000" w:themeColor="text1"/>
                <w:sz w:val="24"/>
                <w14:textFill>
                  <w14:solidFill>
                    <w14:schemeClr w14:val="tx1"/>
                  </w14:solidFill>
                </w14:textFill>
              </w:rPr>
            </w:pPr>
          </w:p>
        </w:tc>
        <w:tc>
          <w:tcPr>
            <w:tcW w:w="2015" w:type="dxa"/>
            <w:vAlign w:val="center"/>
          </w:tcPr>
          <w:p w14:paraId="05CEEB3F">
            <w:pPr>
              <w:spacing w:line="400" w:lineRule="exact"/>
              <w:jc w:val="center"/>
              <w:rPr>
                <w:rFonts w:ascii="宋体" w:hAnsi="宋体" w:cs="宋体"/>
                <w:bCs/>
                <w:color w:val="000000" w:themeColor="text1"/>
                <w:sz w:val="24"/>
                <w14:textFill>
                  <w14:solidFill>
                    <w14:schemeClr w14:val="tx1"/>
                  </w14:solidFill>
                </w14:textFill>
              </w:rPr>
            </w:pPr>
          </w:p>
        </w:tc>
        <w:tc>
          <w:tcPr>
            <w:tcW w:w="1016" w:type="dxa"/>
            <w:vAlign w:val="center"/>
          </w:tcPr>
          <w:p w14:paraId="5527B6F2">
            <w:pPr>
              <w:spacing w:line="400" w:lineRule="exact"/>
              <w:jc w:val="center"/>
              <w:rPr>
                <w:rFonts w:ascii="宋体" w:hAnsi="宋体" w:cs="宋体"/>
                <w:bCs/>
                <w:color w:val="000000" w:themeColor="text1"/>
                <w:sz w:val="24"/>
                <w14:textFill>
                  <w14:solidFill>
                    <w14:schemeClr w14:val="tx1"/>
                  </w14:solidFill>
                </w14:textFill>
              </w:rPr>
            </w:pPr>
          </w:p>
        </w:tc>
        <w:tc>
          <w:tcPr>
            <w:tcW w:w="1323" w:type="dxa"/>
            <w:vAlign w:val="center"/>
          </w:tcPr>
          <w:p w14:paraId="2E340233">
            <w:pPr>
              <w:spacing w:line="400" w:lineRule="exact"/>
              <w:jc w:val="center"/>
              <w:rPr>
                <w:rFonts w:ascii="宋体" w:hAnsi="宋体" w:cs="宋体"/>
                <w:bCs/>
                <w:color w:val="000000" w:themeColor="text1"/>
                <w:sz w:val="24"/>
                <w14:textFill>
                  <w14:solidFill>
                    <w14:schemeClr w14:val="tx1"/>
                  </w14:solidFill>
                </w14:textFill>
              </w:rPr>
            </w:pPr>
          </w:p>
        </w:tc>
        <w:tc>
          <w:tcPr>
            <w:tcW w:w="2121" w:type="dxa"/>
            <w:vAlign w:val="center"/>
          </w:tcPr>
          <w:p w14:paraId="6E6ACFF4">
            <w:pPr>
              <w:spacing w:line="400" w:lineRule="exact"/>
              <w:jc w:val="center"/>
              <w:rPr>
                <w:rFonts w:ascii="宋体" w:hAnsi="宋体" w:cs="宋体"/>
                <w:bCs/>
                <w:color w:val="000000" w:themeColor="text1"/>
                <w:sz w:val="24"/>
                <w14:textFill>
                  <w14:solidFill>
                    <w14:schemeClr w14:val="tx1"/>
                  </w14:solidFill>
                </w14:textFill>
              </w:rPr>
            </w:pPr>
          </w:p>
        </w:tc>
        <w:tc>
          <w:tcPr>
            <w:tcW w:w="1893" w:type="dxa"/>
            <w:vAlign w:val="center"/>
          </w:tcPr>
          <w:p w14:paraId="125290FA">
            <w:pPr>
              <w:spacing w:line="400" w:lineRule="exact"/>
              <w:jc w:val="center"/>
              <w:rPr>
                <w:rFonts w:ascii="宋体" w:hAnsi="宋体" w:cs="宋体"/>
                <w:bCs/>
                <w:color w:val="000000" w:themeColor="text1"/>
                <w:sz w:val="24"/>
                <w14:textFill>
                  <w14:solidFill>
                    <w14:schemeClr w14:val="tx1"/>
                  </w14:solidFill>
                </w14:textFill>
              </w:rPr>
            </w:pPr>
          </w:p>
        </w:tc>
      </w:tr>
      <w:tr w14:paraId="5ED39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91" w:type="dxa"/>
            <w:vAlign w:val="center"/>
          </w:tcPr>
          <w:p w14:paraId="1038AC8E">
            <w:pPr>
              <w:spacing w:line="400" w:lineRule="exact"/>
              <w:jc w:val="center"/>
              <w:rPr>
                <w:rFonts w:ascii="宋体" w:hAnsi="宋体" w:cs="宋体"/>
                <w:bCs/>
                <w:color w:val="000000" w:themeColor="text1"/>
                <w:sz w:val="24"/>
                <w14:textFill>
                  <w14:solidFill>
                    <w14:schemeClr w14:val="tx1"/>
                  </w14:solidFill>
                </w14:textFill>
              </w:rPr>
            </w:pPr>
          </w:p>
        </w:tc>
        <w:tc>
          <w:tcPr>
            <w:tcW w:w="2015" w:type="dxa"/>
            <w:vAlign w:val="center"/>
          </w:tcPr>
          <w:p w14:paraId="06B88E04">
            <w:pPr>
              <w:spacing w:line="400" w:lineRule="exact"/>
              <w:jc w:val="center"/>
              <w:rPr>
                <w:rFonts w:ascii="宋体" w:hAnsi="宋体" w:cs="宋体"/>
                <w:bCs/>
                <w:color w:val="000000" w:themeColor="text1"/>
                <w:sz w:val="24"/>
                <w14:textFill>
                  <w14:solidFill>
                    <w14:schemeClr w14:val="tx1"/>
                  </w14:solidFill>
                </w14:textFill>
              </w:rPr>
            </w:pPr>
          </w:p>
        </w:tc>
        <w:tc>
          <w:tcPr>
            <w:tcW w:w="1016" w:type="dxa"/>
            <w:vAlign w:val="center"/>
          </w:tcPr>
          <w:p w14:paraId="7A670C8C">
            <w:pPr>
              <w:spacing w:line="400" w:lineRule="exact"/>
              <w:jc w:val="center"/>
              <w:rPr>
                <w:rFonts w:ascii="宋体" w:hAnsi="宋体" w:cs="宋体"/>
                <w:bCs/>
                <w:color w:val="000000" w:themeColor="text1"/>
                <w:sz w:val="24"/>
                <w14:textFill>
                  <w14:solidFill>
                    <w14:schemeClr w14:val="tx1"/>
                  </w14:solidFill>
                </w14:textFill>
              </w:rPr>
            </w:pPr>
          </w:p>
        </w:tc>
        <w:tc>
          <w:tcPr>
            <w:tcW w:w="1323" w:type="dxa"/>
            <w:vAlign w:val="center"/>
          </w:tcPr>
          <w:p w14:paraId="28A14142">
            <w:pPr>
              <w:spacing w:line="400" w:lineRule="exact"/>
              <w:jc w:val="center"/>
              <w:rPr>
                <w:rFonts w:ascii="宋体" w:hAnsi="宋体" w:cs="宋体"/>
                <w:bCs/>
                <w:color w:val="000000" w:themeColor="text1"/>
                <w:sz w:val="24"/>
                <w14:textFill>
                  <w14:solidFill>
                    <w14:schemeClr w14:val="tx1"/>
                  </w14:solidFill>
                </w14:textFill>
              </w:rPr>
            </w:pPr>
          </w:p>
        </w:tc>
        <w:tc>
          <w:tcPr>
            <w:tcW w:w="2121" w:type="dxa"/>
            <w:vAlign w:val="center"/>
          </w:tcPr>
          <w:p w14:paraId="01AFFEF6">
            <w:pPr>
              <w:spacing w:line="400" w:lineRule="exact"/>
              <w:jc w:val="center"/>
              <w:rPr>
                <w:rFonts w:ascii="宋体" w:hAnsi="宋体" w:cs="宋体"/>
                <w:bCs/>
                <w:color w:val="000000" w:themeColor="text1"/>
                <w:sz w:val="24"/>
                <w14:textFill>
                  <w14:solidFill>
                    <w14:schemeClr w14:val="tx1"/>
                  </w14:solidFill>
                </w14:textFill>
              </w:rPr>
            </w:pPr>
          </w:p>
        </w:tc>
        <w:tc>
          <w:tcPr>
            <w:tcW w:w="1893" w:type="dxa"/>
            <w:vAlign w:val="center"/>
          </w:tcPr>
          <w:p w14:paraId="706CCFAB">
            <w:pPr>
              <w:spacing w:line="400" w:lineRule="exact"/>
              <w:jc w:val="center"/>
              <w:rPr>
                <w:rFonts w:ascii="宋体" w:hAnsi="宋体" w:cs="宋体"/>
                <w:bCs/>
                <w:color w:val="000000" w:themeColor="text1"/>
                <w:sz w:val="24"/>
                <w14:textFill>
                  <w14:solidFill>
                    <w14:schemeClr w14:val="tx1"/>
                  </w14:solidFill>
                </w14:textFill>
              </w:rPr>
            </w:pPr>
          </w:p>
        </w:tc>
      </w:tr>
      <w:tr w14:paraId="12059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91" w:type="dxa"/>
            <w:vAlign w:val="center"/>
          </w:tcPr>
          <w:p w14:paraId="73B18134">
            <w:pPr>
              <w:spacing w:line="400" w:lineRule="exact"/>
              <w:jc w:val="center"/>
              <w:rPr>
                <w:rFonts w:ascii="宋体" w:hAnsi="宋体" w:cs="宋体"/>
                <w:bCs/>
                <w:color w:val="000000" w:themeColor="text1"/>
                <w:sz w:val="24"/>
                <w14:textFill>
                  <w14:solidFill>
                    <w14:schemeClr w14:val="tx1"/>
                  </w14:solidFill>
                </w14:textFill>
              </w:rPr>
            </w:pPr>
          </w:p>
        </w:tc>
        <w:tc>
          <w:tcPr>
            <w:tcW w:w="2015" w:type="dxa"/>
            <w:vAlign w:val="center"/>
          </w:tcPr>
          <w:p w14:paraId="0A9F5FA9">
            <w:pPr>
              <w:spacing w:line="400" w:lineRule="exact"/>
              <w:jc w:val="center"/>
              <w:rPr>
                <w:rFonts w:ascii="宋体" w:hAnsi="宋体" w:cs="宋体"/>
                <w:bCs/>
                <w:color w:val="000000" w:themeColor="text1"/>
                <w:sz w:val="24"/>
                <w14:textFill>
                  <w14:solidFill>
                    <w14:schemeClr w14:val="tx1"/>
                  </w14:solidFill>
                </w14:textFill>
              </w:rPr>
            </w:pPr>
          </w:p>
        </w:tc>
        <w:tc>
          <w:tcPr>
            <w:tcW w:w="1016" w:type="dxa"/>
            <w:vAlign w:val="center"/>
          </w:tcPr>
          <w:p w14:paraId="37D10DA2">
            <w:pPr>
              <w:spacing w:line="400" w:lineRule="exact"/>
              <w:jc w:val="center"/>
              <w:rPr>
                <w:rFonts w:ascii="宋体" w:hAnsi="宋体" w:cs="宋体"/>
                <w:bCs/>
                <w:color w:val="000000" w:themeColor="text1"/>
                <w:sz w:val="24"/>
                <w14:textFill>
                  <w14:solidFill>
                    <w14:schemeClr w14:val="tx1"/>
                  </w14:solidFill>
                </w14:textFill>
              </w:rPr>
            </w:pPr>
          </w:p>
        </w:tc>
        <w:tc>
          <w:tcPr>
            <w:tcW w:w="1323" w:type="dxa"/>
            <w:vAlign w:val="center"/>
          </w:tcPr>
          <w:p w14:paraId="7F607BE3">
            <w:pPr>
              <w:spacing w:line="400" w:lineRule="exact"/>
              <w:jc w:val="center"/>
              <w:rPr>
                <w:rFonts w:ascii="宋体" w:hAnsi="宋体" w:cs="宋体"/>
                <w:bCs/>
                <w:color w:val="000000" w:themeColor="text1"/>
                <w:sz w:val="24"/>
                <w14:textFill>
                  <w14:solidFill>
                    <w14:schemeClr w14:val="tx1"/>
                  </w14:solidFill>
                </w14:textFill>
              </w:rPr>
            </w:pPr>
          </w:p>
        </w:tc>
        <w:tc>
          <w:tcPr>
            <w:tcW w:w="2121" w:type="dxa"/>
            <w:vAlign w:val="center"/>
          </w:tcPr>
          <w:p w14:paraId="2A5166FE">
            <w:pPr>
              <w:spacing w:line="400" w:lineRule="exact"/>
              <w:jc w:val="center"/>
              <w:rPr>
                <w:rFonts w:ascii="宋体" w:hAnsi="宋体" w:cs="宋体"/>
                <w:bCs/>
                <w:color w:val="000000" w:themeColor="text1"/>
                <w:sz w:val="24"/>
                <w14:textFill>
                  <w14:solidFill>
                    <w14:schemeClr w14:val="tx1"/>
                  </w14:solidFill>
                </w14:textFill>
              </w:rPr>
            </w:pPr>
          </w:p>
        </w:tc>
        <w:tc>
          <w:tcPr>
            <w:tcW w:w="1893" w:type="dxa"/>
            <w:vAlign w:val="center"/>
          </w:tcPr>
          <w:p w14:paraId="503F8F0B">
            <w:pPr>
              <w:spacing w:line="400" w:lineRule="exact"/>
              <w:jc w:val="center"/>
              <w:rPr>
                <w:rFonts w:ascii="宋体" w:hAnsi="宋体" w:cs="宋体"/>
                <w:bCs/>
                <w:color w:val="000000" w:themeColor="text1"/>
                <w:sz w:val="24"/>
                <w14:textFill>
                  <w14:solidFill>
                    <w14:schemeClr w14:val="tx1"/>
                  </w14:solidFill>
                </w14:textFill>
              </w:rPr>
            </w:pPr>
          </w:p>
        </w:tc>
      </w:tr>
      <w:tr w14:paraId="2D80C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91" w:type="dxa"/>
            <w:vAlign w:val="center"/>
          </w:tcPr>
          <w:p w14:paraId="51D321F7">
            <w:pPr>
              <w:spacing w:line="400" w:lineRule="exact"/>
              <w:jc w:val="center"/>
              <w:rPr>
                <w:rFonts w:ascii="宋体" w:hAnsi="宋体" w:cs="宋体"/>
                <w:bCs/>
                <w:color w:val="000000" w:themeColor="text1"/>
                <w:sz w:val="24"/>
                <w14:textFill>
                  <w14:solidFill>
                    <w14:schemeClr w14:val="tx1"/>
                  </w14:solidFill>
                </w14:textFill>
              </w:rPr>
            </w:pPr>
          </w:p>
        </w:tc>
        <w:tc>
          <w:tcPr>
            <w:tcW w:w="2015" w:type="dxa"/>
            <w:vAlign w:val="center"/>
          </w:tcPr>
          <w:p w14:paraId="2E8BDE80">
            <w:pPr>
              <w:spacing w:line="400" w:lineRule="exact"/>
              <w:jc w:val="center"/>
              <w:rPr>
                <w:rFonts w:ascii="宋体" w:hAnsi="宋体" w:cs="宋体"/>
                <w:bCs/>
                <w:color w:val="000000" w:themeColor="text1"/>
                <w:sz w:val="24"/>
                <w14:textFill>
                  <w14:solidFill>
                    <w14:schemeClr w14:val="tx1"/>
                  </w14:solidFill>
                </w14:textFill>
              </w:rPr>
            </w:pPr>
          </w:p>
        </w:tc>
        <w:tc>
          <w:tcPr>
            <w:tcW w:w="1016" w:type="dxa"/>
            <w:vAlign w:val="center"/>
          </w:tcPr>
          <w:p w14:paraId="46C67F12">
            <w:pPr>
              <w:spacing w:line="400" w:lineRule="exact"/>
              <w:jc w:val="center"/>
              <w:rPr>
                <w:rFonts w:ascii="宋体" w:hAnsi="宋体" w:cs="宋体"/>
                <w:bCs/>
                <w:color w:val="000000" w:themeColor="text1"/>
                <w:sz w:val="24"/>
                <w14:textFill>
                  <w14:solidFill>
                    <w14:schemeClr w14:val="tx1"/>
                  </w14:solidFill>
                </w14:textFill>
              </w:rPr>
            </w:pPr>
          </w:p>
        </w:tc>
        <w:tc>
          <w:tcPr>
            <w:tcW w:w="1323" w:type="dxa"/>
            <w:vAlign w:val="center"/>
          </w:tcPr>
          <w:p w14:paraId="4236F59D">
            <w:pPr>
              <w:spacing w:line="400" w:lineRule="exact"/>
              <w:jc w:val="center"/>
              <w:rPr>
                <w:rFonts w:ascii="宋体" w:hAnsi="宋体" w:cs="宋体"/>
                <w:bCs/>
                <w:color w:val="000000" w:themeColor="text1"/>
                <w:sz w:val="24"/>
                <w14:textFill>
                  <w14:solidFill>
                    <w14:schemeClr w14:val="tx1"/>
                  </w14:solidFill>
                </w14:textFill>
              </w:rPr>
            </w:pPr>
          </w:p>
        </w:tc>
        <w:tc>
          <w:tcPr>
            <w:tcW w:w="2121" w:type="dxa"/>
            <w:vAlign w:val="center"/>
          </w:tcPr>
          <w:p w14:paraId="13A57D59">
            <w:pPr>
              <w:spacing w:line="400" w:lineRule="exact"/>
              <w:jc w:val="center"/>
              <w:rPr>
                <w:rFonts w:ascii="宋体" w:hAnsi="宋体" w:cs="宋体"/>
                <w:bCs/>
                <w:color w:val="000000" w:themeColor="text1"/>
                <w:sz w:val="24"/>
                <w14:textFill>
                  <w14:solidFill>
                    <w14:schemeClr w14:val="tx1"/>
                  </w14:solidFill>
                </w14:textFill>
              </w:rPr>
            </w:pPr>
          </w:p>
        </w:tc>
        <w:tc>
          <w:tcPr>
            <w:tcW w:w="1893" w:type="dxa"/>
            <w:vAlign w:val="center"/>
          </w:tcPr>
          <w:p w14:paraId="54E082B2">
            <w:pPr>
              <w:spacing w:line="400" w:lineRule="exact"/>
              <w:jc w:val="center"/>
              <w:rPr>
                <w:rFonts w:ascii="宋体" w:hAnsi="宋体" w:cs="宋体"/>
                <w:bCs/>
                <w:color w:val="000000" w:themeColor="text1"/>
                <w:sz w:val="24"/>
                <w14:textFill>
                  <w14:solidFill>
                    <w14:schemeClr w14:val="tx1"/>
                  </w14:solidFill>
                </w14:textFill>
              </w:rPr>
            </w:pPr>
          </w:p>
        </w:tc>
      </w:tr>
      <w:tr w14:paraId="55DE6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91" w:type="dxa"/>
            <w:vAlign w:val="center"/>
          </w:tcPr>
          <w:p w14:paraId="34731846">
            <w:pPr>
              <w:spacing w:line="400" w:lineRule="exact"/>
              <w:jc w:val="center"/>
              <w:rPr>
                <w:rFonts w:ascii="宋体" w:hAnsi="宋体" w:cs="宋体"/>
                <w:bCs/>
                <w:color w:val="000000" w:themeColor="text1"/>
                <w:sz w:val="24"/>
                <w14:textFill>
                  <w14:solidFill>
                    <w14:schemeClr w14:val="tx1"/>
                  </w14:solidFill>
                </w14:textFill>
              </w:rPr>
            </w:pPr>
          </w:p>
        </w:tc>
        <w:tc>
          <w:tcPr>
            <w:tcW w:w="2015" w:type="dxa"/>
            <w:vAlign w:val="center"/>
          </w:tcPr>
          <w:p w14:paraId="0A9938A8">
            <w:pPr>
              <w:spacing w:line="400" w:lineRule="exact"/>
              <w:jc w:val="center"/>
              <w:rPr>
                <w:rFonts w:ascii="宋体" w:hAnsi="宋体" w:cs="宋体"/>
                <w:bCs/>
                <w:color w:val="000000" w:themeColor="text1"/>
                <w:sz w:val="24"/>
                <w14:textFill>
                  <w14:solidFill>
                    <w14:schemeClr w14:val="tx1"/>
                  </w14:solidFill>
                </w14:textFill>
              </w:rPr>
            </w:pPr>
          </w:p>
        </w:tc>
        <w:tc>
          <w:tcPr>
            <w:tcW w:w="1016" w:type="dxa"/>
            <w:vAlign w:val="center"/>
          </w:tcPr>
          <w:p w14:paraId="5791FBAF">
            <w:pPr>
              <w:spacing w:line="400" w:lineRule="exact"/>
              <w:jc w:val="center"/>
              <w:rPr>
                <w:rFonts w:ascii="宋体" w:hAnsi="宋体" w:cs="宋体"/>
                <w:bCs/>
                <w:color w:val="000000" w:themeColor="text1"/>
                <w:sz w:val="24"/>
                <w14:textFill>
                  <w14:solidFill>
                    <w14:schemeClr w14:val="tx1"/>
                  </w14:solidFill>
                </w14:textFill>
              </w:rPr>
            </w:pPr>
          </w:p>
        </w:tc>
        <w:tc>
          <w:tcPr>
            <w:tcW w:w="1323" w:type="dxa"/>
            <w:vAlign w:val="center"/>
          </w:tcPr>
          <w:p w14:paraId="34D52345">
            <w:pPr>
              <w:spacing w:line="400" w:lineRule="exact"/>
              <w:jc w:val="center"/>
              <w:rPr>
                <w:rFonts w:ascii="宋体" w:hAnsi="宋体" w:cs="宋体"/>
                <w:bCs/>
                <w:color w:val="000000" w:themeColor="text1"/>
                <w:sz w:val="24"/>
                <w14:textFill>
                  <w14:solidFill>
                    <w14:schemeClr w14:val="tx1"/>
                  </w14:solidFill>
                </w14:textFill>
              </w:rPr>
            </w:pPr>
          </w:p>
        </w:tc>
        <w:tc>
          <w:tcPr>
            <w:tcW w:w="2121" w:type="dxa"/>
            <w:vAlign w:val="center"/>
          </w:tcPr>
          <w:p w14:paraId="5DADC7EB">
            <w:pPr>
              <w:spacing w:line="400" w:lineRule="exact"/>
              <w:jc w:val="center"/>
              <w:rPr>
                <w:rFonts w:ascii="宋体" w:hAnsi="宋体" w:cs="宋体"/>
                <w:bCs/>
                <w:color w:val="000000" w:themeColor="text1"/>
                <w:sz w:val="24"/>
                <w14:textFill>
                  <w14:solidFill>
                    <w14:schemeClr w14:val="tx1"/>
                  </w14:solidFill>
                </w14:textFill>
              </w:rPr>
            </w:pPr>
          </w:p>
        </w:tc>
        <w:tc>
          <w:tcPr>
            <w:tcW w:w="1893" w:type="dxa"/>
            <w:vAlign w:val="center"/>
          </w:tcPr>
          <w:p w14:paraId="1248B8CB">
            <w:pPr>
              <w:spacing w:line="400" w:lineRule="exact"/>
              <w:jc w:val="center"/>
              <w:rPr>
                <w:rFonts w:ascii="宋体" w:hAnsi="宋体" w:cs="宋体"/>
                <w:bCs/>
                <w:color w:val="000000" w:themeColor="text1"/>
                <w:sz w:val="24"/>
                <w14:textFill>
                  <w14:solidFill>
                    <w14:schemeClr w14:val="tx1"/>
                  </w14:solidFill>
                </w14:textFill>
              </w:rPr>
            </w:pPr>
          </w:p>
        </w:tc>
      </w:tr>
    </w:tbl>
    <w:p w14:paraId="7C452B8F">
      <w:pPr>
        <w:spacing w:line="500" w:lineRule="exact"/>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注：1.后附相应人员证明材料复印件。</w:t>
      </w:r>
      <w:bookmarkStart w:id="187" w:name="OLE_LINK72"/>
    </w:p>
    <w:p w14:paraId="69AC5180">
      <w:pPr>
        <w:spacing w:line="500" w:lineRule="exact"/>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w:t>
      </w:r>
      <w:bookmarkEnd w:id="187"/>
      <w:r>
        <w:rPr>
          <w:rFonts w:hint="eastAsia" w:ascii="宋体" w:hAnsi="宋体" w:cs="宋体"/>
          <w:color w:val="000000" w:themeColor="text1"/>
          <w:sz w:val="24"/>
          <w14:textFill>
            <w14:solidFill>
              <w14:schemeClr w14:val="tx1"/>
            </w14:solidFill>
          </w14:textFill>
        </w:rPr>
        <w:t>如内容、表格不够可以自行扩展。</w:t>
      </w:r>
    </w:p>
    <w:p w14:paraId="3E68503F">
      <w:pPr>
        <w:pStyle w:val="6"/>
        <w:ind w:firstLine="0" w:firstLineChars="0"/>
        <w:rPr>
          <w:rFonts w:ascii="宋体" w:hAnsi="宋体" w:cs="宋体"/>
          <w:color w:val="000000" w:themeColor="text1"/>
          <w:sz w:val="28"/>
          <w:szCs w:val="28"/>
          <w14:textFill>
            <w14:solidFill>
              <w14:schemeClr w14:val="tx1"/>
            </w14:solidFill>
          </w14:textFill>
        </w:rPr>
      </w:pPr>
    </w:p>
    <w:p w14:paraId="54904325">
      <w:pPr>
        <w:spacing w:line="700" w:lineRule="exact"/>
        <w:rPr>
          <w:rFonts w:ascii="宋体" w:hAnsi="宋体" w:cs="宋体"/>
          <w:color w:val="000000" w:themeColor="text1"/>
          <w:sz w:val="28"/>
          <w:szCs w:val="28"/>
          <w14:textFill>
            <w14:solidFill>
              <w14:schemeClr w14:val="tx1"/>
            </w14:solidFill>
          </w14:textFill>
        </w:rPr>
      </w:pPr>
    </w:p>
    <w:p w14:paraId="61D71877">
      <w:pPr>
        <w:pStyle w:val="3"/>
        <w:bidi w:val="0"/>
        <w:rPr>
          <w:rFonts w:hint="eastAsia"/>
        </w:rPr>
      </w:pPr>
      <w:bookmarkStart w:id="188" w:name="_Toc5869"/>
      <w:r>
        <w:rPr>
          <w:rFonts w:hint="eastAsia"/>
        </w:rPr>
        <w:t>格式九、投标人业绩情况表</w:t>
      </w:r>
      <w:bookmarkEnd w:id="188"/>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2"/>
        <w:gridCol w:w="1512"/>
        <w:gridCol w:w="1512"/>
        <w:gridCol w:w="1512"/>
        <w:gridCol w:w="1512"/>
        <w:gridCol w:w="1512"/>
      </w:tblGrid>
      <w:tr w14:paraId="21B3C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1512" w:type="dxa"/>
            <w:vAlign w:val="center"/>
          </w:tcPr>
          <w:p w14:paraId="62087C8E">
            <w:pPr>
              <w:spacing w:line="36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序号</w:t>
            </w:r>
          </w:p>
        </w:tc>
        <w:tc>
          <w:tcPr>
            <w:tcW w:w="1512" w:type="dxa"/>
            <w:vAlign w:val="center"/>
          </w:tcPr>
          <w:p w14:paraId="489E1EBE">
            <w:pPr>
              <w:spacing w:line="36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招标人</w:t>
            </w:r>
          </w:p>
        </w:tc>
        <w:tc>
          <w:tcPr>
            <w:tcW w:w="1512" w:type="dxa"/>
            <w:vAlign w:val="center"/>
          </w:tcPr>
          <w:p w14:paraId="1336E795">
            <w:pPr>
              <w:spacing w:line="36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项目名称</w:t>
            </w:r>
          </w:p>
        </w:tc>
        <w:tc>
          <w:tcPr>
            <w:tcW w:w="1512" w:type="dxa"/>
            <w:vAlign w:val="center"/>
          </w:tcPr>
          <w:p w14:paraId="1D04AA75">
            <w:pPr>
              <w:spacing w:line="360" w:lineRule="exact"/>
              <w:jc w:val="center"/>
              <w:rPr>
                <w:rFonts w:ascii="宋体" w:hAnsi="宋体" w:cs="宋体"/>
                <w:color w:val="000000" w:themeColor="text1"/>
                <w:sz w:val="24"/>
                <w14:textFill>
                  <w14:solidFill>
                    <w14:schemeClr w14:val="tx1"/>
                  </w14:solidFill>
                </w14:textFill>
              </w:rPr>
            </w:pPr>
            <w:bookmarkStart w:id="189" w:name="OLE_LINK81"/>
            <w:bookmarkStart w:id="190" w:name="OLE_LINK80"/>
            <w:r>
              <w:rPr>
                <w:rFonts w:hint="eastAsia" w:ascii="宋体" w:hAnsi="宋体" w:cs="宋体"/>
                <w:color w:val="000000" w:themeColor="text1"/>
                <w:sz w:val="24"/>
                <w14:textFill>
                  <w14:solidFill>
                    <w14:schemeClr w14:val="tx1"/>
                  </w14:solidFill>
                </w14:textFill>
              </w:rPr>
              <w:t>采购</w:t>
            </w:r>
            <w:bookmarkEnd w:id="189"/>
            <w:r>
              <w:rPr>
                <w:rFonts w:hint="eastAsia" w:ascii="宋体" w:hAnsi="宋体" w:cs="宋体"/>
                <w:color w:val="000000" w:themeColor="text1"/>
                <w:sz w:val="24"/>
                <w14:textFill>
                  <w14:solidFill>
                    <w14:schemeClr w14:val="tx1"/>
                  </w14:solidFill>
                </w14:textFill>
              </w:rPr>
              <w:t>内容</w:t>
            </w:r>
            <w:bookmarkEnd w:id="190"/>
          </w:p>
        </w:tc>
        <w:tc>
          <w:tcPr>
            <w:tcW w:w="1512" w:type="dxa"/>
            <w:vAlign w:val="center"/>
          </w:tcPr>
          <w:p w14:paraId="24456EBA">
            <w:pPr>
              <w:spacing w:line="36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合同总价</w:t>
            </w:r>
          </w:p>
        </w:tc>
        <w:tc>
          <w:tcPr>
            <w:tcW w:w="1512" w:type="dxa"/>
            <w:vAlign w:val="center"/>
          </w:tcPr>
          <w:p w14:paraId="291CEC94">
            <w:pPr>
              <w:spacing w:line="36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签订时间</w:t>
            </w:r>
          </w:p>
        </w:tc>
      </w:tr>
      <w:tr w14:paraId="67E86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trPr>
        <w:tc>
          <w:tcPr>
            <w:tcW w:w="1512" w:type="dxa"/>
            <w:vAlign w:val="center"/>
          </w:tcPr>
          <w:p w14:paraId="1BA2A2E6">
            <w:pPr>
              <w:spacing w:line="36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p>
        </w:tc>
        <w:tc>
          <w:tcPr>
            <w:tcW w:w="1512" w:type="dxa"/>
          </w:tcPr>
          <w:p w14:paraId="2CB8F807">
            <w:pPr>
              <w:rPr>
                <w:color w:val="000000" w:themeColor="text1"/>
                <w14:textFill>
                  <w14:solidFill>
                    <w14:schemeClr w14:val="tx1"/>
                  </w14:solidFill>
                </w14:textFill>
              </w:rPr>
            </w:pPr>
          </w:p>
        </w:tc>
        <w:tc>
          <w:tcPr>
            <w:tcW w:w="1512" w:type="dxa"/>
          </w:tcPr>
          <w:p w14:paraId="70F55ED5">
            <w:pPr>
              <w:rPr>
                <w:color w:val="000000" w:themeColor="text1"/>
                <w14:textFill>
                  <w14:solidFill>
                    <w14:schemeClr w14:val="tx1"/>
                  </w14:solidFill>
                </w14:textFill>
              </w:rPr>
            </w:pPr>
          </w:p>
        </w:tc>
        <w:tc>
          <w:tcPr>
            <w:tcW w:w="1512" w:type="dxa"/>
          </w:tcPr>
          <w:p w14:paraId="072E752E">
            <w:pPr>
              <w:rPr>
                <w:color w:val="000000" w:themeColor="text1"/>
                <w14:textFill>
                  <w14:solidFill>
                    <w14:schemeClr w14:val="tx1"/>
                  </w14:solidFill>
                </w14:textFill>
              </w:rPr>
            </w:pPr>
          </w:p>
        </w:tc>
        <w:tc>
          <w:tcPr>
            <w:tcW w:w="1512" w:type="dxa"/>
          </w:tcPr>
          <w:p w14:paraId="52AA8820">
            <w:pPr>
              <w:rPr>
                <w:color w:val="000000" w:themeColor="text1"/>
                <w14:textFill>
                  <w14:solidFill>
                    <w14:schemeClr w14:val="tx1"/>
                  </w14:solidFill>
                </w14:textFill>
              </w:rPr>
            </w:pPr>
          </w:p>
        </w:tc>
        <w:tc>
          <w:tcPr>
            <w:tcW w:w="1512" w:type="dxa"/>
          </w:tcPr>
          <w:p w14:paraId="6A37ADB9">
            <w:pPr>
              <w:rPr>
                <w:color w:val="000000" w:themeColor="text1"/>
                <w14:textFill>
                  <w14:solidFill>
                    <w14:schemeClr w14:val="tx1"/>
                  </w14:solidFill>
                </w14:textFill>
              </w:rPr>
            </w:pPr>
          </w:p>
        </w:tc>
      </w:tr>
      <w:tr w14:paraId="689B2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1512" w:type="dxa"/>
            <w:vAlign w:val="center"/>
          </w:tcPr>
          <w:p w14:paraId="598362EA">
            <w:pPr>
              <w:spacing w:line="36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w:t>
            </w:r>
          </w:p>
        </w:tc>
        <w:tc>
          <w:tcPr>
            <w:tcW w:w="1512" w:type="dxa"/>
          </w:tcPr>
          <w:p w14:paraId="278D1748">
            <w:pPr>
              <w:rPr>
                <w:color w:val="000000" w:themeColor="text1"/>
                <w14:textFill>
                  <w14:solidFill>
                    <w14:schemeClr w14:val="tx1"/>
                  </w14:solidFill>
                </w14:textFill>
              </w:rPr>
            </w:pPr>
          </w:p>
        </w:tc>
        <w:tc>
          <w:tcPr>
            <w:tcW w:w="1512" w:type="dxa"/>
          </w:tcPr>
          <w:p w14:paraId="1E6579DA">
            <w:pPr>
              <w:rPr>
                <w:color w:val="000000" w:themeColor="text1"/>
                <w14:textFill>
                  <w14:solidFill>
                    <w14:schemeClr w14:val="tx1"/>
                  </w14:solidFill>
                </w14:textFill>
              </w:rPr>
            </w:pPr>
          </w:p>
        </w:tc>
        <w:tc>
          <w:tcPr>
            <w:tcW w:w="1512" w:type="dxa"/>
          </w:tcPr>
          <w:p w14:paraId="4D0356F7">
            <w:pPr>
              <w:rPr>
                <w:color w:val="000000" w:themeColor="text1"/>
                <w14:textFill>
                  <w14:solidFill>
                    <w14:schemeClr w14:val="tx1"/>
                  </w14:solidFill>
                </w14:textFill>
              </w:rPr>
            </w:pPr>
          </w:p>
        </w:tc>
        <w:tc>
          <w:tcPr>
            <w:tcW w:w="1512" w:type="dxa"/>
          </w:tcPr>
          <w:p w14:paraId="14FE0690">
            <w:pPr>
              <w:rPr>
                <w:color w:val="000000" w:themeColor="text1"/>
                <w14:textFill>
                  <w14:solidFill>
                    <w14:schemeClr w14:val="tx1"/>
                  </w14:solidFill>
                </w14:textFill>
              </w:rPr>
            </w:pPr>
          </w:p>
        </w:tc>
        <w:tc>
          <w:tcPr>
            <w:tcW w:w="1512" w:type="dxa"/>
          </w:tcPr>
          <w:p w14:paraId="0A565CFF">
            <w:pPr>
              <w:rPr>
                <w:color w:val="000000" w:themeColor="text1"/>
                <w14:textFill>
                  <w14:solidFill>
                    <w14:schemeClr w14:val="tx1"/>
                  </w14:solidFill>
                </w14:textFill>
              </w:rPr>
            </w:pPr>
          </w:p>
        </w:tc>
      </w:tr>
      <w:tr w14:paraId="74701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1512" w:type="dxa"/>
            <w:vAlign w:val="center"/>
          </w:tcPr>
          <w:p w14:paraId="317AC440">
            <w:pPr>
              <w:spacing w:line="36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w:t>
            </w:r>
          </w:p>
        </w:tc>
        <w:tc>
          <w:tcPr>
            <w:tcW w:w="1512" w:type="dxa"/>
          </w:tcPr>
          <w:p w14:paraId="1F9BB4F7">
            <w:pPr>
              <w:rPr>
                <w:color w:val="000000" w:themeColor="text1"/>
                <w14:textFill>
                  <w14:solidFill>
                    <w14:schemeClr w14:val="tx1"/>
                  </w14:solidFill>
                </w14:textFill>
              </w:rPr>
            </w:pPr>
          </w:p>
        </w:tc>
        <w:tc>
          <w:tcPr>
            <w:tcW w:w="1512" w:type="dxa"/>
          </w:tcPr>
          <w:p w14:paraId="1DE50B15">
            <w:pPr>
              <w:rPr>
                <w:color w:val="000000" w:themeColor="text1"/>
                <w14:textFill>
                  <w14:solidFill>
                    <w14:schemeClr w14:val="tx1"/>
                  </w14:solidFill>
                </w14:textFill>
              </w:rPr>
            </w:pPr>
          </w:p>
        </w:tc>
        <w:tc>
          <w:tcPr>
            <w:tcW w:w="1512" w:type="dxa"/>
          </w:tcPr>
          <w:p w14:paraId="23322B31">
            <w:pPr>
              <w:rPr>
                <w:color w:val="000000" w:themeColor="text1"/>
                <w14:textFill>
                  <w14:solidFill>
                    <w14:schemeClr w14:val="tx1"/>
                  </w14:solidFill>
                </w14:textFill>
              </w:rPr>
            </w:pPr>
          </w:p>
        </w:tc>
        <w:tc>
          <w:tcPr>
            <w:tcW w:w="1512" w:type="dxa"/>
          </w:tcPr>
          <w:p w14:paraId="501299E5">
            <w:pPr>
              <w:rPr>
                <w:color w:val="000000" w:themeColor="text1"/>
                <w14:textFill>
                  <w14:solidFill>
                    <w14:schemeClr w14:val="tx1"/>
                  </w14:solidFill>
                </w14:textFill>
              </w:rPr>
            </w:pPr>
          </w:p>
        </w:tc>
        <w:tc>
          <w:tcPr>
            <w:tcW w:w="1512" w:type="dxa"/>
          </w:tcPr>
          <w:p w14:paraId="4D5D6C72">
            <w:pPr>
              <w:rPr>
                <w:color w:val="000000" w:themeColor="text1"/>
                <w14:textFill>
                  <w14:solidFill>
                    <w14:schemeClr w14:val="tx1"/>
                  </w14:solidFill>
                </w14:textFill>
              </w:rPr>
            </w:pPr>
          </w:p>
        </w:tc>
      </w:tr>
      <w:tr w14:paraId="56823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trPr>
        <w:tc>
          <w:tcPr>
            <w:tcW w:w="1512" w:type="dxa"/>
            <w:vAlign w:val="center"/>
          </w:tcPr>
          <w:p w14:paraId="0665A4D2">
            <w:pPr>
              <w:spacing w:line="36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w:t>
            </w:r>
          </w:p>
        </w:tc>
        <w:tc>
          <w:tcPr>
            <w:tcW w:w="1512" w:type="dxa"/>
          </w:tcPr>
          <w:p w14:paraId="4587E97A">
            <w:pPr>
              <w:rPr>
                <w:color w:val="000000" w:themeColor="text1"/>
                <w14:textFill>
                  <w14:solidFill>
                    <w14:schemeClr w14:val="tx1"/>
                  </w14:solidFill>
                </w14:textFill>
              </w:rPr>
            </w:pPr>
          </w:p>
        </w:tc>
        <w:tc>
          <w:tcPr>
            <w:tcW w:w="1512" w:type="dxa"/>
          </w:tcPr>
          <w:p w14:paraId="26671062">
            <w:pPr>
              <w:rPr>
                <w:color w:val="000000" w:themeColor="text1"/>
                <w14:textFill>
                  <w14:solidFill>
                    <w14:schemeClr w14:val="tx1"/>
                  </w14:solidFill>
                </w14:textFill>
              </w:rPr>
            </w:pPr>
          </w:p>
        </w:tc>
        <w:tc>
          <w:tcPr>
            <w:tcW w:w="1512" w:type="dxa"/>
          </w:tcPr>
          <w:p w14:paraId="6EFF7EA8">
            <w:pPr>
              <w:rPr>
                <w:color w:val="000000" w:themeColor="text1"/>
                <w14:textFill>
                  <w14:solidFill>
                    <w14:schemeClr w14:val="tx1"/>
                  </w14:solidFill>
                </w14:textFill>
              </w:rPr>
            </w:pPr>
          </w:p>
        </w:tc>
        <w:tc>
          <w:tcPr>
            <w:tcW w:w="1512" w:type="dxa"/>
          </w:tcPr>
          <w:p w14:paraId="6CB0E16E">
            <w:pPr>
              <w:rPr>
                <w:color w:val="000000" w:themeColor="text1"/>
                <w14:textFill>
                  <w14:solidFill>
                    <w14:schemeClr w14:val="tx1"/>
                  </w14:solidFill>
                </w14:textFill>
              </w:rPr>
            </w:pPr>
          </w:p>
        </w:tc>
        <w:tc>
          <w:tcPr>
            <w:tcW w:w="1512" w:type="dxa"/>
          </w:tcPr>
          <w:p w14:paraId="7B5106B2">
            <w:pPr>
              <w:rPr>
                <w:color w:val="000000" w:themeColor="text1"/>
                <w14:textFill>
                  <w14:solidFill>
                    <w14:schemeClr w14:val="tx1"/>
                  </w14:solidFill>
                </w14:textFill>
              </w:rPr>
            </w:pPr>
          </w:p>
        </w:tc>
      </w:tr>
      <w:tr w14:paraId="32AAF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trPr>
        <w:tc>
          <w:tcPr>
            <w:tcW w:w="1512" w:type="dxa"/>
            <w:vAlign w:val="center"/>
          </w:tcPr>
          <w:p w14:paraId="1DB2DAE4">
            <w:pPr>
              <w:spacing w:line="36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p>
        </w:tc>
        <w:tc>
          <w:tcPr>
            <w:tcW w:w="1512" w:type="dxa"/>
          </w:tcPr>
          <w:p w14:paraId="743A31C8">
            <w:pPr>
              <w:rPr>
                <w:color w:val="000000" w:themeColor="text1"/>
                <w14:textFill>
                  <w14:solidFill>
                    <w14:schemeClr w14:val="tx1"/>
                  </w14:solidFill>
                </w14:textFill>
              </w:rPr>
            </w:pPr>
          </w:p>
        </w:tc>
        <w:tc>
          <w:tcPr>
            <w:tcW w:w="1512" w:type="dxa"/>
          </w:tcPr>
          <w:p w14:paraId="41355DDD">
            <w:pPr>
              <w:rPr>
                <w:color w:val="000000" w:themeColor="text1"/>
                <w14:textFill>
                  <w14:solidFill>
                    <w14:schemeClr w14:val="tx1"/>
                  </w14:solidFill>
                </w14:textFill>
              </w:rPr>
            </w:pPr>
          </w:p>
        </w:tc>
        <w:tc>
          <w:tcPr>
            <w:tcW w:w="1512" w:type="dxa"/>
          </w:tcPr>
          <w:p w14:paraId="0E4D601A">
            <w:pPr>
              <w:rPr>
                <w:color w:val="000000" w:themeColor="text1"/>
                <w14:textFill>
                  <w14:solidFill>
                    <w14:schemeClr w14:val="tx1"/>
                  </w14:solidFill>
                </w14:textFill>
              </w:rPr>
            </w:pPr>
          </w:p>
        </w:tc>
        <w:tc>
          <w:tcPr>
            <w:tcW w:w="1512" w:type="dxa"/>
          </w:tcPr>
          <w:p w14:paraId="552A0B1F">
            <w:pPr>
              <w:rPr>
                <w:color w:val="000000" w:themeColor="text1"/>
                <w14:textFill>
                  <w14:solidFill>
                    <w14:schemeClr w14:val="tx1"/>
                  </w14:solidFill>
                </w14:textFill>
              </w:rPr>
            </w:pPr>
          </w:p>
        </w:tc>
        <w:tc>
          <w:tcPr>
            <w:tcW w:w="1512" w:type="dxa"/>
          </w:tcPr>
          <w:p w14:paraId="4076E271">
            <w:pPr>
              <w:rPr>
                <w:color w:val="000000" w:themeColor="text1"/>
                <w14:textFill>
                  <w14:solidFill>
                    <w14:schemeClr w14:val="tx1"/>
                  </w14:solidFill>
                </w14:textFill>
              </w:rPr>
            </w:pPr>
          </w:p>
        </w:tc>
      </w:tr>
    </w:tbl>
    <w:p w14:paraId="79AE7870">
      <w:pPr>
        <w:rPr>
          <w:color w:val="000000" w:themeColor="text1"/>
          <w14:textFill>
            <w14:solidFill>
              <w14:schemeClr w14:val="tx1"/>
            </w14:solidFill>
          </w14:textFill>
        </w:rPr>
      </w:pPr>
    </w:p>
    <w:p w14:paraId="432E86C3">
      <w:pPr>
        <w:spacing w:line="700" w:lineRule="exact"/>
        <w:rPr>
          <w:color w:val="000000" w:themeColor="text1"/>
          <w14:textFill>
            <w14:solidFill>
              <w14:schemeClr w14:val="tx1"/>
            </w14:solidFill>
          </w14:textFill>
        </w:rPr>
      </w:pPr>
      <w:r>
        <w:rPr>
          <w:rFonts w:hint="eastAsia" w:ascii="宋体" w:hAnsi="宋体" w:cs="宋体"/>
          <w:color w:val="000000" w:themeColor="text1"/>
          <w:sz w:val="24"/>
          <w14:textFill>
            <w14:solidFill>
              <w14:schemeClr w14:val="tx1"/>
            </w14:solidFill>
          </w14:textFill>
        </w:rPr>
        <w:t>注：投标人根据上述业绩情况</w:t>
      </w:r>
      <w:bookmarkStart w:id="191" w:name="OLE_LINK83"/>
      <w:bookmarkStart w:id="192" w:name="OLE_LINK82"/>
      <w:r>
        <w:rPr>
          <w:rFonts w:hint="eastAsia" w:ascii="宋体" w:hAnsi="宋体" w:cs="宋体"/>
          <w:color w:val="000000" w:themeColor="text1"/>
          <w:sz w:val="24"/>
          <w14:textFill>
            <w14:solidFill>
              <w14:schemeClr w14:val="tx1"/>
            </w14:solidFill>
          </w14:textFill>
        </w:rPr>
        <w:t>后附相应证明材料复印件</w:t>
      </w:r>
      <w:bookmarkEnd w:id="191"/>
      <w:bookmarkEnd w:id="192"/>
      <w:r>
        <w:rPr>
          <w:rFonts w:hint="eastAsia" w:ascii="宋体" w:hAnsi="宋体" w:cs="宋体"/>
          <w:color w:val="000000" w:themeColor="text1"/>
          <w:sz w:val="24"/>
          <w14:textFill>
            <w14:solidFill>
              <w14:schemeClr w14:val="tx1"/>
            </w14:solidFill>
          </w14:textFill>
        </w:rPr>
        <w:t>。</w:t>
      </w:r>
    </w:p>
    <w:p w14:paraId="5CC533B0">
      <w:pPr>
        <w:pStyle w:val="3"/>
        <w:bidi w:val="0"/>
        <w:rPr>
          <w:color w:val="000000" w:themeColor="text1"/>
          <w14:textFill>
            <w14:solidFill>
              <w14:schemeClr w14:val="tx1"/>
            </w14:solidFill>
          </w14:textFill>
        </w:rPr>
      </w:pPr>
      <w:bookmarkStart w:id="193" w:name="_Toc496690852"/>
      <w:bookmarkStart w:id="194" w:name="_Toc59528772"/>
      <w:r>
        <w:rPr>
          <w:rFonts w:ascii="黑体" w:hAnsi="黑体" w:eastAsia="黑体"/>
          <w:color w:val="000000" w:themeColor="text1"/>
          <w:szCs w:val="28"/>
          <w14:textFill>
            <w14:solidFill>
              <w14:schemeClr w14:val="tx1"/>
            </w14:solidFill>
          </w14:textFill>
        </w:rPr>
        <w:br w:type="page"/>
      </w:r>
      <w:bookmarkStart w:id="195" w:name="_Toc18348"/>
      <w:bookmarkStart w:id="196" w:name="_Toc533069327"/>
      <w:bookmarkStart w:id="197" w:name="_Toc2882"/>
      <w:bookmarkStart w:id="198" w:name="_Toc527812215"/>
      <w:r>
        <w:rPr>
          <w:rFonts w:hint="eastAsia"/>
        </w:rPr>
        <w:t>格式十、技术规格响应表</w:t>
      </w:r>
      <w:bookmarkEnd w:id="195"/>
      <w:bookmarkEnd w:id="196"/>
      <w:bookmarkEnd w:id="197"/>
      <w:bookmarkEnd w:id="198"/>
    </w:p>
    <w:p w14:paraId="3B1751B0">
      <w:pPr>
        <w:spacing w:line="240" w:lineRule="exact"/>
        <w:rPr>
          <w:rFonts w:hAnsi="宋体"/>
          <w:color w:val="000000" w:themeColor="text1"/>
          <w14:textFill>
            <w14:solidFill>
              <w14:schemeClr w14:val="tx1"/>
            </w14:solidFill>
          </w14:textFill>
        </w:rPr>
      </w:pPr>
    </w:p>
    <w:tbl>
      <w:tblPr>
        <w:tblStyle w:val="21"/>
        <w:tblW w:w="9281" w:type="dxa"/>
        <w:jc w:val="center"/>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2"/>
        <w:gridCol w:w="1191"/>
        <w:gridCol w:w="2581"/>
        <w:gridCol w:w="2587"/>
        <w:gridCol w:w="1227"/>
        <w:gridCol w:w="893"/>
      </w:tblGrid>
      <w:tr w14:paraId="1E005799">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jc w:val="center"/>
        </w:trPr>
        <w:tc>
          <w:tcPr>
            <w:tcW w:w="802" w:type="dxa"/>
            <w:tcBorders>
              <w:top w:val="single" w:color="auto" w:sz="4" w:space="0"/>
              <w:left w:val="single" w:color="auto" w:sz="4" w:space="0"/>
              <w:bottom w:val="single" w:color="auto" w:sz="4" w:space="0"/>
              <w:right w:val="single" w:color="auto" w:sz="4" w:space="0"/>
            </w:tcBorders>
            <w:vAlign w:val="center"/>
          </w:tcPr>
          <w:p w14:paraId="53B8F9D5">
            <w:pPr>
              <w:spacing w:line="360" w:lineRule="auto"/>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序号</w:t>
            </w:r>
          </w:p>
        </w:tc>
        <w:tc>
          <w:tcPr>
            <w:tcW w:w="1191" w:type="dxa"/>
            <w:tcBorders>
              <w:top w:val="single" w:color="auto" w:sz="4" w:space="0"/>
              <w:left w:val="single" w:color="auto" w:sz="4" w:space="0"/>
              <w:bottom w:val="single" w:color="auto" w:sz="4" w:space="0"/>
              <w:right w:val="single" w:color="auto" w:sz="4" w:space="0"/>
            </w:tcBorders>
            <w:vAlign w:val="center"/>
          </w:tcPr>
          <w:p w14:paraId="517BB224">
            <w:pPr>
              <w:spacing w:line="360" w:lineRule="auto"/>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货物</w:t>
            </w:r>
          </w:p>
          <w:p w14:paraId="4125DA60">
            <w:pPr>
              <w:spacing w:line="360" w:lineRule="auto"/>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名称</w:t>
            </w:r>
          </w:p>
        </w:tc>
        <w:tc>
          <w:tcPr>
            <w:tcW w:w="2581" w:type="dxa"/>
            <w:tcBorders>
              <w:top w:val="single" w:color="auto" w:sz="4" w:space="0"/>
              <w:left w:val="single" w:color="auto" w:sz="4" w:space="0"/>
              <w:bottom w:val="single" w:color="auto" w:sz="4" w:space="0"/>
              <w:right w:val="single" w:color="auto" w:sz="4" w:space="0"/>
            </w:tcBorders>
            <w:vAlign w:val="center"/>
          </w:tcPr>
          <w:p w14:paraId="6849989A">
            <w:pPr>
              <w:spacing w:line="360" w:lineRule="auto"/>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招标文件</w:t>
            </w:r>
            <w:r>
              <w:rPr>
                <w:rFonts w:hint="eastAsia" w:ascii="宋体" w:hAnsi="宋体" w:cs="宋体"/>
                <w:color w:val="000000" w:themeColor="text1"/>
                <w:sz w:val="24"/>
                <w14:textFill>
                  <w14:solidFill>
                    <w14:schemeClr w14:val="tx1"/>
                  </w14:solidFill>
                </w14:textFill>
              </w:rPr>
              <w:t>技术</w:t>
            </w:r>
            <w:r>
              <w:rPr>
                <w:rFonts w:hint="eastAsia" w:ascii="宋体" w:hAnsi="宋体"/>
                <w:color w:val="000000" w:themeColor="text1"/>
                <w:sz w:val="24"/>
                <w14:textFill>
                  <w14:solidFill>
                    <w14:schemeClr w14:val="tx1"/>
                  </w14:solidFill>
                </w14:textFill>
              </w:rPr>
              <w:t>要求的</w:t>
            </w:r>
          </w:p>
          <w:p w14:paraId="5D8DBE4B">
            <w:pPr>
              <w:spacing w:line="360" w:lineRule="auto"/>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参数及要求</w:t>
            </w:r>
          </w:p>
        </w:tc>
        <w:tc>
          <w:tcPr>
            <w:tcW w:w="2587" w:type="dxa"/>
            <w:tcBorders>
              <w:top w:val="single" w:color="auto" w:sz="4" w:space="0"/>
              <w:left w:val="single" w:color="auto" w:sz="4" w:space="0"/>
              <w:bottom w:val="single" w:color="auto" w:sz="4" w:space="0"/>
              <w:right w:val="single" w:color="auto" w:sz="4" w:space="0"/>
            </w:tcBorders>
            <w:vAlign w:val="center"/>
          </w:tcPr>
          <w:p w14:paraId="1125595B">
            <w:pPr>
              <w:spacing w:line="360" w:lineRule="auto"/>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投标人提供的参数及要求</w:t>
            </w:r>
          </w:p>
        </w:tc>
        <w:tc>
          <w:tcPr>
            <w:tcW w:w="1227" w:type="dxa"/>
            <w:tcBorders>
              <w:top w:val="single" w:color="auto" w:sz="4" w:space="0"/>
              <w:left w:val="single" w:color="auto" w:sz="4" w:space="0"/>
              <w:bottom w:val="single" w:color="auto" w:sz="4" w:space="0"/>
              <w:right w:val="single" w:color="auto" w:sz="2" w:space="0"/>
            </w:tcBorders>
            <w:vAlign w:val="center"/>
          </w:tcPr>
          <w:p w14:paraId="3BAEAEA5">
            <w:pPr>
              <w:spacing w:line="360" w:lineRule="auto"/>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响应</w:t>
            </w:r>
          </w:p>
          <w:p w14:paraId="3E8B728C">
            <w:pPr>
              <w:spacing w:line="360" w:lineRule="auto"/>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程度</w:t>
            </w:r>
          </w:p>
        </w:tc>
        <w:tc>
          <w:tcPr>
            <w:tcW w:w="893" w:type="dxa"/>
            <w:tcBorders>
              <w:top w:val="single" w:color="auto" w:sz="4" w:space="0"/>
              <w:left w:val="single" w:color="auto" w:sz="2" w:space="0"/>
              <w:bottom w:val="single" w:color="auto" w:sz="4" w:space="0"/>
              <w:right w:val="single" w:color="auto" w:sz="4" w:space="0"/>
            </w:tcBorders>
            <w:vAlign w:val="center"/>
          </w:tcPr>
          <w:p w14:paraId="799BBE1E">
            <w:pPr>
              <w:spacing w:line="360" w:lineRule="auto"/>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说明</w:t>
            </w:r>
          </w:p>
        </w:tc>
      </w:tr>
      <w:tr w14:paraId="014279F6">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02" w:type="dxa"/>
            <w:tcBorders>
              <w:top w:val="single" w:color="auto" w:sz="4" w:space="0"/>
              <w:left w:val="single" w:color="auto" w:sz="4" w:space="0"/>
              <w:bottom w:val="single" w:color="auto" w:sz="4" w:space="0"/>
              <w:right w:val="single" w:color="auto" w:sz="4" w:space="0"/>
            </w:tcBorders>
            <w:vAlign w:val="center"/>
          </w:tcPr>
          <w:p w14:paraId="5617AE5D">
            <w:pPr>
              <w:spacing w:before="120" w:line="500" w:lineRule="exact"/>
              <w:rPr>
                <w:rFonts w:hAnsi="宋体"/>
                <w:color w:val="000000" w:themeColor="text1"/>
                <w:szCs w:val="21"/>
                <w14:textFill>
                  <w14:solidFill>
                    <w14:schemeClr w14:val="tx1"/>
                  </w14:solidFill>
                </w14:textFill>
              </w:rPr>
            </w:pPr>
          </w:p>
        </w:tc>
        <w:tc>
          <w:tcPr>
            <w:tcW w:w="1191" w:type="dxa"/>
            <w:tcBorders>
              <w:top w:val="single" w:color="auto" w:sz="4" w:space="0"/>
              <w:left w:val="single" w:color="auto" w:sz="4" w:space="0"/>
              <w:bottom w:val="single" w:color="auto" w:sz="4" w:space="0"/>
              <w:right w:val="single" w:color="auto" w:sz="4" w:space="0"/>
            </w:tcBorders>
            <w:vAlign w:val="center"/>
          </w:tcPr>
          <w:p w14:paraId="510E3BB1">
            <w:pPr>
              <w:spacing w:before="120" w:line="500" w:lineRule="exact"/>
              <w:rPr>
                <w:rFonts w:hAnsi="宋体"/>
                <w:color w:val="000000" w:themeColor="text1"/>
                <w:szCs w:val="21"/>
                <w14:textFill>
                  <w14:solidFill>
                    <w14:schemeClr w14:val="tx1"/>
                  </w14:solidFill>
                </w14:textFill>
              </w:rPr>
            </w:pPr>
          </w:p>
        </w:tc>
        <w:tc>
          <w:tcPr>
            <w:tcW w:w="2581" w:type="dxa"/>
            <w:tcBorders>
              <w:top w:val="single" w:color="auto" w:sz="4" w:space="0"/>
              <w:left w:val="single" w:color="auto" w:sz="4" w:space="0"/>
              <w:bottom w:val="single" w:color="auto" w:sz="4" w:space="0"/>
              <w:right w:val="single" w:color="auto" w:sz="4" w:space="0"/>
            </w:tcBorders>
            <w:vAlign w:val="center"/>
          </w:tcPr>
          <w:p w14:paraId="448743D8">
            <w:pPr>
              <w:spacing w:before="120" w:line="500" w:lineRule="exact"/>
              <w:rPr>
                <w:rFonts w:hAnsi="宋体"/>
                <w:color w:val="000000" w:themeColor="text1"/>
                <w:szCs w:val="21"/>
                <w14:textFill>
                  <w14:solidFill>
                    <w14:schemeClr w14:val="tx1"/>
                  </w14:solidFill>
                </w14:textFill>
              </w:rPr>
            </w:pPr>
          </w:p>
        </w:tc>
        <w:tc>
          <w:tcPr>
            <w:tcW w:w="2587" w:type="dxa"/>
            <w:tcBorders>
              <w:top w:val="single" w:color="auto" w:sz="4" w:space="0"/>
              <w:left w:val="single" w:color="auto" w:sz="4" w:space="0"/>
              <w:bottom w:val="single" w:color="auto" w:sz="4" w:space="0"/>
              <w:right w:val="single" w:color="auto" w:sz="4" w:space="0"/>
            </w:tcBorders>
            <w:vAlign w:val="center"/>
          </w:tcPr>
          <w:p w14:paraId="13DC65AB">
            <w:pPr>
              <w:spacing w:before="120" w:line="500" w:lineRule="exact"/>
              <w:rPr>
                <w:rFonts w:hAnsi="宋体"/>
                <w:color w:val="000000" w:themeColor="text1"/>
                <w:szCs w:val="21"/>
                <w14:textFill>
                  <w14:solidFill>
                    <w14:schemeClr w14:val="tx1"/>
                  </w14:solidFill>
                </w14:textFill>
              </w:rPr>
            </w:pPr>
          </w:p>
        </w:tc>
        <w:tc>
          <w:tcPr>
            <w:tcW w:w="1227" w:type="dxa"/>
            <w:tcBorders>
              <w:top w:val="single" w:color="auto" w:sz="4" w:space="0"/>
              <w:left w:val="single" w:color="auto" w:sz="4" w:space="0"/>
              <w:bottom w:val="single" w:color="auto" w:sz="4" w:space="0"/>
              <w:right w:val="single" w:color="auto" w:sz="2" w:space="0"/>
            </w:tcBorders>
            <w:vAlign w:val="center"/>
          </w:tcPr>
          <w:p w14:paraId="794FA143">
            <w:pPr>
              <w:spacing w:before="120" w:line="500" w:lineRule="exact"/>
              <w:rPr>
                <w:rFonts w:hAnsi="宋体"/>
                <w:color w:val="000000" w:themeColor="text1"/>
                <w:szCs w:val="21"/>
                <w14:textFill>
                  <w14:solidFill>
                    <w14:schemeClr w14:val="tx1"/>
                  </w14:solidFill>
                </w14:textFill>
              </w:rPr>
            </w:pPr>
          </w:p>
        </w:tc>
        <w:tc>
          <w:tcPr>
            <w:tcW w:w="893" w:type="dxa"/>
            <w:tcBorders>
              <w:top w:val="single" w:color="auto" w:sz="4" w:space="0"/>
              <w:left w:val="single" w:color="auto" w:sz="2" w:space="0"/>
              <w:bottom w:val="single" w:color="auto" w:sz="4" w:space="0"/>
              <w:right w:val="single" w:color="auto" w:sz="4" w:space="0"/>
            </w:tcBorders>
            <w:vAlign w:val="center"/>
          </w:tcPr>
          <w:p w14:paraId="50C04ED4">
            <w:pPr>
              <w:spacing w:before="120" w:line="500" w:lineRule="exact"/>
              <w:rPr>
                <w:rFonts w:hAnsi="宋体"/>
                <w:color w:val="000000" w:themeColor="text1"/>
                <w:szCs w:val="21"/>
                <w14:textFill>
                  <w14:solidFill>
                    <w14:schemeClr w14:val="tx1"/>
                  </w14:solidFill>
                </w14:textFill>
              </w:rPr>
            </w:pPr>
          </w:p>
        </w:tc>
      </w:tr>
      <w:tr w14:paraId="4F04ABAF">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02" w:type="dxa"/>
            <w:tcBorders>
              <w:top w:val="single" w:color="auto" w:sz="4" w:space="0"/>
              <w:left w:val="single" w:color="auto" w:sz="4" w:space="0"/>
              <w:bottom w:val="single" w:color="auto" w:sz="4" w:space="0"/>
              <w:right w:val="single" w:color="auto" w:sz="4" w:space="0"/>
            </w:tcBorders>
            <w:vAlign w:val="center"/>
          </w:tcPr>
          <w:p w14:paraId="7D5BB805">
            <w:pPr>
              <w:spacing w:before="120" w:line="500" w:lineRule="exact"/>
              <w:rPr>
                <w:rFonts w:hAnsi="宋体"/>
                <w:color w:val="000000" w:themeColor="text1"/>
                <w:szCs w:val="21"/>
                <w14:textFill>
                  <w14:solidFill>
                    <w14:schemeClr w14:val="tx1"/>
                  </w14:solidFill>
                </w14:textFill>
              </w:rPr>
            </w:pPr>
          </w:p>
        </w:tc>
        <w:tc>
          <w:tcPr>
            <w:tcW w:w="1191" w:type="dxa"/>
            <w:tcBorders>
              <w:top w:val="single" w:color="auto" w:sz="4" w:space="0"/>
              <w:left w:val="single" w:color="auto" w:sz="4" w:space="0"/>
              <w:bottom w:val="single" w:color="auto" w:sz="4" w:space="0"/>
              <w:right w:val="single" w:color="auto" w:sz="4" w:space="0"/>
            </w:tcBorders>
            <w:vAlign w:val="center"/>
          </w:tcPr>
          <w:p w14:paraId="697A4F36">
            <w:pPr>
              <w:spacing w:before="120" w:line="500" w:lineRule="exact"/>
              <w:rPr>
                <w:rFonts w:hAnsi="宋体"/>
                <w:color w:val="000000" w:themeColor="text1"/>
                <w:szCs w:val="21"/>
                <w14:textFill>
                  <w14:solidFill>
                    <w14:schemeClr w14:val="tx1"/>
                  </w14:solidFill>
                </w14:textFill>
              </w:rPr>
            </w:pPr>
          </w:p>
        </w:tc>
        <w:tc>
          <w:tcPr>
            <w:tcW w:w="2581" w:type="dxa"/>
            <w:tcBorders>
              <w:top w:val="single" w:color="auto" w:sz="4" w:space="0"/>
              <w:left w:val="single" w:color="auto" w:sz="4" w:space="0"/>
              <w:bottom w:val="single" w:color="auto" w:sz="4" w:space="0"/>
              <w:right w:val="single" w:color="auto" w:sz="4" w:space="0"/>
            </w:tcBorders>
            <w:vAlign w:val="center"/>
          </w:tcPr>
          <w:p w14:paraId="6F62802E">
            <w:pPr>
              <w:spacing w:before="120" w:line="500" w:lineRule="exact"/>
              <w:rPr>
                <w:rFonts w:hAnsi="宋体"/>
                <w:color w:val="000000" w:themeColor="text1"/>
                <w:szCs w:val="21"/>
                <w14:textFill>
                  <w14:solidFill>
                    <w14:schemeClr w14:val="tx1"/>
                  </w14:solidFill>
                </w14:textFill>
              </w:rPr>
            </w:pPr>
          </w:p>
        </w:tc>
        <w:tc>
          <w:tcPr>
            <w:tcW w:w="2587" w:type="dxa"/>
            <w:tcBorders>
              <w:top w:val="single" w:color="auto" w:sz="4" w:space="0"/>
              <w:left w:val="single" w:color="auto" w:sz="4" w:space="0"/>
              <w:bottom w:val="single" w:color="auto" w:sz="4" w:space="0"/>
              <w:right w:val="single" w:color="auto" w:sz="4" w:space="0"/>
            </w:tcBorders>
            <w:vAlign w:val="center"/>
          </w:tcPr>
          <w:p w14:paraId="4A917B53">
            <w:pPr>
              <w:spacing w:before="120" w:line="500" w:lineRule="exact"/>
              <w:rPr>
                <w:rFonts w:hAnsi="宋体"/>
                <w:color w:val="000000" w:themeColor="text1"/>
                <w:szCs w:val="21"/>
                <w14:textFill>
                  <w14:solidFill>
                    <w14:schemeClr w14:val="tx1"/>
                  </w14:solidFill>
                </w14:textFill>
              </w:rPr>
            </w:pPr>
          </w:p>
        </w:tc>
        <w:tc>
          <w:tcPr>
            <w:tcW w:w="1227" w:type="dxa"/>
            <w:tcBorders>
              <w:top w:val="single" w:color="auto" w:sz="4" w:space="0"/>
              <w:left w:val="single" w:color="auto" w:sz="4" w:space="0"/>
              <w:bottom w:val="single" w:color="auto" w:sz="4" w:space="0"/>
              <w:right w:val="single" w:color="auto" w:sz="2" w:space="0"/>
            </w:tcBorders>
            <w:vAlign w:val="center"/>
          </w:tcPr>
          <w:p w14:paraId="059BE1FB">
            <w:pPr>
              <w:spacing w:before="120" w:line="500" w:lineRule="exact"/>
              <w:rPr>
                <w:rFonts w:hAnsi="宋体"/>
                <w:color w:val="000000" w:themeColor="text1"/>
                <w:szCs w:val="21"/>
                <w14:textFill>
                  <w14:solidFill>
                    <w14:schemeClr w14:val="tx1"/>
                  </w14:solidFill>
                </w14:textFill>
              </w:rPr>
            </w:pPr>
          </w:p>
        </w:tc>
        <w:tc>
          <w:tcPr>
            <w:tcW w:w="893" w:type="dxa"/>
            <w:tcBorders>
              <w:top w:val="single" w:color="auto" w:sz="4" w:space="0"/>
              <w:left w:val="single" w:color="auto" w:sz="2" w:space="0"/>
              <w:bottom w:val="single" w:color="auto" w:sz="4" w:space="0"/>
              <w:right w:val="single" w:color="auto" w:sz="4" w:space="0"/>
            </w:tcBorders>
            <w:vAlign w:val="center"/>
          </w:tcPr>
          <w:p w14:paraId="12B9CB4C">
            <w:pPr>
              <w:spacing w:before="120" w:line="500" w:lineRule="exact"/>
              <w:rPr>
                <w:rFonts w:hAnsi="宋体"/>
                <w:color w:val="000000" w:themeColor="text1"/>
                <w:szCs w:val="21"/>
                <w14:textFill>
                  <w14:solidFill>
                    <w14:schemeClr w14:val="tx1"/>
                  </w14:solidFill>
                </w14:textFill>
              </w:rPr>
            </w:pPr>
          </w:p>
        </w:tc>
      </w:tr>
      <w:tr w14:paraId="7B036DA1">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02" w:type="dxa"/>
            <w:tcBorders>
              <w:top w:val="single" w:color="auto" w:sz="4" w:space="0"/>
              <w:left w:val="single" w:color="auto" w:sz="4" w:space="0"/>
              <w:bottom w:val="single" w:color="auto" w:sz="4" w:space="0"/>
              <w:right w:val="single" w:color="auto" w:sz="4" w:space="0"/>
            </w:tcBorders>
            <w:vAlign w:val="center"/>
          </w:tcPr>
          <w:p w14:paraId="529227EF">
            <w:pPr>
              <w:spacing w:before="120" w:line="500" w:lineRule="exact"/>
              <w:rPr>
                <w:rFonts w:hAnsi="宋体"/>
                <w:color w:val="000000" w:themeColor="text1"/>
                <w:szCs w:val="21"/>
                <w14:textFill>
                  <w14:solidFill>
                    <w14:schemeClr w14:val="tx1"/>
                  </w14:solidFill>
                </w14:textFill>
              </w:rPr>
            </w:pPr>
          </w:p>
        </w:tc>
        <w:tc>
          <w:tcPr>
            <w:tcW w:w="1191" w:type="dxa"/>
            <w:tcBorders>
              <w:top w:val="single" w:color="auto" w:sz="4" w:space="0"/>
              <w:left w:val="single" w:color="auto" w:sz="4" w:space="0"/>
              <w:bottom w:val="single" w:color="auto" w:sz="4" w:space="0"/>
              <w:right w:val="single" w:color="auto" w:sz="4" w:space="0"/>
            </w:tcBorders>
            <w:vAlign w:val="center"/>
          </w:tcPr>
          <w:p w14:paraId="609DB41E">
            <w:pPr>
              <w:spacing w:before="120" w:line="500" w:lineRule="exact"/>
              <w:rPr>
                <w:rFonts w:hAnsi="宋体"/>
                <w:color w:val="000000" w:themeColor="text1"/>
                <w:szCs w:val="21"/>
                <w14:textFill>
                  <w14:solidFill>
                    <w14:schemeClr w14:val="tx1"/>
                  </w14:solidFill>
                </w14:textFill>
              </w:rPr>
            </w:pPr>
          </w:p>
        </w:tc>
        <w:tc>
          <w:tcPr>
            <w:tcW w:w="2581" w:type="dxa"/>
            <w:tcBorders>
              <w:top w:val="single" w:color="auto" w:sz="4" w:space="0"/>
              <w:left w:val="single" w:color="auto" w:sz="4" w:space="0"/>
              <w:bottom w:val="single" w:color="auto" w:sz="4" w:space="0"/>
              <w:right w:val="single" w:color="auto" w:sz="4" w:space="0"/>
            </w:tcBorders>
            <w:vAlign w:val="center"/>
          </w:tcPr>
          <w:p w14:paraId="635BC4E6">
            <w:pPr>
              <w:spacing w:before="120" w:line="500" w:lineRule="exact"/>
              <w:rPr>
                <w:rFonts w:hAnsi="宋体"/>
                <w:color w:val="000000" w:themeColor="text1"/>
                <w:szCs w:val="21"/>
                <w14:textFill>
                  <w14:solidFill>
                    <w14:schemeClr w14:val="tx1"/>
                  </w14:solidFill>
                </w14:textFill>
              </w:rPr>
            </w:pPr>
          </w:p>
        </w:tc>
        <w:tc>
          <w:tcPr>
            <w:tcW w:w="2587" w:type="dxa"/>
            <w:tcBorders>
              <w:top w:val="single" w:color="auto" w:sz="4" w:space="0"/>
              <w:left w:val="single" w:color="auto" w:sz="4" w:space="0"/>
              <w:bottom w:val="single" w:color="auto" w:sz="4" w:space="0"/>
              <w:right w:val="single" w:color="auto" w:sz="4" w:space="0"/>
            </w:tcBorders>
            <w:vAlign w:val="center"/>
          </w:tcPr>
          <w:p w14:paraId="377C589E">
            <w:pPr>
              <w:spacing w:before="120" w:line="500" w:lineRule="exact"/>
              <w:rPr>
                <w:rFonts w:hAnsi="宋体"/>
                <w:color w:val="000000" w:themeColor="text1"/>
                <w:szCs w:val="21"/>
                <w14:textFill>
                  <w14:solidFill>
                    <w14:schemeClr w14:val="tx1"/>
                  </w14:solidFill>
                </w14:textFill>
              </w:rPr>
            </w:pPr>
          </w:p>
        </w:tc>
        <w:tc>
          <w:tcPr>
            <w:tcW w:w="1227" w:type="dxa"/>
            <w:tcBorders>
              <w:top w:val="single" w:color="auto" w:sz="4" w:space="0"/>
              <w:left w:val="single" w:color="auto" w:sz="4" w:space="0"/>
              <w:bottom w:val="single" w:color="auto" w:sz="4" w:space="0"/>
              <w:right w:val="single" w:color="auto" w:sz="2" w:space="0"/>
            </w:tcBorders>
            <w:vAlign w:val="center"/>
          </w:tcPr>
          <w:p w14:paraId="61B9BB14">
            <w:pPr>
              <w:spacing w:before="120" w:line="500" w:lineRule="exact"/>
              <w:rPr>
                <w:rFonts w:hAnsi="宋体"/>
                <w:color w:val="000000" w:themeColor="text1"/>
                <w:szCs w:val="21"/>
                <w14:textFill>
                  <w14:solidFill>
                    <w14:schemeClr w14:val="tx1"/>
                  </w14:solidFill>
                </w14:textFill>
              </w:rPr>
            </w:pPr>
          </w:p>
        </w:tc>
        <w:tc>
          <w:tcPr>
            <w:tcW w:w="893" w:type="dxa"/>
            <w:tcBorders>
              <w:top w:val="single" w:color="auto" w:sz="4" w:space="0"/>
              <w:left w:val="single" w:color="auto" w:sz="2" w:space="0"/>
              <w:bottom w:val="single" w:color="auto" w:sz="4" w:space="0"/>
              <w:right w:val="single" w:color="auto" w:sz="4" w:space="0"/>
            </w:tcBorders>
            <w:vAlign w:val="center"/>
          </w:tcPr>
          <w:p w14:paraId="14096039">
            <w:pPr>
              <w:spacing w:before="120" w:line="500" w:lineRule="exact"/>
              <w:rPr>
                <w:rFonts w:hAnsi="宋体"/>
                <w:color w:val="000000" w:themeColor="text1"/>
                <w:szCs w:val="21"/>
                <w14:textFill>
                  <w14:solidFill>
                    <w14:schemeClr w14:val="tx1"/>
                  </w14:solidFill>
                </w14:textFill>
              </w:rPr>
            </w:pPr>
          </w:p>
        </w:tc>
      </w:tr>
      <w:tr w14:paraId="1486F21D">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02" w:type="dxa"/>
            <w:tcBorders>
              <w:top w:val="single" w:color="auto" w:sz="4" w:space="0"/>
              <w:left w:val="single" w:color="auto" w:sz="4" w:space="0"/>
              <w:bottom w:val="single" w:color="auto" w:sz="4" w:space="0"/>
              <w:right w:val="single" w:color="auto" w:sz="4" w:space="0"/>
            </w:tcBorders>
            <w:vAlign w:val="center"/>
          </w:tcPr>
          <w:p w14:paraId="71F71783">
            <w:pPr>
              <w:spacing w:before="120" w:line="500" w:lineRule="exact"/>
              <w:rPr>
                <w:rFonts w:hAnsi="宋体"/>
                <w:color w:val="000000" w:themeColor="text1"/>
                <w:szCs w:val="21"/>
                <w14:textFill>
                  <w14:solidFill>
                    <w14:schemeClr w14:val="tx1"/>
                  </w14:solidFill>
                </w14:textFill>
              </w:rPr>
            </w:pPr>
          </w:p>
        </w:tc>
        <w:tc>
          <w:tcPr>
            <w:tcW w:w="1191" w:type="dxa"/>
            <w:tcBorders>
              <w:top w:val="single" w:color="auto" w:sz="4" w:space="0"/>
              <w:left w:val="single" w:color="auto" w:sz="4" w:space="0"/>
              <w:bottom w:val="single" w:color="auto" w:sz="4" w:space="0"/>
              <w:right w:val="single" w:color="auto" w:sz="4" w:space="0"/>
            </w:tcBorders>
            <w:vAlign w:val="center"/>
          </w:tcPr>
          <w:p w14:paraId="2B9A7C27">
            <w:pPr>
              <w:spacing w:before="120" w:line="500" w:lineRule="exact"/>
              <w:rPr>
                <w:rFonts w:hAnsi="宋体"/>
                <w:color w:val="000000" w:themeColor="text1"/>
                <w:szCs w:val="21"/>
                <w14:textFill>
                  <w14:solidFill>
                    <w14:schemeClr w14:val="tx1"/>
                  </w14:solidFill>
                </w14:textFill>
              </w:rPr>
            </w:pPr>
          </w:p>
        </w:tc>
        <w:tc>
          <w:tcPr>
            <w:tcW w:w="2581" w:type="dxa"/>
            <w:tcBorders>
              <w:top w:val="single" w:color="auto" w:sz="4" w:space="0"/>
              <w:left w:val="single" w:color="auto" w:sz="4" w:space="0"/>
              <w:bottom w:val="single" w:color="auto" w:sz="4" w:space="0"/>
              <w:right w:val="single" w:color="auto" w:sz="4" w:space="0"/>
            </w:tcBorders>
            <w:vAlign w:val="center"/>
          </w:tcPr>
          <w:p w14:paraId="2ACC7335">
            <w:pPr>
              <w:spacing w:before="120" w:line="500" w:lineRule="exact"/>
              <w:rPr>
                <w:rFonts w:hAnsi="宋体"/>
                <w:color w:val="000000" w:themeColor="text1"/>
                <w:szCs w:val="21"/>
                <w14:textFill>
                  <w14:solidFill>
                    <w14:schemeClr w14:val="tx1"/>
                  </w14:solidFill>
                </w14:textFill>
              </w:rPr>
            </w:pPr>
          </w:p>
        </w:tc>
        <w:tc>
          <w:tcPr>
            <w:tcW w:w="2587" w:type="dxa"/>
            <w:tcBorders>
              <w:top w:val="single" w:color="auto" w:sz="4" w:space="0"/>
              <w:left w:val="single" w:color="auto" w:sz="4" w:space="0"/>
              <w:bottom w:val="single" w:color="auto" w:sz="4" w:space="0"/>
              <w:right w:val="single" w:color="auto" w:sz="4" w:space="0"/>
            </w:tcBorders>
            <w:vAlign w:val="center"/>
          </w:tcPr>
          <w:p w14:paraId="4D042FAC">
            <w:pPr>
              <w:spacing w:before="120" w:line="500" w:lineRule="exact"/>
              <w:rPr>
                <w:rFonts w:hAnsi="宋体"/>
                <w:color w:val="000000" w:themeColor="text1"/>
                <w:szCs w:val="21"/>
                <w14:textFill>
                  <w14:solidFill>
                    <w14:schemeClr w14:val="tx1"/>
                  </w14:solidFill>
                </w14:textFill>
              </w:rPr>
            </w:pPr>
          </w:p>
        </w:tc>
        <w:tc>
          <w:tcPr>
            <w:tcW w:w="1227" w:type="dxa"/>
            <w:tcBorders>
              <w:top w:val="single" w:color="auto" w:sz="4" w:space="0"/>
              <w:left w:val="single" w:color="auto" w:sz="4" w:space="0"/>
              <w:bottom w:val="single" w:color="auto" w:sz="4" w:space="0"/>
              <w:right w:val="single" w:color="auto" w:sz="2" w:space="0"/>
            </w:tcBorders>
            <w:vAlign w:val="center"/>
          </w:tcPr>
          <w:p w14:paraId="32678448">
            <w:pPr>
              <w:spacing w:before="120" w:line="500" w:lineRule="exact"/>
              <w:rPr>
                <w:rFonts w:hAnsi="宋体"/>
                <w:color w:val="000000" w:themeColor="text1"/>
                <w:szCs w:val="21"/>
                <w14:textFill>
                  <w14:solidFill>
                    <w14:schemeClr w14:val="tx1"/>
                  </w14:solidFill>
                </w14:textFill>
              </w:rPr>
            </w:pPr>
          </w:p>
        </w:tc>
        <w:tc>
          <w:tcPr>
            <w:tcW w:w="893" w:type="dxa"/>
            <w:tcBorders>
              <w:top w:val="single" w:color="auto" w:sz="4" w:space="0"/>
              <w:left w:val="single" w:color="auto" w:sz="2" w:space="0"/>
              <w:bottom w:val="single" w:color="auto" w:sz="4" w:space="0"/>
              <w:right w:val="single" w:color="auto" w:sz="4" w:space="0"/>
            </w:tcBorders>
            <w:vAlign w:val="center"/>
          </w:tcPr>
          <w:p w14:paraId="7136F973">
            <w:pPr>
              <w:spacing w:before="120" w:line="500" w:lineRule="exact"/>
              <w:rPr>
                <w:rFonts w:hAnsi="宋体"/>
                <w:color w:val="000000" w:themeColor="text1"/>
                <w:szCs w:val="21"/>
                <w14:textFill>
                  <w14:solidFill>
                    <w14:schemeClr w14:val="tx1"/>
                  </w14:solidFill>
                </w14:textFill>
              </w:rPr>
            </w:pPr>
          </w:p>
        </w:tc>
      </w:tr>
      <w:tr w14:paraId="3A027DD2">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02" w:type="dxa"/>
            <w:tcBorders>
              <w:top w:val="single" w:color="auto" w:sz="4" w:space="0"/>
              <w:left w:val="single" w:color="auto" w:sz="4" w:space="0"/>
              <w:bottom w:val="single" w:color="auto" w:sz="4" w:space="0"/>
              <w:right w:val="single" w:color="auto" w:sz="4" w:space="0"/>
            </w:tcBorders>
            <w:vAlign w:val="center"/>
          </w:tcPr>
          <w:p w14:paraId="526BEEEF">
            <w:pPr>
              <w:spacing w:line="360" w:lineRule="auto"/>
              <w:jc w:val="center"/>
              <w:rPr>
                <w:rFonts w:ascii="宋体" w:hAnsi="宋体"/>
                <w:color w:val="000000" w:themeColor="text1"/>
                <w:sz w:val="24"/>
                <w14:textFill>
                  <w14:solidFill>
                    <w14:schemeClr w14:val="tx1"/>
                  </w14:solidFill>
                </w14:textFill>
              </w:rPr>
            </w:pPr>
          </w:p>
        </w:tc>
        <w:tc>
          <w:tcPr>
            <w:tcW w:w="1191" w:type="dxa"/>
            <w:tcBorders>
              <w:top w:val="single" w:color="auto" w:sz="4" w:space="0"/>
              <w:left w:val="single" w:color="auto" w:sz="4" w:space="0"/>
              <w:bottom w:val="single" w:color="auto" w:sz="4" w:space="0"/>
              <w:right w:val="single" w:color="auto" w:sz="4" w:space="0"/>
            </w:tcBorders>
            <w:vAlign w:val="center"/>
          </w:tcPr>
          <w:p w14:paraId="4F79BFB9">
            <w:pPr>
              <w:spacing w:line="360" w:lineRule="auto"/>
              <w:jc w:val="center"/>
              <w:rPr>
                <w:rFonts w:ascii="宋体" w:hAnsi="宋体"/>
                <w:color w:val="000000" w:themeColor="text1"/>
                <w:sz w:val="24"/>
                <w14:textFill>
                  <w14:solidFill>
                    <w14:schemeClr w14:val="tx1"/>
                  </w14:solidFill>
                </w14:textFill>
              </w:rPr>
            </w:pPr>
          </w:p>
        </w:tc>
        <w:tc>
          <w:tcPr>
            <w:tcW w:w="2581" w:type="dxa"/>
            <w:tcBorders>
              <w:top w:val="single" w:color="auto" w:sz="4" w:space="0"/>
              <w:left w:val="single" w:color="auto" w:sz="4" w:space="0"/>
              <w:bottom w:val="single" w:color="auto" w:sz="4" w:space="0"/>
              <w:right w:val="single" w:color="auto" w:sz="4" w:space="0"/>
            </w:tcBorders>
            <w:vAlign w:val="center"/>
          </w:tcPr>
          <w:p w14:paraId="6CDD5A9E">
            <w:pPr>
              <w:spacing w:line="360" w:lineRule="auto"/>
              <w:jc w:val="center"/>
              <w:rPr>
                <w:rFonts w:ascii="宋体" w:hAnsi="宋体"/>
                <w:color w:val="000000" w:themeColor="text1"/>
                <w:sz w:val="24"/>
                <w14:textFill>
                  <w14:solidFill>
                    <w14:schemeClr w14:val="tx1"/>
                  </w14:solidFill>
                </w14:textFill>
              </w:rPr>
            </w:pPr>
          </w:p>
        </w:tc>
        <w:tc>
          <w:tcPr>
            <w:tcW w:w="2587" w:type="dxa"/>
            <w:tcBorders>
              <w:top w:val="single" w:color="auto" w:sz="4" w:space="0"/>
              <w:left w:val="single" w:color="auto" w:sz="4" w:space="0"/>
              <w:bottom w:val="single" w:color="auto" w:sz="4" w:space="0"/>
              <w:right w:val="single" w:color="auto" w:sz="4" w:space="0"/>
            </w:tcBorders>
            <w:vAlign w:val="center"/>
          </w:tcPr>
          <w:p w14:paraId="4F6725FA">
            <w:pPr>
              <w:spacing w:line="360" w:lineRule="auto"/>
              <w:jc w:val="center"/>
              <w:rPr>
                <w:rFonts w:ascii="宋体" w:hAnsi="宋体"/>
                <w:color w:val="000000" w:themeColor="text1"/>
                <w:sz w:val="24"/>
                <w14:textFill>
                  <w14:solidFill>
                    <w14:schemeClr w14:val="tx1"/>
                  </w14:solidFill>
                </w14:textFill>
              </w:rPr>
            </w:pPr>
          </w:p>
        </w:tc>
        <w:tc>
          <w:tcPr>
            <w:tcW w:w="1227" w:type="dxa"/>
            <w:tcBorders>
              <w:top w:val="single" w:color="auto" w:sz="4" w:space="0"/>
              <w:left w:val="single" w:color="auto" w:sz="4" w:space="0"/>
              <w:bottom w:val="single" w:color="auto" w:sz="4" w:space="0"/>
              <w:right w:val="single" w:color="auto" w:sz="2" w:space="0"/>
            </w:tcBorders>
            <w:vAlign w:val="center"/>
          </w:tcPr>
          <w:p w14:paraId="14252B00">
            <w:pPr>
              <w:spacing w:line="360" w:lineRule="auto"/>
              <w:jc w:val="center"/>
              <w:rPr>
                <w:rFonts w:ascii="宋体" w:hAnsi="宋体"/>
                <w:color w:val="000000" w:themeColor="text1"/>
                <w:sz w:val="24"/>
                <w14:textFill>
                  <w14:solidFill>
                    <w14:schemeClr w14:val="tx1"/>
                  </w14:solidFill>
                </w14:textFill>
              </w:rPr>
            </w:pPr>
          </w:p>
        </w:tc>
        <w:tc>
          <w:tcPr>
            <w:tcW w:w="893" w:type="dxa"/>
            <w:tcBorders>
              <w:top w:val="single" w:color="auto" w:sz="4" w:space="0"/>
              <w:left w:val="single" w:color="auto" w:sz="2" w:space="0"/>
              <w:bottom w:val="single" w:color="auto" w:sz="4" w:space="0"/>
              <w:right w:val="single" w:color="auto" w:sz="4" w:space="0"/>
            </w:tcBorders>
            <w:vAlign w:val="center"/>
          </w:tcPr>
          <w:p w14:paraId="37522414">
            <w:pPr>
              <w:spacing w:line="360" w:lineRule="auto"/>
              <w:jc w:val="center"/>
              <w:rPr>
                <w:rFonts w:ascii="宋体" w:hAnsi="宋体"/>
                <w:color w:val="000000" w:themeColor="text1"/>
                <w:sz w:val="24"/>
                <w14:textFill>
                  <w14:solidFill>
                    <w14:schemeClr w14:val="tx1"/>
                  </w14:solidFill>
                </w14:textFill>
              </w:rPr>
            </w:pPr>
          </w:p>
        </w:tc>
      </w:tr>
      <w:tr w14:paraId="39B3B344">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02" w:type="dxa"/>
            <w:tcBorders>
              <w:top w:val="single" w:color="auto" w:sz="4" w:space="0"/>
              <w:left w:val="single" w:color="auto" w:sz="4" w:space="0"/>
              <w:bottom w:val="single" w:color="auto" w:sz="4" w:space="0"/>
              <w:right w:val="single" w:color="auto" w:sz="4" w:space="0"/>
            </w:tcBorders>
            <w:vAlign w:val="center"/>
          </w:tcPr>
          <w:p w14:paraId="313C80E2">
            <w:pPr>
              <w:spacing w:before="120" w:line="500" w:lineRule="exact"/>
              <w:rPr>
                <w:rFonts w:hAnsi="宋体"/>
                <w:color w:val="000000" w:themeColor="text1"/>
                <w:szCs w:val="21"/>
                <w14:textFill>
                  <w14:solidFill>
                    <w14:schemeClr w14:val="tx1"/>
                  </w14:solidFill>
                </w14:textFill>
              </w:rPr>
            </w:pPr>
          </w:p>
        </w:tc>
        <w:tc>
          <w:tcPr>
            <w:tcW w:w="1191" w:type="dxa"/>
            <w:tcBorders>
              <w:top w:val="single" w:color="auto" w:sz="4" w:space="0"/>
              <w:left w:val="single" w:color="auto" w:sz="4" w:space="0"/>
              <w:bottom w:val="single" w:color="auto" w:sz="4" w:space="0"/>
              <w:right w:val="single" w:color="auto" w:sz="4" w:space="0"/>
            </w:tcBorders>
            <w:vAlign w:val="center"/>
          </w:tcPr>
          <w:p w14:paraId="4ABCE5AA">
            <w:pPr>
              <w:spacing w:before="120" w:line="500" w:lineRule="exact"/>
              <w:rPr>
                <w:rFonts w:hAnsi="宋体"/>
                <w:color w:val="000000" w:themeColor="text1"/>
                <w:szCs w:val="21"/>
                <w14:textFill>
                  <w14:solidFill>
                    <w14:schemeClr w14:val="tx1"/>
                  </w14:solidFill>
                </w14:textFill>
              </w:rPr>
            </w:pPr>
          </w:p>
        </w:tc>
        <w:tc>
          <w:tcPr>
            <w:tcW w:w="2581" w:type="dxa"/>
            <w:tcBorders>
              <w:top w:val="single" w:color="auto" w:sz="4" w:space="0"/>
              <w:left w:val="single" w:color="auto" w:sz="4" w:space="0"/>
              <w:bottom w:val="single" w:color="auto" w:sz="4" w:space="0"/>
              <w:right w:val="single" w:color="auto" w:sz="4" w:space="0"/>
            </w:tcBorders>
            <w:vAlign w:val="center"/>
          </w:tcPr>
          <w:p w14:paraId="0528004A">
            <w:pPr>
              <w:spacing w:before="120" w:line="500" w:lineRule="exact"/>
              <w:rPr>
                <w:rFonts w:hAnsi="宋体"/>
                <w:color w:val="000000" w:themeColor="text1"/>
                <w:szCs w:val="21"/>
                <w14:textFill>
                  <w14:solidFill>
                    <w14:schemeClr w14:val="tx1"/>
                  </w14:solidFill>
                </w14:textFill>
              </w:rPr>
            </w:pPr>
          </w:p>
        </w:tc>
        <w:tc>
          <w:tcPr>
            <w:tcW w:w="2587" w:type="dxa"/>
            <w:tcBorders>
              <w:top w:val="single" w:color="auto" w:sz="4" w:space="0"/>
              <w:left w:val="single" w:color="auto" w:sz="4" w:space="0"/>
              <w:bottom w:val="single" w:color="auto" w:sz="4" w:space="0"/>
              <w:right w:val="single" w:color="auto" w:sz="4" w:space="0"/>
            </w:tcBorders>
            <w:vAlign w:val="center"/>
          </w:tcPr>
          <w:p w14:paraId="41AA32FE">
            <w:pPr>
              <w:spacing w:before="120" w:line="500" w:lineRule="exact"/>
              <w:rPr>
                <w:rFonts w:hAnsi="宋体"/>
                <w:color w:val="000000" w:themeColor="text1"/>
                <w:szCs w:val="21"/>
                <w14:textFill>
                  <w14:solidFill>
                    <w14:schemeClr w14:val="tx1"/>
                  </w14:solidFill>
                </w14:textFill>
              </w:rPr>
            </w:pPr>
          </w:p>
        </w:tc>
        <w:tc>
          <w:tcPr>
            <w:tcW w:w="1227" w:type="dxa"/>
            <w:tcBorders>
              <w:top w:val="single" w:color="auto" w:sz="4" w:space="0"/>
              <w:left w:val="single" w:color="auto" w:sz="4" w:space="0"/>
              <w:bottom w:val="single" w:color="auto" w:sz="4" w:space="0"/>
              <w:right w:val="single" w:color="auto" w:sz="2" w:space="0"/>
            </w:tcBorders>
            <w:vAlign w:val="center"/>
          </w:tcPr>
          <w:p w14:paraId="49036F84">
            <w:pPr>
              <w:spacing w:before="120" w:line="500" w:lineRule="exact"/>
              <w:rPr>
                <w:rFonts w:hAnsi="宋体"/>
                <w:color w:val="000000" w:themeColor="text1"/>
                <w:szCs w:val="21"/>
                <w14:textFill>
                  <w14:solidFill>
                    <w14:schemeClr w14:val="tx1"/>
                  </w14:solidFill>
                </w14:textFill>
              </w:rPr>
            </w:pPr>
          </w:p>
        </w:tc>
        <w:tc>
          <w:tcPr>
            <w:tcW w:w="893" w:type="dxa"/>
            <w:tcBorders>
              <w:top w:val="single" w:color="auto" w:sz="4" w:space="0"/>
              <w:left w:val="single" w:color="auto" w:sz="2" w:space="0"/>
              <w:bottom w:val="single" w:color="auto" w:sz="4" w:space="0"/>
              <w:right w:val="single" w:color="auto" w:sz="4" w:space="0"/>
            </w:tcBorders>
            <w:vAlign w:val="center"/>
          </w:tcPr>
          <w:p w14:paraId="4994B454">
            <w:pPr>
              <w:spacing w:before="120" w:line="500" w:lineRule="exact"/>
              <w:rPr>
                <w:rFonts w:hAnsi="宋体"/>
                <w:color w:val="000000" w:themeColor="text1"/>
                <w:szCs w:val="21"/>
                <w14:textFill>
                  <w14:solidFill>
                    <w14:schemeClr w14:val="tx1"/>
                  </w14:solidFill>
                </w14:textFill>
              </w:rPr>
            </w:pPr>
          </w:p>
        </w:tc>
      </w:tr>
      <w:tr w14:paraId="469BFD63">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02" w:type="dxa"/>
            <w:tcBorders>
              <w:top w:val="single" w:color="auto" w:sz="4" w:space="0"/>
              <w:left w:val="single" w:color="auto" w:sz="4" w:space="0"/>
              <w:bottom w:val="single" w:color="auto" w:sz="4" w:space="0"/>
              <w:right w:val="single" w:color="auto" w:sz="4" w:space="0"/>
            </w:tcBorders>
            <w:vAlign w:val="center"/>
          </w:tcPr>
          <w:p w14:paraId="0085D0A8">
            <w:pPr>
              <w:spacing w:before="120" w:line="500" w:lineRule="exact"/>
              <w:rPr>
                <w:rFonts w:hAnsi="宋体"/>
                <w:color w:val="000000" w:themeColor="text1"/>
                <w:szCs w:val="21"/>
                <w14:textFill>
                  <w14:solidFill>
                    <w14:schemeClr w14:val="tx1"/>
                  </w14:solidFill>
                </w14:textFill>
              </w:rPr>
            </w:pPr>
          </w:p>
        </w:tc>
        <w:tc>
          <w:tcPr>
            <w:tcW w:w="1191" w:type="dxa"/>
            <w:tcBorders>
              <w:top w:val="single" w:color="auto" w:sz="4" w:space="0"/>
              <w:left w:val="single" w:color="auto" w:sz="4" w:space="0"/>
              <w:bottom w:val="single" w:color="auto" w:sz="4" w:space="0"/>
              <w:right w:val="single" w:color="auto" w:sz="4" w:space="0"/>
            </w:tcBorders>
            <w:vAlign w:val="center"/>
          </w:tcPr>
          <w:p w14:paraId="02FFBC23">
            <w:pPr>
              <w:spacing w:before="120" w:line="500" w:lineRule="exact"/>
              <w:rPr>
                <w:rFonts w:hAnsi="宋体"/>
                <w:color w:val="000000" w:themeColor="text1"/>
                <w:szCs w:val="21"/>
                <w14:textFill>
                  <w14:solidFill>
                    <w14:schemeClr w14:val="tx1"/>
                  </w14:solidFill>
                </w14:textFill>
              </w:rPr>
            </w:pPr>
          </w:p>
        </w:tc>
        <w:tc>
          <w:tcPr>
            <w:tcW w:w="2581" w:type="dxa"/>
            <w:tcBorders>
              <w:top w:val="single" w:color="auto" w:sz="4" w:space="0"/>
              <w:left w:val="single" w:color="auto" w:sz="4" w:space="0"/>
              <w:bottom w:val="single" w:color="auto" w:sz="4" w:space="0"/>
              <w:right w:val="single" w:color="auto" w:sz="4" w:space="0"/>
            </w:tcBorders>
            <w:vAlign w:val="center"/>
          </w:tcPr>
          <w:p w14:paraId="6C13BD71">
            <w:pPr>
              <w:spacing w:before="120" w:line="500" w:lineRule="exact"/>
              <w:rPr>
                <w:rFonts w:hAnsi="宋体"/>
                <w:color w:val="000000" w:themeColor="text1"/>
                <w:szCs w:val="21"/>
                <w14:textFill>
                  <w14:solidFill>
                    <w14:schemeClr w14:val="tx1"/>
                  </w14:solidFill>
                </w14:textFill>
              </w:rPr>
            </w:pPr>
          </w:p>
        </w:tc>
        <w:tc>
          <w:tcPr>
            <w:tcW w:w="2587" w:type="dxa"/>
            <w:tcBorders>
              <w:top w:val="single" w:color="auto" w:sz="4" w:space="0"/>
              <w:left w:val="single" w:color="auto" w:sz="4" w:space="0"/>
              <w:bottom w:val="single" w:color="auto" w:sz="4" w:space="0"/>
              <w:right w:val="single" w:color="auto" w:sz="4" w:space="0"/>
            </w:tcBorders>
            <w:vAlign w:val="center"/>
          </w:tcPr>
          <w:p w14:paraId="4DF3FF84">
            <w:pPr>
              <w:spacing w:before="120" w:line="500" w:lineRule="exact"/>
              <w:rPr>
                <w:rFonts w:hAnsi="宋体"/>
                <w:color w:val="000000" w:themeColor="text1"/>
                <w:szCs w:val="21"/>
                <w14:textFill>
                  <w14:solidFill>
                    <w14:schemeClr w14:val="tx1"/>
                  </w14:solidFill>
                </w14:textFill>
              </w:rPr>
            </w:pPr>
          </w:p>
        </w:tc>
        <w:tc>
          <w:tcPr>
            <w:tcW w:w="1227" w:type="dxa"/>
            <w:tcBorders>
              <w:top w:val="single" w:color="auto" w:sz="4" w:space="0"/>
              <w:left w:val="single" w:color="auto" w:sz="4" w:space="0"/>
              <w:bottom w:val="single" w:color="auto" w:sz="4" w:space="0"/>
              <w:right w:val="single" w:color="auto" w:sz="2" w:space="0"/>
            </w:tcBorders>
            <w:vAlign w:val="center"/>
          </w:tcPr>
          <w:p w14:paraId="521B6C72">
            <w:pPr>
              <w:spacing w:before="120" w:line="500" w:lineRule="exact"/>
              <w:rPr>
                <w:rFonts w:hAnsi="宋体"/>
                <w:color w:val="000000" w:themeColor="text1"/>
                <w:szCs w:val="21"/>
                <w14:textFill>
                  <w14:solidFill>
                    <w14:schemeClr w14:val="tx1"/>
                  </w14:solidFill>
                </w14:textFill>
              </w:rPr>
            </w:pPr>
          </w:p>
        </w:tc>
        <w:tc>
          <w:tcPr>
            <w:tcW w:w="893" w:type="dxa"/>
            <w:tcBorders>
              <w:top w:val="single" w:color="auto" w:sz="4" w:space="0"/>
              <w:left w:val="single" w:color="auto" w:sz="2" w:space="0"/>
              <w:bottom w:val="single" w:color="auto" w:sz="4" w:space="0"/>
              <w:right w:val="single" w:color="auto" w:sz="4" w:space="0"/>
            </w:tcBorders>
            <w:vAlign w:val="center"/>
          </w:tcPr>
          <w:p w14:paraId="1D893519">
            <w:pPr>
              <w:spacing w:before="120" w:line="500" w:lineRule="exact"/>
              <w:rPr>
                <w:rFonts w:hAnsi="宋体"/>
                <w:color w:val="000000" w:themeColor="text1"/>
                <w:szCs w:val="21"/>
                <w14:textFill>
                  <w14:solidFill>
                    <w14:schemeClr w14:val="tx1"/>
                  </w14:solidFill>
                </w14:textFill>
              </w:rPr>
            </w:pPr>
          </w:p>
        </w:tc>
      </w:tr>
      <w:tr w14:paraId="6977E7A7">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02" w:type="dxa"/>
            <w:tcBorders>
              <w:top w:val="single" w:color="auto" w:sz="4" w:space="0"/>
              <w:left w:val="single" w:color="auto" w:sz="4" w:space="0"/>
              <w:bottom w:val="single" w:color="auto" w:sz="4" w:space="0"/>
              <w:right w:val="single" w:color="auto" w:sz="4" w:space="0"/>
            </w:tcBorders>
            <w:vAlign w:val="center"/>
          </w:tcPr>
          <w:p w14:paraId="5A4DE00C">
            <w:pPr>
              <w:spacing w:before="120" w:line="500" w:lineRule="exact"/>
              <w:rPr>
                <w:rFonts w:hAnsi="宋体"/>
                <w:color w:val="000000" w:themeColor="text1"/>
                <w:szCs w:val="21"/>
                <w14:textFill>
                  <w14:solidFill>
                    <w14:schemeClr w14:val="tx1"/>
                  </w14:solidFill>
                </w14:textFill>
              </w:rPr>
            </w:pPr>
          </w:p>
        </w:tc>
        <w:tc>
          <w:tcPr>
            <w:tcW w:w="1191" w:type="dxa"/>
            <w:tcBorders>
              <w:top w:val="single" w:color="auto" w:sz="4" w:space="0"/>
              <w:left w:val="single" w:color="auto" w:sz="4" w:space="0"/>
              <w:bottom w:val="single" w:color="auto" w:sz="4" w:space="0"/>
              <w:right w:val="single" w:color="auto" w:sz="4" w:space="0"/>
            </w:tcBorders>
            <w:vAlign w:val="center"/>
          </w:tcPr>
          <w:p w14:paraId="051CD0D7">
            <w:pPr>
              <w:spacing w:before="120" w:line="500" w:lineRule="exact"/>
              <w:rPr>
                <w:rFonts w:hAnsi="宋体"/>
                <w:color w:val="000000" w:themeColor="text1"/>
                <w:szCs w:val="21"/>
                <w14:textFill>
                  <w14:solidFill>
                    <w14:schemeClr w14:val="tx1"/>
                  </w14:solidFill>
                </w14:textFill>
              </w:rPr>
            </w:pPr>
          </w:p>
        </w:tc>
        <w:tc>
          <w:tcPr>
            <w:tcW w:w="2581" w:type="dxa"/>
            <w:tcBorders>
              <w:top w:val="single" w:color="auto" w:sz="4" w:space="0"/>
              <w:left w:val="single" w:color="auto" w:sz="4" w:space="0"/>
              <w:bottom w:val="single" w:color="auto" w:sz="4" w:space="0"/>
              <w:right w:val="single" w:color="auto" w:sz="4" w:space="0"/>
            </w:tcBorders>
            <w:vAlign w:val="center"/>
          </w:tcPr>
          <w:p w14:paraId="4C024C34">
            <w:pPr>
              <w:spacing w:before="120" w:line="500" w:lineRule="exact"/>
              <w:rPr>
                <w:rFonts w:hAnsi="宋体"/>
                <w:color w:val="000000" w:themeColor="text1"/>
                <w:szCs w:val="21"/>
                <w14:textFill>
                  <w14:solidFill>
                    <w14:schemeClr w14:val="tx1"/>
                  </w14:solidFill>
                </w14:textFill>
              </w:rPr>
            </w:pPr>
          </w:p>
        </w:tc>
        <w:tc>
          <w:tcPr>
            <w:tcW w:w="2587" w:type="dxa"/>
            <w:tcBorders>
              <w:top w:val="single" w:color="auto" w:sz="4" w:space="0"/>
              <w:left w:val="single" w:color="auto" w:sz="4" w:space="0"/>
              <w:bottom w:val="single" w:color="auto" w:sz="4" w:space="0"/>
              <w:right w:val="single" w:color="auto" w:sz="4" w:space="0"/>
            </w:tcBorders>
            <w:vAlign w:val="center"/>
          </w:tcPr>
          <w:p w14:paraId="0B06E660">
            <w:pPr>
              <w:spacing w:before="120" w:line="500" w:lineRule="exact"/>
              <w:rPr>
                <w:rFonts w:hAnsi="宋体"/>
                <w:color w:val="000000" w:themeColor="text1"/>
                <w:szCs w:val="21"/>
                <w14:textFill>
                  <w14:solidFill>
                    <w14:schemeClr w14:val="tx1"/>
                  </w14:solidFill>
                </w14:textFill>
              </w:rPr>
            </w:pPr>
          </w:p>
        </w:tc>
        <w:tc>
          <w:tcPr>
            <w:tcW w:w="1227" w:type="dxa"/>
            <w:tcBorders>
              <w:top w:val="single" w:color="auto" w:sz="4" w:space="0"/>
              <w:left w:val="single" w:color="auto" w:sz="4" w:space="0"/>
              <w:bottom w:val="single" w:color="auto" w:sz="4" w:space="0"/>
              <w:right w:val="single" w:color="auto" w:sz="2" w:space="0"/>
            </w:tcBorders>
            <w:vAlign w:val="center"/>
          </w:tcPr>
          <w:p w14:paraId="74F7794F">
            <w:pPr>
              <w:spacing w:before="120" w:line="500" w:lineRule="exact"/>
              <w:rPr>
                <w:rFonts w:hAnsi="宋体"/>
                <w:color w:val="000000" w:themeColor="text1"/>
                <w:szCs w:val="21"/>
                <w14:textFill>
                  <w14:solidFill>
                    <w14:schemeClr w14:val="tx1"/>
                  </w14:solidFill>
                </w14:textFill>
              </w:rPr>
            </w:pPr>
          </w:p>
        </w:tc>
        <w:tc>
          <w:tcPr>
            <w:tcW w:w="893" w:type="dxa"/>
            <w:tcBorders>
              <w:top w:val="single" w:color="auto" w:sz="4" w:space="0"/>
              <w:left w:val="single" w:color="auto" w:sz="2" w:space="0"/>
              <w:bottom w:val="single" w:color="auto" w:sz="4" w:space="0"/>
              <w:right w:val="single" w:color="auto" w:sz="4" w:space="0"/>
            </w:tcBorders>
            <w:vAlign w:val="center"/>
          </w:tcPr>
          <w:p w14:paraId="787B1CEE">
            <w:pPr>
              <w:spacing w:before="120" w:line="500" w:lineRule="exact"/>
              <w:rPr>
                <w:rFonts w:hAnsi="宋体"/>
                <w:color w:val="000000" w:themeColor="text1"/>
                <w:szCs w:val="21"/>
                <w14:textFill>
                  <w14:solidFill>
                    <w14:schemeClr w14:val="tx1"/>
                  </w14:solidFill>
                </w14:textFill>
              </w:rPr>
            </w:pPr>
          </w:p>
        </w:tc>
      </w:tr>
      <w:tr w14:paraId="00F8FF38">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02" w:type="dxa"/>
            <w:tcBorders>
              <w:top w:val="single" w:color="auto" w:sz="4" w:space="0"/>
              <w:left w:val="single" w:color="auto" w:sz="4" w:space="0"/>
              <w:bottom w:val="single" w:color="auto" w:sz="4" w:space="0"/>
              <w:right w:val="single" w:color="auto" w:sz="4" w:space="0"/>
            </w:tcBorders>
            <w:vAlign w:val="center"/>
          </w:tcPr>
          <w:p w14:paraId="1694512C">
            <w:pPr>
              <w:spacing w:before="120" w:line="500" w:lineRule="exact"/>
              <w:rPr>
                <w:rFonts w:hAnsi="宋体"/>
                <w:color w:val="000000" w:themeColor="text1"/>
                <w:szCs w:val="21"/>
                <w14:textFill>
                  <w14:solidFill>
                    <w14:schemeClr w14:val="tx1"/>
                  </w14:solidFill>
                </w14:textFill>
              </w:rPr>
            </w:pPr>
          </w:p>
        </w:tc>
        <w:tc>
          <w:tcPr>
            <w:tcW w:w="1191" w:type="dxa"/>
            <w:tcBorders>
              <w:top w:val="single" w:color="auto" w:sz="4" w:space="0"/>
              <w:left w:val="single" w:color="auto" w:sz="4" w:space="0"/>
              <w:bottom w:val="single" w:color="auto" w:sz="4" w:space="0"/>
              <w:right w:val="single" w:color="auto" w:sz="4" w:space="0"/>
            </w:tcBorders>
            <w:vAlign w:val="center"/>
          </w:tcPr>
          <w:p w14:paraId="4EF5BC94">
            <w:pPr>
              <w:spacing w:before="120" w:line="500" w:lineRule="exact"/>
              <w:rPr>
                <w:rFonts w:hAnsi="宋体"/>
                <w:color w:val="000000" w:themeColor="text1"/>
                <w:szCs w:val="21"/>
                <w14:textFill>
                  <w14:solidFill>
                    <w14:schemeClr w14:val="tx1"/>
                  </w14:solidFill>
                </w14:textFill>
              </w:rPr>
            </w:pPr>
          </w:p>
        </w:tc>
        <w:tc>
          <w:tcPr>
            <w:tcW w:w="2581" w:type="dxa"/>
            <w:tcBorders>
              <w:top w:val="single" w:color="auto" w:sz="4" w:space="0"/>
              <w:left w:val="single" w:color="auto" w:sz="4" w:space="0"/>
              <w:bottom w:val="single" w:color="auto" w:sz="4" w:space="0"/>
              <w:right w:val="single" w:color="auto" w:sz="4" w:space="0"/>
            </w:tcBorders>
            <w:vAlign w:val="center"/>
          </w:tcPr>
          <w:p w14:paraId="050EAA13">
            <w:pPr>
              <w:spacing w:before="120" w:line="500" w:lineRule="exact"/>
              <w:rPr>
                <w:rFonts w:hAnsi="宋体"/>
                <w:color w:val="000000" w:themeColor="text1"/>
                <w:szCs w:val="21"/>
                <w14:textFill>
                  <w14:solidFill>
                    <w14:schemeClr w14:val="tx1"/>
                  </w14:solidFill>
                </w14:textFill>
              </w:rPr>
            </w:pPr>
          </w:p>
        </w:tc>
        <w:tc>
          <w:tcPr>
            <w:tcW w:w="2587" w:type="dxa"/>
            <w:tcBorders>
              <w:top w:val="single" w:color="auto" w:sz="4" w:space="0"/>
              <w:left w:val="single" w:color="auto" w:sz="4" w:space="0"/>
              <w:bottom w:val="single" w:color="auto" w:sz="4" w:space="0"/>
              <w:right w:val="single" w:color="auto" w:sz="4" w:space="0"/>
            </w:tcBorders>
            <w:vAlign w:val="center"/>
          </w:tcPr>
          <w:p w14:paraId="7F4C3BC6">
            <w:pPr>
              <w:spacing w:before="120" w:line="500" w:lineRule="exact"/>
              <w:rPr>
                <w:rFonts w:hAnsi="宋体"/>
                <w:color w:val="000000" w:themeColor="text1"/>
                <w:szCs w:val="21"/>
                <w14:textFill>
                  <w14:solidFill>
                    <w14:schemeClr w14:val="tx1"/>
                  </w14:solidFill>
                </w14:textFill>
              </w:rPr>
            </w:pPr>
          </w:p>
        </w:tc>
        <w:tc>
          <w:tcPr>
            <w:tcW w:w="1227" w:type="dxa"/>
            <w:tcBorders>
              <w:top w:val="single" w:color="auto" w:sz="4" w:space="0"/>
              <w:left w:val="single" w:color="auto" w:sz="4" w:space="0"/>
              <w:bottom w:val="single" w:color="auto" w:sz="4" w:space="0"/>
              <w:right w:val="single" w:color="auto" w:sz="2" w:space="0"/>
            </w:tcBorders>
            <w:vAlign w:val="center"/>
          </w:tcPr>
          <w:p w14:paraId="5EDF7A7F">
            <w:pPr>
              <w:spacing w:before="120" w:line="500" w:lineRule="exact"/>
              <w:rPr>
                <w:rFonts w:hAnsi="宋体"/>
                <w:color w:val="000000" w:themeColor="text1"/>
                <w:szCs w:val="21"/>
                <w14:textFill>
                  <w14:solidFill>
                    <w14:schemeClr w14:val="tx1"/>
                  </w14:solidFill>
                </w14:textFill>
              </w:rPr>
            </w:pPr>
          </w:p>
        </w:tc>
        <w:tc>
          <w:tcPr>
            <w:tcW w:w="893" w:type="dxa"/>
            <w:tcBorders>
              <w:top w:val="single" w:color="auto" w:sz="4" w:space="0"/>
              <w:left w:val="single" w:color="auto" w:sz="2" w:space="0"/>
              <w:bottom w:val="single" w:color="auto" w:sz="4" w:space="0"/>
              <w:right w:val="single" w:color="auto" w:sz="4" w:space="0"/>
            </w:tcBorders>
            <w:vAlign w:val="center"/>
          </w:tcPr>
          <w:p w14:paraId="776F5C64">
            <w:pPr>
              <w:spacing w:before="120" w:line="500" w:lineRule="exact"/>
              <w:rPr>
                <w:rFonts w:hAnsi="宋体"/>
                <w:color w:val="000000" w:themeColor="text1"/>
                <w:szCs w:val="21"/>
                <w14:textFill>
                  <w14:solidFill>
                    <w14:schemeClr w14:val="tx1"/>
                  </w14:solidFill>
                </w14:textFill>
              </w:rPr>
            </w:pPr>
          </w:p>
        </w:tc>
      </w:tr>
      <w:tr w14:paraId="1346614F">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02" w:type="dxa"/>
            <w:tcBorders>
              <w:top w:val="single" w:color="auto" w:sz="4" w:space="0"/>
              <w:left w:val="single" w:color="auto" w:sz="4" w:space="0"/>
              <w:bottom w:val="single" w:color="auto" w:sz="4" w:space="0"/>
              <w:right w:val="single" w:color="auto" w:sz="4" w:space="0"/>
            </w:tcBorders>
            <w:vAlign w:val="center"/>
          </w:tcPr>
          <w:p w14:paraId="7C54EEA9">
            <w:pPr>
              <w:spacing w:before="120" w:line="500" w:lineRule="exact"/>
              <w:rPr>
                <w:rFonts w:hAnsi="宋体"/>
                <w:color w:val="000000" w:themeColor="text1"/>
                <w:szCs w:val="21"/>
                <w14:textFill>
                  <w14:solidFill>
                    <w14:schemeClr w14:val="tx1"/>
                  </w14:solidFill>
                </w14:textFill>
              </w:rPr>
            </w:pPr>
          </w:p>
        </w:tc>
        <w:tc>
          <w:tcPr>
            <w:tcW w:w="1191" w:type="dxa"/>
            <w:tcBorders>
              <w:top w:val="single" w:color="auto" w:sz="4" w:space="0"/>
              <w:left w:val="single" w:color="auto" w:sz="4" w:space="0"/>
              <w:bottom w:val="single" w:color="auto" w:sz="4" w:space="0"/>
              <w:right w:val="single" w:color="auto" w:sz="4" w:space="0"/>
            </w:tcBorders>
            <w:vAlign w:val="center"/>
          </w:tcPr>
          <w:p w14:paraId="38E75770">
            <w:pPr>
              <w:spacing w:before="120" w:line="500" w:lineRule="exact"/>
              <w:rPr>
                <w:rFonts w:hAnsi="宋体"/>
                <w:color w:val="000000" w:themeColor="text1"/>
                <w:szCs w:val="21"/>
                <w14:textFill>
                  <w14:solidFill>
                    <w14:schemeClr w14:val="tx1"/>
                  </w14:solidFill>
                </w14:textFill>
              </w:rPr>
            </w:pPr>
          </w:p>
        </w:tc>
        <w:tc>
          <w:tcPr>
            <w:tcW w:w="2581" w:type="dxa"/>
            <w:tcBorders>
              <w:top w:val="single" w:color="auto" w:sz="4" w:space="0"/>
              <w:left w:val="single" w:color="auto" w:sz="4" w:space="0"/>
              <w:bottom w:val="single" w:color="auto" w:sz="4" w:space="0"/>
              <w:right w:val="single" w:color="auto" w:sz="4" w:space="0"/>
            </w:tcBorders>
            <w:vAlign w:val="center"/>
          </w:tcPr>
          <w:p w14:paraId="7E8A622A">
            <w:pPr>
              <w:spacing w:before="120" w:line="500" w:lineRule="exact"/>
              <w:rPr>
                <w:rFonts w:hAnsi="宋体"/>
                <w:color w:val="000000" w:themeColor="text1"/>
                <w:szCs w:val="21"/>
                <w14:textFill>
                  <w14:solidFill>
                    <w14:schemeClr w14:val="tx1"/>
                  </w14:solidFill>
                </w14:textFill>
              </w:rPr>
            </w:pPr>
          </w:p>
        </w:tc>
        <w:tc>
          <w:tcPr>
            <w:tcW w:w="2587" w:type="dxa"/>
            <w:tcBorders>
              <w:top w:val="single" w:color="auto" w:sz="4" w:space="0"/>
              <w:left w:val="single" w:color="auto" w:sz="4" w:space="0"/>
              <w:bottom w:val="single" w:color="auto" w:sz="4" w:space="0"/>
              <w:right w:val="single" w:color="auto" w:sz="4" w:space="0"/>
            </w:tcBorders>
            <w:vAlign w:val="center"/>
          </w:tcPr>
          <w:p w14:paraId="297A7114">
            <w:pPr>
              <w:spacing w:before="120" w:line="500" w:lineRule="exact"/>
              <w:rPr>
                <w:rFonts w:hAnsi="宋体"/>
                <w:color w:val="000000" w:themeColor="text1"/>
                <w:szCs w:val="21"/>
                <w14:textFill>
                  <w14:solidFill>
                    <w14:schemeClr w14:val="tx1"/>
                  </w14:solidFill>
                </w14:textFill>
              </w:rPr>
            </w:pPr>
          </w:p>
        </w:tc>
        <w:tc>
          <w:tcPr>
            <w:tcW w:w="1227" w:type="dxa"/>
            <w:tcBorders>
              <w:top w:val="single" w:color="auto" w:sz="4" w:space="0"/>
              <w:left w:val="single" w:color="auto" w:sz="4" w:space="0"/>
              <w:bottom w:val="single" w:color="auto" w:sz="4" w:space="0"/>
              <w:right w:val="single" w:color="auto" w:sz="2" w:space="0"/>
            </w:tcBorders>
            <w:vAlign w:val="center"/>
          </w:tcPr>
          <w:p w14:paraId="54DA0237">
            <w:pPr>
              <w:spacing w:before="120" w:line="500" w:lineRule="exact"/>
              <w:rPr>
                <w:rFonts w:hAnsi="宋体"/>
                <w:color w:val="000000" w:themeColor="text1"/>
                <w:szCs w:val="21"/>
                <w14:textFill>
                  <w14:solidFill>
                    <w14:schemeClr w14:val="tx1"/>
                  </w14:solidFill>
                </w14:textFill>
              </w:rPr>
            </w:pPr>
          </w:p>
        </w:tc>
        <w:tc>
          <w:tcPr>
            <w:tcW w:w="893" w:type="dxa"/>
            <w:tcBorders>
              <w:top w:val="single" w:color="auto" w:sz="4" w:space="0"/>
              <w:left w:val="single" w:color="auto" w:sz="2" w:space="0"/>
              <w:bottom w:val="single" w:color="auto" w:sz="4" w:space="0"/>
              <w:right w:val="single" w:color="auto" w:sz="4" w:space="0"/>
            </w:tcBorders>
            <w:vAlign w:val="center"/>
          </w:tcPr>
          <w:p w14:paraId="009DE99C">
            <w:pPr>
              <w:spacing w:before="120" w:line="500" w:lineRule="exact"/>
              <w:rPr>
                <w:rFonts w:hAnsi="宋体"/>
                <w:color w:val="000000" w:themeColor="text1"/>
                <w:szCs w:val="21"/>
                <w14:textFill>
                  <w14:solidFill>
                    <w14:schemeClr w14:val="tx1"/>
                  </w14:solidFill>
                </w14:textFill>
              </w:rPr>
            </w:pPr>
          </w:p>
        </w:tc>
      </w:tr>
    </w:tbl>
    <w:p w14:paraId="4F07EDA9">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注：</w:t>
      </w:r>
    </w:p>
    <w:p w14:paraId="4AF4D49F">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1.投标人应根据</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采购需求及技术要求</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对照所提供的货物的规格及技术要求、标准等情况进行逐项评议。</w:t>
      </w:r>
    </w:p>
    <w:p w14:paraId="38EE13C8">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2.若无偏离，在“响应程度”栏中填写 响应或完全响应；若有偏离在“响应程度”栏中填写 不响应或不完全响应，并在“说明”栏中作出说明。</w:t>
      </w:r>
    </w:p>
    <w:p w14:paraId="684705F7">
      <w:pPr>
        <w:keepNext w:val="0"/>
        <w:keepLines w:val="0"/>
        <w:pageBreakBefore w:val="0"/>
        <w:widowControl/>
        <w:kinsoku/>
        <w:wordWrap/>
        <w:overflowPunct/>
        <w:topLinePunct w:val="0"/>
        <w:autoSpaceDE/>
        <w:autoSpaceDN/>
        <w:bidi w:val="0"/>
        <w:adjustRightInd/>
        <w:snapToGrid/>
        <w:spacing w:line="360" w:lineRule="auto"/>
        <w:ind w:left="0" w:firstLine="480" w:firstLineChars="200"/>
        <w:textAlignment w:val="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3.表格不够可另接。</w:t>
      </w:r>
    </w:p>
    <w:p w14:paraId="123A2BD4">
      <w:pPr>
        <w:rPr>
          <w:rFonts w:ascii="黑体" w:hAnsi="黑体" w:eastAsia="黑体"/>
          <w:color w:val="000000" w:themeColor="text1"/>
          <w:sz w:val="28"/>
          <w:szCs w:val="28"/>
          <w14:textFill>
            <w14:solidFill>
              <w14:schemeClr w14:val="tx1"/>
            </w14:solidFill>
          </w14:textFill>
        </w:rPr>
      </w:pPr>
    </w:p>
    <w:p w14:paraId="113B6194">
      <w:pPr>
        <w:rPr>
          <w:rFonts w:ascii="黑体" w:hAnsi="黑体" w:eastAsia="黑体"/>
          <w:color w:val="000000" w:themeColor="text1"/>
          <w:sz w:val="28"/>
          <w:szCs w:val="28"/>
          <w14:textFill>
            <w14:solidFill>
              <w14:schemeClr w14:val="tx1"/>
            </w14:solidFill>
          </w14:textFill>
        </w:rPr>
      </w:pPr>
      <w:r>
        <w:rPr>
          <w:rFonts w:hint="eastAsia" w:ascii="黑体" w:hAnsi="黑体" w:eastAsia="黑体"/>
          <w:color w:val="000000" w:themeColor="text1"/>
          <w:sz w:val="28"/>
          <w:szCs w:val="28"/>
          <w14:textFill>
            <w14:solidFill>
              <w14:schemeClr w14:val="tx1"/>
            </w14:solidFill>
          </w14:textFill>
        </w:rPr>
        <w:br w:type="page"/>
      </w:r>
    </w:p>
    <w:p w14:paraId="2D82527A">
      <w:pPr>
        <w:pStyle w:val="3"/>
        <w:bidi w:val="0"/>
        <w:rPr>
          <w:rFonts w:hint="eastAsia"/>
        </w:rPr>
      </w:pPr>
      <w:bookmarkStart w:id="199" w:name="_Toc31808"/>
      <w:bookmarkStart w:id="200" w:name="_Toc17196"/>
      <w:r>
        <w:rPr>
          <w:rFonts w:hint="eastAsia"/>
        </w:rPr>
        <w:t>格式十一、各类证明材料</w:t>
      </w:r>
      <w:bookmarkEnd w:id="193"/>
      <w:bookmarkEnd w:id="194"/>
      <w:bookmarkEnd w:id="199"/>
      <w:bookmarkEnd w:id="200"/>
    </w:p>
    <w:p w14:paraId="392F71F7">
      <w:pPr>
        <w:pStyle w:val="4"/>
        <w:rPr>
          <w:color w:val="000000" w:themeColor="text1"/>
          <w14:textFill>
            <w14:solidFill>
              <w14:schemeClr w14:val="tx1"/>
            </w14:solidFill>
          </w14:textFill>
        </w:rPr>
      </w:pPr>
      <w:bookmarkStart w:id="201" w:name="_Toc4007"/>
      <w:bookmarkStart w:id="202" w:name="_Toc22593"/>
      <w:r>
        <w:rPr>
          <w:rFonts w:hint="eastAsia"/>
          <w:color w:val="000000" w:themeColor="text1"/>
          <w14:textFill>
            <w14:solidFill>
              <w14:schemeClr w14:val="tx1"/>
            </w14:solidFill>
          </w14:textFill>
        </w:rPr>
        <w:t>（一）投标人基本情况表</w:t>
      </w:r>
      <w:bookmarkEnd w:id="201"/>
      <w:bookmarkEnd w:id="202"/>
    </w:p>
    <w:tbl>
      <w:tblPr>
        <w:tblStyle w:val="21"/>
        <w:tblW w:w="97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96"/>
        <w:gridCol w:w="2363"/>
        <w:gridCol w:w="1559"/>
        <w:gridCol w:w="1560"/>
        <w:gridCol w:w="1071"/>
        <w:gridCol w:w="991"/>
      </w:tblGrid>
      <w:tr w14:paraId="27C64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2196" w:type="dxa"/>
            <w:vAlign w:val="center"/>
          </w:tcPr>
          <w:p w14:paraId="354680A1">
            <w:pPr>
              <w:spacing w:line="360" w:lineRule="auto"/>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投标人名称</w:t>
            </w:r>
          </w:p>
        </w:tc>
        <w:tc>
          <w:tcPr>
            <w:tcW w:w="3922" w:type="dxa"/>
            <w:gridSpan w:val="2"/>
            <w:vAlign w:val="center"/>
          </w:tcPr>
          <w:p w14:paraId="49ECF4A7">
            <w:pPr>
              <w:spacing w:line="360" w:lineRule="auto"/>
              <w:jc w:val="center"/>
              <w:rPr>
                <w:rFonts w:ascii="宋体" w:hAnsi="宋体"/>
                <w:color w:val="000000" w:themeColor="text1"/>
                <w:sz w:val="24"/>
                <w14:textFill>
                  <w14:solidFill>
                    <w14:schemeClr w14:val="tx1"/>
                  </w14:solidFill>
                </w14:textFill>
              </w:rPr>
            </w:pPr>
          </w:p>
        </w:tc>
        <w:tc>
          <w:tcPr>
            <w:tcW w:w="1560" w:type="dxa"/>
            <w:vAlign w:val="center"/>
          </w:tcPr>
          <w:p w14:paraId="18928C64">
            <w:pPr>
              <w:spacing w:line="360" w:lineRule="auto"/>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联系电话</w:t>
            </w:r>
          </w:p>
        </w:tc>
        <w:tc>
          <w:tcPr>
            <w:tcW w:w="2062" w:type="dxa"/>
            <w:gridSpan w:val="2"/>
            <w:vAlign w:val="center"/>
          </w:tcPr>
          <w:p w14:paraId="6A7C3FAC">
            <w:pPr>
              <w:spacing w:line="360" w:lineRule="auto"/>
              <w:jc w:val="center"/>
              <w:rPr>
                <w:rFonts w:ascii="宋体" w:hAnsi="宋体"/>
                <w:color w:val="000000" w:themeColor="text1"/>
                <w:sz w:val="24"/>
                <w14:textFill>
                  <w14:solidFill>
                    <w14:schemeClr w14:val="tx1"/>
                  </w14:solidFill>
                </w14:textFill>
              </w:rPr>
            </w:pPr>
          </w:p>
        </w:tc>
      </w:tr>
      <w:tr w14:paraId="12299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2196" w:type="dxa"/>
            <w:vAlign w:val="center"/>
          </w:tcPr>
          <w:p w14:paraId="59533123">
            <w:pPr>
              <w:spacing w:line="360" w:lineRule="auto"/>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经济性质</w:t>
            </w:r>
          </w:p>
        </w:tc>
        <w:tc>
          <w:tcPr>
            <w:tcW w:w="3922" w:type="dxa"/>
            <w:gridSpan w:val="2"/>
            <w:vAlign w:val="center"/>
          </w:tcPr>
          <w:p w14:paraId="4D23EFA9">
            <w:pPr>
              <w:spacing w:line="360" w:lineRule="auto"/>
              <w:jc w:val="center"/>
              <w:rPr>
                <w:rFonts w:ascii="宋体" w:hAnsi="宋体"/>
                <w:color w:val="000000" w:themeColor="text1"/>
                <w:sz w:val="24"/>
                <w14:textFill>
                  <w14:solidFill>
                    <w14:schemeClr w14:val="tx1"/>
                  </w14:solidFill>
                </w14:textFill>
              </w:rPr>
            </w:pPr>
          </w:p>
        </w:tc>
        <w:tc>
          <w:tcPr>
            <w:tcW w:w="1560" w:type="dxa"/>
            <w:vAlign w:val="center"/>
          </w:tcPr>
          <w:p w14:paraId="42D33CAE">
            <w:pPr>
              <w:spacing w:line="360" w:lineRule="auto"/>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成立时间</w:t>
            </w:r>
          </w:p>
        </w:tc>
        <w:tc>
          <w:tcPr>
            <w:tcW w:w="2062" w:type="dxa"/>
            <w:gridSpan w:val="2"/>
            <w:vAlign w:val="center"/>
          </w:tcPr>
          <w:p w14:paraId="7006BF87">
            <w:pPr>
              <w:spacing w:line="360" w:lineRule="auto"/>
              <w:jc w:val="center"/>
              <w:rPr>
                <w:rFonts w:ascii="宋体" w:hAnsi="宋体"/>
                <w:color w:val="000000" w:themeColor="text1"/>
                <w:sz w:val="24"/>
                <w14:textFill>
                  <w14:solidFill>
                    <w14:schemeClr w14:val="tx1"/>
                  </w14:solidFill>
                </w14:textFill>
              </w:rPr>
            </w:pPr>
          </w:p>
        </w:tc>
      </w:tr>
      <w:tr w14:paraId="79485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2196" w:type="dxa"/>
            <w:vAlign w:val="center"/>
          </w:tcPr>
          <w:p w14:paraId="050A877A">
            <w:pPr>
              <w:spacing w:line="360" w:lineRule="auto"/>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营业执照注册号或统一社会信用代码</w:t>
            </w:r>
          </w:p>
        </w:tc>
        <w:tc>
          <w:tcPr>
            <w:tcW w:w="7544" w:type="dxa"/>
            <w:gridSpan w:val="5"/>
            <w:vAlign w:val="center"/>
          </w:tcPr>
          <w:p w14:paraId="645E4C87">
            <w:pPr>
              <w:spacing w:line="360" w:lineRule="auto"/>
              <w:jc w:val="center"/>
              <w:rPr>
                <w:rFonts w:ascii="宋体" w:hAnsi="宋体"/>
                <w:color w:val="000000" w:themeColor="text1"/>
                <w:sz w:val="24"/>
                <w14:textFill>
                  <w14:solidFill>
                    <w14:schemeClr w14:val="tx1"/>
                  </w14:solidFill>
                </w14:textFill>
              </w:rPr>
            </w:pPr>
          </w:p>
        </w:tc>
      </w:tr>
      <w:tr w14:paraId="4EEB6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2196" w:type="dxa"/>
            <w:vAlign w:val="center"/>
          </w:tcPr>
          <w:p w14:paraId="702FC0E2">
            <w:pPr>
              <w:spacing w:line="360" w:lineRule="auto"/>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详细地址</w:t>
            </w:r>
          </w:p>
        </w:tc>
        <w:tc>
          <w:tcPr>
            <w:tcW w:w="7544" w:type="dxa"/>
            <w:gridSpan w:val="5"/>
            <w:vAlign w:val="center"/>
          </w:tcPr>
          <w:p w14:paraId="55580D68">
            <w:pPr>
              <w:spacing w:line="360" w:lineRule="auto"/>
              <w:jc w:val="center"/>
              <w:rPr>
                <w:rFonts w:ascii="宋体" w:hAnsi="宋体"/>
                <w:color w:val="000000" w:themeColor="text1"/>
                <w:sz w:val="24"/>
                <w14:textFill>
                  <w14:solidFill>
                    <w14:schemeClr w14:val="tx1"/>
                  </w14:solidFill>
                </w14:textFill>
              </w:rPr>
            </w:pPr>
          </w:p>
        </w:tc>
      </w:tr>
      <w:tr w14:paraId="5DCBC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jc w:val="center"/>
        </w:trPr>
        <w:tc>
          <w:tcPr>
            <w:tcW w:w="2196" w:type="dxa"/>
            <w:vAlign w:val="center"/>
          </w:tcPr>
          <w:p w14:paraId="443B0E69">
            <w:pPr>
              <w:spacing w:line="360" w:lineRule="auto"/>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法定代表人</w:t>
            </w:r>
          </w:p>
        </w:tc>
        <w:tc>
          <w:tcPr>
            <w:tcW w:w="2363" w:type="dxa"/>
            <w:vAlign w:val="center"/>
          </w:tcPr>
          <w:p w14:paraId="0C93A295">
            <w:pPr>
              <w:spacing w:line="360" w:lineRule="auto"/>
              <w:jc w:val="center"/>
              <w:rPr>
                <w:rFonts w:ascii="宋体" w:hAnsi="宋体"/>
                <w:color w:val="000000" w:themeColor="text1"/>
                <w:sz w:val="24"/>
                <w14:textFill>
                  <w14:solidFill>
                    <w14:schemeClr w14:val="tx1"/>
                  </w14:solidFill>
                </w14:textFill>
              </w:rPr>
            </w:pPr>
          </w:p>
        </w:tc>
        <w:tc>
          <w:tcPr>
            <w:tcW w:w="1559" w:type="dxa"/>
            <w:vAlign w:val="center"/>
          </w:tcPr>
          <w:p w14:paraId="20B22A0C">
            <w:pPr>
              <w:spacing w:line="360" w:lineRule="auto"/>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是否本单位专职人员</w:t>
            </w:r>
          </w:p>
        </w:tc>
        <w:tc>
          <w:tcPr>
            <w:tcW w:w="1560" w:type="dxa"/>
            <w:vAlign w:val="center"/>
          </w:tcPr>
          <w:p w14:paraId="4CF342AA">
            <w:pPr>
              <w:spacing w:line="360" w:lineRule="auto"/>
              <w:jc w:val="center"/>
              <w:rPr>
                <w:rFonts w:ascii="宋体" w:hAnsi="宋体"/>
                <w:color w:val="000000" w:themeColor="text1"/>
                <w:sz w:val="24"/>
                <w14:textFill>
                  <w14:solidFill>
                    <w14:schemeClr w14:val="tx1"/>
                  </w14:solidFill>
                </w14:textFill>
              </w:rPr>
            </w:pPr>
          </w:p>
        </w:tc>
        <w:tc>
          <w:tcPr>
            <w:tcW w:w="1071" w:type="dxa"/>
            <w:vAlign w:val="center"/>
          </w:tcPr>
          <w:p w14:paraId="0A430D7A">
            <w:pPr>
              <w:spacing w:line="360" w:lineRule="auto"/>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学历</w:t>
            </w:r>
          </w:p>
        </w:tc>
        <w:tc>
          <w:tcPr>
            <w:tcW w:w="991" w:type="dxa"/>
            <w:vAlign w:val="center"/>
          </w:tcPr>
          <w:p w14:paraId="2E4386F8">
            <w:pPr>
              <w:spacing w:line="360" w:lineRule="auto"/>
              <w:jc w:val="center"/>
              <w:rPr>
                <w:rFonts w:ascii="宋体" w:hAnsi="宋体"/>
                <w:color w:val="000000" w:themeColor="text1"/>
                <w:sz w:val="24"/>
                <w14:textFill>
                  <w14:solidFill>
                    <w14:schemeClr w14:val="tx1"/>
                  </w14:solidFill>
                </w14:textFill>
              </w:rPr>
            </w:pPr>
          </w:p>
        </w:tc>
      </w:tr>
      <w:tr w14:paraId="6E9D9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2196" w:type="dxa"/>
            <w:vMerge w:val="restart"/>
            <w:vAlign w:val="center"/>
          </w:tcPr>
          <w:p w14:paraId="17CF9866">
            <w:pPr>
              <w:spacing w:line="360" w:lineRule="auto"/>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企业人员及资产情况</w:t>
            </w:r>
          </w:p>
        </w:tc>
        <w:tc>
          <w:tcPr>
            <w:tcW w:w="2363" w:type="dxa"/>
            <w:vAlign w:val="center"/>
          </w:tcPr>
          <w:p w14:paraId="1CE869D5">
            <w:pPr>
              <w:spacing w:line="360" w:lineRule="auto"/>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员工总人数</w:t>
            </w:r>
          </w:p>
        </w:tc>
        <w:tc>
          <w:tcPr>
            <w:tcW w:w="5181" w:type="dxa"/>
            <w:gridSpan w:val="4"/>
            <w:vAlign w:val="center"/>
          </w:tcPr>
          <w:p w14:paraId="6F84DBEA">
            <w:pPr>
              <w:spacing w:line="360" w:lineRule="auto"/>
              <w:jc w:val="center"/>
              <w:rPr>
                <w:rFonts w:ascii="宋体" w:hAnsi="宋体"/>
                <w:color w:val="000000" w:themeColor="text1"/>
                <w:sz w:val="24"/>
                <w14:textFill>
                  <w14:solidFill>
                    <w14:schemeClr w14:val="tx1"/>
                  </w14:solidFill>
                </w14:textFill>
              </w:rPr>
            </w:pPr>
          </w:p>
        </w:tc>
      </w:tr>
      <w:tr w14:paraId="619BA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196" w:type="dxa"/>
            <w:vMerge w:val="continue"/>
            <w:vAlign w:val="center"/>
          </w:tcPr>
          <w:p w14:paraId="5281F69E">
            <w:pPr>
              <w:spacing w:line="360" w:lineRule="auto"/>
              <w:jc w:val="center"/>
              <w:rPr>
                <w:rFonts w:ascii="宋体" w:hAnsi="宋体"/>
                <w:color w:val="000000" w:themeColor="text1"/>
                <w:sz w:val="24"/>
                <w14:textFill>
                  <w14:solidFill>
                    <w14:schemeClr w14:val="tx1"/>
                  </w14:solidFill>
                </w14:textFill>
              </w:rPr>
            </w:pPr>
          </w:p>
        </w:tc>
        <w:tc>
          <w:tcPr>
            <w:tcW w:w="2363" w:type="dxa"/>
            <w:vAlign w:val="center"/>
          </w:tcPr>
          <w:p w14:paraId="0C28C55F">
            <w:pPr>
              <w:spacing w:line="360" w:lineRule="auto"/>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专业人员人数</w:t>
            </w:r>
          </w:p>
        </w:tc>
        <w:tc>
          <w:tcPr>
            <w:tcW w:w="5181" w:type="dxa"/>
            <w:gridSpan w:val="4"/>
            <w:vAlign w:val="center"/>
          </w:tcPr>
          <w:p w14:paraId="0E0710F6">
            <w:pPr>
              <w:spacing w:line="360" w:lineRule="auto"/>
              <w:jc w:val="center"/>
              <w:rPr>
                <w:rFonts w:ascii="宋体" w:hAnsi="宋体"/>
                <w:color w:val="000000" w:themeColor="text1"/>
                <w:sz w:val="24"/>
                <w14:textFill>
                  <w14:solidFill>
                    <w14:schemeClr w14:val="tx1"/>
                  </w14:solidFill>
                </w14:textFill>
              </w:rPr>
            </w:pPr>
          </w:p>
        </w:tc>
      </w:tr>
      <w:tr w14:paraId="281F9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2196" w:type="dxa"/>
            <w:vMerge w:val="continue"/>
            <w:vAlign w:val="center"/>
          </w:tcPr>
          <w:p w14:paraId="77E785E3">
            <w:pPr>
              <w:spacing w:line="360" w:lineRule="auto"/>
              <w:jc w:val="center"/>
              <w:rPr>
                <w:rFonts w:ascii="宋体" w:hAnsi="宋体"/>
                <w:color w:val="000000" w:themeColor="text1"/>
                <w:sz w:val="24"/>
                <w14:textFill>
                  <w14:solidFill>
                    <w14:schemeClr w14:val="tx1"/>
                  </w14:solidFill>
                </w14:textFill>
              </w:rPr>
            </w:pPr>
          </w:p>
        </w:tc>
        <w:tc>
          <w:tcPr>
            <w:tcW w:w="2363" w:type="dxa"/>
            <w:vAlign w:val="center"/>
          </w:tcPr>
          <w:p w14:paraId="652730EA">
            <w:pPr>
              <w:spacing w:line="360" w:lineRule="auto"/>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固定资产（万元）</w:t>
            </w:r>
          </w:p>
        </w:tc>
        <w:tc>
          <w:tcPr>
            <w:tcW w:w="5181" w:type="dxa"/>
            <w:gridSpan w:val="4"/>
            <w:vAlign w:val="center"/>
          </w:tcPr>
          <w:p w14:paraId="7CAEDF3D">
            <w:pPr>
              <w:spacing w:line="360" w:lineRule="auto"/>
              <w:jc w:val="center"/>
              <w:rPr>
                <w:rFonts w:ascii="宋体" w:hAnsi="宋体"/>
                <w:color w:val="000000" w:themeColor="text1"/>
                <w:sz w:val="24"/>
                <w14:textFill>
                  <w14:solidFill>
                    <w14:schemeClr w14:val="tx1"/>
                  </w14:solidFill>
                </w14:textFill>
              </w:rPr>
            </w:pPr>
          </w:p>
        </w:tc>
      </w:tr>
      <w:tr w14:paraId="6B44F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5" w:hRule="atLeast"/>
          <w:jc w:val="center"/>
        </w:trPr>
        <w:tc>
          <w:tcPr>
            <w:tcW w:w="2196" w:type="dxa"/>
            <w:vAlign w:val="center"/>
          </w:tcPr>
          <w:p w14:paraId="25DA6EA3">
            <w:pPr>
              <w:spacing w:line="360" w:lineRule="auto"/>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营业范围</w:t>
            </w:r>
          </w:p>
        </w:tc>
        <w:tc>
          <w:tcPr>
            <w:tcW w:w="7544" w:type="dxa"/>
            <w:gridSpan w:val="5"/>
            <w:vAlign w:val="center"/>
          </w:tcPr>
          <w:p w14:paraId="32A96058">
            <w:pPr>
              <w:spacing w:line="360" w:lineRule="auto"/>
              <w:jc w:val="center"/>
              <w:rPr>
                <w:rFonts w:ascii="宋体" w:hAnsi="宋体"/>
                <w:color w:val="000000" w:themeColor="text1"/>
                <w:sz w:val="24"/>
                <w14:textFill>
                  <w14:solidFill>
                    <w14:schemeClr w14:val="tx1"/>
                  </w14:solidFill>
                </w14:textFill>
              </w:rPr>
            </w:pPr>
          </w:p>
        </w:tc>
      </w:tr>
      <w:tr w14:paraId="6D447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2196" w:type="dxa"/>
            <w:vMerge w:val="restart"/>
            <w:vAlign w:val="center"/>
          </w:tcPr>
          <w:p w14:paraId="1AAB0443">
            <w:pPr>
              <w:spacing w:line="360" w:lineRule="auto"/>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综合指数</w:t>
            </w:r>
          </w:p>
        </w:tc>
        <w:tc>
          <w:tcPr>
            <w:tcW w:w="2363" w:type="dxa"/>
            <w:vAlign w:val="center"/>
          </w:tcPr>
          <w:p w14:paraId="4F3C1C0F">
            <w:pPr>
              <w:spacing w:line="360" w:lineRule="auto"/>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注册资金</w:t>
            </w:r>
          </w:p>
        </w:tc>
        <w:tc>
          <w:tcPr>
            <w:tcW w:w="1559" w:type="dxa"/>
            <w:vAlign w:val="center"/>
          </w:tcPr>
          <w:p w14:paraId="72AFD40A">
            <w:pPr>
              <w:spacing w:line="360" w:lineRule="auto"/>
              <w:jc w:val="center"/>
              <w:rPr>
                <w:rFonts w:ascii="宋体" w:hAnsi="宋体"/>
                <w:color w:val="000000" w:themeColor="text1"/>
                <w:sz w:val="24"/>
                <w14:textFill>
                  <w14:solidFill>
                    <w14:schemeClr w14:val="tx1"/>
                  </w14:solidFill>
                </w14:textFill>
              </w:rPr>
            </w:pPr>
          </w:p>
        </w:tc>
        <w:tc>
          <w:tcPr>
            <w:tcW w:w="1560" w:type="dxa"/>
            <w:vAlign w:val="center"/>
          </w:tcPr>
          <w:p w14:paraId="3EEF980E">
            <w:pPr>
              <w:spacing w:line="360" w:lineRule="auto"/>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财务状况</w:t>
            </w:r>
          </w:p>
        </w:tc>
        <w:tc>
          <w:tcPr>
            <w:tcW w:w="2062" w:type="dxa"/>
            <w:gridSpan w:val="2"/>
            <w:vAlign w:val="center"/>
          </w:tcPr>
          <w:p w14:paraId="1E0A3759">
            <w:pPr>
              <w:spacing w:line="360" w:lineRule="auto"/>
              <w:jc w:val="center"/>
              <w:rPr>
                <w:rFonts w:ascii="宋体" w:hAnsi="宋体"/>
                <w:color w:val="000000" w:themeColor="text1"/>
                <w:sz w:val="24"/>
                <w14:textFill>
                  <w14:solidFill>
                    <w14:schemeClr w14:val="tx1"/>
                  </w14:solidFill>
                </w14:textFill>
              </w:rPr>
            </w:pPr>
          </w:p>
        </w:tc>
      </w:tr>
      <w:tr w14:paraId="71236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2196" w:type="dxa"/>
            <w:vMerge w:val="continue"/>
            <w:vAlign w:val="center"/>
          </w:tcPr>
          <w:p w14:paraId="46C1FA73">
            <w:pPr>
              <w:spacing w:line="360" w:lineRule="auto"/>
              <w:jc w:val="center"/>
              <w:rPr>
                <w:rFonts w:ascii="宋体" w:hAnsi="宋体"/>
                <w:color w:val="000000" w:themeColor="text1"/>
                <w:sz w:val="24"/>
                <w14:textFill>
                  <w14:solidFill>
                    <w14:schemeClr w14:val="tx1"/>
                  </w14:solidFill>
                </w14:textFill>
              </w:rPr>
            </w:pPr>
          </w:p>
        </w:tc>
        <w:tc>
          <w:tcPr>
            <w:tcW w:w="2363" w:type="dxa"/>
            <w:vAlign w:val="center"/>
          </w:tcPr>
          <w:p w14:paraId="501AB538">
            <w:pPr>
              <w:spacing w:line="360" w:lineRule="auto"/>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人员情况</w:t>
            </w:r>
          </w:p>
        </w:tc>
        <w:tc>
          <w:tcPr>
            <w:tcW w:w="5181" w:type="dxa"/>
            <w:gridSpan w:val="4"/>
            <w:vAlign w:val="center"/>
          </w:tcPr>
          <w:p w14:paraId="734E5FC8">
            <w:pPr>
              <w:spacing w:line="360" w:lineRule="auto"/>
              <w:jc w:val="center"/>
              <w:rPr>
                <w:rFonts w:ascii="宋体" w:hAnsi="宋体"/>
                <w:color w:val="000000" w:themeColor="text1"/>
                <w:sz w:val="24"/>
                <w14:textFill>
                  <w14:solidFill>
                    <w14:schemeClr w14:val="tx1"/>
                  </w14:solidFill>
                </w14:textFill>
              </w:rPr>
            </w:pPr>
          </w:p>
        </w:tc>
      </w:tr>
      <w:tr w14:paraId="03C80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2196" w:type="dxa"/>
            <w:vMerge w:val="continue"/>
            <w:vAlign w:val="center"/>
          </w:tcPr>
          <w:p w14:paraId="45CD3397">
            <w:pPr>
              <w:spacing w:line="360" w:lineRule="auto"/>
              <w:jc w:val="center"/>
              <w:rPr>
                <w:rFonts w:ascii="宋体" w:hAnsi="宋体"/>
                <w:color w:val="000000" w:themeColor="text1"/>
                <w:sz w:val="24"/>
                <w14:textFill>
                  <w14:solidFill>
                    <w14:schemeClr w14:val="tx1"/>
                  </w14:solidFill>
                </w14:textFill>
              </w:rPr>
            </w:pPr>
          </w:p>
        </w:tc>
        <w:tc>
          <w:tcPr>
            <w:tcW w:w="2363" w:type="dxa"/>
            <w:vAlign w:val="center"/>
          </w:tcPr>
          <w:p w14:paraId="58C17A78">
            <w:pPr>
              <w:spacing w:line="360" w:lineRule="auto"/>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办公场所房屋产权</w:t>
            </w:r>
          </w:p>
        </w:tc>
        <w:tc>
          <w:tcPr>
            <w:tcW w:w="5181" w:type="dxa"/>
            <w:gridSpan w:val="4"/>
            <w:vAlign w:val="center"/>
          </w:tcPr>
          <w:p w14:paraId="5CB7DB95">
            <w:pPr>
              <w:spacing w:line="360" w:lineRule="auto"/>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自有或租赁（附产权证明或租赁合同）</w:t>
            </w:r>
          </w:p>
        </w:tc>
      </w:tr>
      <w:tr w14:paraId="3196A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2196" w:type="dxa"/>
            <w:vAlign w:val="center"/>
          </w:tcPr>
          <w:p w14:paraId="44A0D5F7">
            <w:pPr>
              <w:spacing w:line="360" w:lineRule="auto"/>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诚信情况</w:t>
            </w:r>
          </w:p>
        </w:tc>
        <w:tc>
          <w:tcPr>
            <w:tcW w:w="7544" w:type="dxa"/>
            <w:gridSpan w:val="5"/>
            <w:vAlign w:val="center"/>
          </w:tcPr>
          <w:p w14:paraId="2224F1B9">
            <w:pPr>
              <w:spacing w:line="360" w:lineRule="auto"/>
              <w:jc w:val="center"/>
              <w:rPr>
                <w:rFonts w:ascii="宋体" w:hAnsi="宋体"/>
                <w:color w:val="000000" w:themeColor="text1"/>
                <w:sz w:val="24"/>
                <w14:textFill>
                  <w14:solidFill>
                    <w14:schemeClr w14:val="tx1"/>
                  </w14:solidFill>
                </w14:textFill>
              </w:rPr>
            </w:pPr>
          </w:p>
        </w:tc>
      </w:tr>
      <w:tr w14:paraId="7A3EE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2196" w:type="dxa"/>
            <w:vAlign w:val="center"/>
          </w:tcPr>
          <w:p w14:paraId="639F8D15">
            <w:pPr>
              <w:spacing w:line="360" w:lineRule="auto"/>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备注</w:t>
            </w:r>
          </w:p>
        </w:tc>
        <w:tc>
          <w:tcPr>
            <w:tcW w:w="7544" w:type="dxa"/>
            <w:gridSpan w:val="5"/>
            <w:vAlign w:val="center"/>
          </w:tcPr>
          <w:p w14:paraId="0B3E8221">
            <w:pPr>
              <w:spacing w:line="360" w:lineRule="auto"/>
              <w:jc w:val="center"/>
              <w:rPr>
                <w:rFonts w:ascii="宋体" w:hAnsi="宋体"/>
                <w:color w:val="000000" w:themeColor="text1"/>
                <w:sz w:val="24"/>
                <w14:textFill>
                  <w14:solidFill>
                    <w14:schemeClr w14:val="tx1"/>
                  </w14:solidFill>
                </w14:textFill>
              </w:rPr>
            </w:pPr>
          </w:p>
        </w:tc>
      </w:tr>
    </w:tbl>
    <w:p w14:paraId="4D259BC7">
      <w:pPr>
        <w:rPr>
          <w:rFonts w:ascii="宋体" w:hAnsi="宋体"/>
          <w:color w:val="000000" w:themeColor="text1"/>
          <w:sz w:val="24"/>
          <w14:textFill>
            <w14:solidFill>
              <w14:schemeClr w14:val="tx1"/>
            </w14:solidFill>
          </w14:textFill>
        </w:rPr>
      </w:pPr>
    </w:p>
    <w:p w14:paraId="6ABE522F">
      <w:pPr>
        <w:rPr>
          <w:rStyle w:val="31"/>
          <w:rFonts w:ascii="宋体" w:hAnsi="宋体"/>
          <w:b/>
          <w:color w:val="000000" w:themeColor="text1"/>
          <w:sz w:val="32"/>
          <w:szCs w:val="32"/>
          <w14:textFill>
            <w14:solidFill>
              <w14:schemeClr w14:val="tx1"/>
            </w14:solidFill>
          </w14:textFill>
        </w:rPr>
      </w:pPr>
      <w:r>
        <w:rPr>
          <w:rFonts w:hint="eastAsia" w:ascii="宋体" w:hAnsi="宋体"/>
          <w:color w:val="000000" w:themeColor="text1"/>
          <w:sz w:val="24"/>
          <w14:textFill>
            <w14:solidFill>
              <w14:schemeClr w14:val="tx1"/>
            </w14:solidFill>
          </w14:textFill>
        </w:rPr>
        <w:t>注：本表后应附营业执照、组织机构代码证、税务登记证等复印件。</w:t>
      </w:r>
    </w:p>
    <w:p w14:paraId="01F39150">
      <w:pPr>
        <w:spacing w:line="360" w:lineRule="auto"/>
        <w:rPr>
          <w:rFonts w:ascii="宋体" w:hAnsi="宋体" w:cs="宋体"/>
          <w:color w:val="000000" w:themeColor="text1"/>
          <w:sz w:val="24"/>
          <w14:textFill>
            <w14:solidFill>
              <w14:schemeClr w14:val="tx1"/>
            </w14:solidFill>
          </w14:textFill>
        </w:rPr>
      </w:pPr>
    </w:p>
    <w:p w14:paraId="354B8CE9">
      <w:pPr>
        <w:rPr>
          <w:rFonts w:hint="eastAsia"/>
          <w:color w:val="000000" w:themeColor="text1"/>
          <w14:textFill>
            <w14:solidFill>
              <w14:schemeClr w14:val="tx1"/>
            </w14:solidFill>
          </w14:textFill>
        </w:rPr>
      </w:pPr>
      <w:bookmarkStart w:id="203" w:name="_Toc16705"/>
      <w:r>
        <w:rPr>
          <w:rFonts w:hint="eastAsia"/>
          <w:color w:val="000000" w:themeColor="text1"/>
          <w14:textFill>
            <w14:solidFill>
              <w14:schemeClr w14:val="tx1"/>
            </w14:solidFill>
          </w14:textFill>
        </w:rPr>
        <w:br w:type="page"/>
      </w:r>
    </w:p>
    <w:p w14:paraId="39C65E38">
      <w:pPr>
        <w:pStyle w:val="4"/>
        <w:rPr>
          <w:rFonts w:hint="eastAsia" w:eastAsia="宋体"/>
          <w:color w:val="000000" w:themeColor="text1"/>
          <w:lang w:eastAsia="zh-CN"/>
          <w14:textFill>
            <w14:solidFill>
              <w14:schemeClr w14:val="tx1"/>
            </w14:solidFill>
          </w14:textFill>
        </w:rPr>
      </w:pPr>
      <w:bookmarkStart w:id="204" w:name="_Toc29876"/>
      <w:r>
        <w:rPr>
          <w:rFonts w:hint="eastAsia"/>
          <w:color w:val="000000" w:themeColor="text1"/>
          <w14:textFill>
            <w14:solidFill>
              <w14:schemeClr w14:val="tx1"/>
            </w14:solidFill>
          </w14:textFill>
        </w:rPr>
        <w:t>（二）招标文件要求的资格审查材料</w:t>
      </w:r>
      <w:bookmarkEnd w:id="203"/>
      <w:r>
        <w:rPr>
          <w:rFonts w:hint="eastAsia"/>
          <w:color w:val="000000" w:themeColor="text1"/>
          <w:lang w:eastAsia="zh-CN"/>
          <w14:textFill>
            <w14:solidFill>
              <w14:schemeClr w14:val="tx1"/>
            </w14:solidFill>
          </w14:textFill>
        </w:rPr>
        <w:t>：</w:t>
      </w:r>
      <w:bookmarkEnd w:id="204"/>
    </w:p>
    <w:p w14:paraId="339D55EB">
      <w:pPr>
        <w:spacing w:line="500" w:lineRule="exact"/>
        <w:jc w:val="center"/>
        <w:rPr>
          <w:rFonts w:ascii="宋体" w:hAnsi="宋体"/>
          <w:bCs/>
          <w:color w:val="000000" w:themeColor="text1"/>
          <w:sz w:val="36"/>
          <w:szCs w:val="36"/>
          <w14:textFill>
            <w14:solidFill>
              <w14:schemeClr w14:val="tx1"/>
            </w14:solidFill>
          </w14:textFill>
        </w:rPr>
      </w:pPr>
    </w:p>
    <w:p w14:paraId="52405964">
      <w:pPr>
        <w:spacing w:line="500" w:lineRule="exact"/>
        <w:jc w:val="center"/>
        <w:rPr>
          <w:rFonts w:ascii="宋体" w:hAnsi="宋体"/>
          <w:bCs/>
          <w:color w:val="000000" w:themeColor="text1"/>
          <w:sz w:val="36"/>
          <w:szCs w:val="36"/>
          <w14:textFill>
            <w14:solidFill>
              <w14:schemeClr w14:val="tx1"/>
            </w14:solidFill>
          </w14:textFill>
        </w:rPr>
      </w:pPr>
      <w:r>
        <w:rPr>
          <w:rFonts w:hint="eastAsia" w:ascii="宋体" w:hAnsi="宋体"/>
          <w:bCs/>
          <w:color w:val="000000" w:themeColor="text1"/>
          <w:sz w:val="36"/>
          <w:szCs w:val="36"/>
          <w14:textFill>
            <w14:solidFill>
              <w14:schemeClr w14:val="tx1"/>
            </w14:solidFill>
          </w14:textFill>
        </w:rPr>
        <w:t>近三年内没有重大违法记录书面声明（格式）</w:t>
      </w:r>
    </w:p>
    <w:p w14:paraId="6A1D163D">
      <w:pPr>
        <w:pStyle w:val="6"/>
        <w:wordWrap w:val="0"/>
        <w:spacing w:line="500" w:lineRule="exact"/>
        <w:jc w:val="left"/>
        <w:rPr>
          <w:rFonts w:ascii="宋体" w:hAnsi="宋体" w:cs="仿宋"/>
          <w:color w:val="000000" w:themeColor="text1"/>
          <w14:textFill>
            <w14:solidFill>
              <w14:schemeClr w14:val="tx1"/>
            </w14:solidFill>
          </w14:textFill>
        </w:rPr>
      </w:pPr>
    </w:p>
    <w:p w14:paraId="4AFF6C64">
      <w:pPr>
        <w:pStyle w:val="11"/>
        <w:spacing w:line="460" w:lineRule="exact"/>
        <w:rPr>
          <w:rFonts w:hAnsi="宋体" w:cs="宋体"/>
          <w:color w:val="000000" w:themeColor="text1"/>
          <w:sz w:val="24"/>
          <w:szCs w:val="24"/>
          <w14:textFill>
            <w14:solidFill>
              <w14:schemeClr w14:val="tx1"/>
            </w14:solidFill>
          </w14:textFill>
        </w:rPr>
      </w:pPr>
      <w:r>
        <w:rPr>
          <w:rFonts w:hint="eastAsia" w:hAnsi="宋体"/>
          <w:iCs/>
          <w:color w:val="000000" w:themeColor="text1"/>
          <w:sz w:val="24"/>
          <w:szCs w:val="24"/>
          <w:u w:val="single"/>
          <w14:textFill>
            <w14:solidFill>
              <w14:schemeClr w14:val="tx1"/>
            </w14:solidFill>
          </w14:textFill>
        </w:rPr>
        <w:t xml:space="preserve">                     </w:t>
      </w:r>
      <w:r>
        <w:rPr>
          <w:rFonts w:hint="eastAsia" w:hAnsi="宋体"/>
          <w:iCs/>
          <w:color w:val="000000" w:themeColor="text1"/>
          <w:sz w:val="24"/>
          <w:szCs w:val="24"/>
          <w14:textFill>
            <w14:solidFill>
              <w14:schemeClr w14:val="tx1"/>
            </w14:solidFill>
          </w14:textFill>
        </w:rPr>
        <w:t>（招标人）</w:t>
      </w:r>
      <w:r>
        <w:rPr>
          <w:rFonts w:hAnsi="宋体" w:cs="宋体"/>
          <w:color w:val="000000" w:themeColor="text1"/>
          <w:sz w:val="24"/>
          <w:szCs w:val="24"/>
          <w14:textFill>
            <w14:solidFill>
              <w14:schemeClr w14:val="tx1"/>
            </w14:solidFill>
          </w14:textFill>
        </w:rPr>
        <w:t xml:space="preserve">： </w:t>
      </w:r>
    </w:p>
    <w:p w14:paraId="71661083">
      <w:pPr>
        <w:spacing w:line="460" w:lineRule="exact"/>
        <w:ind w:firstLine="482" w:firstLineChars="201"/>
        <w:jc w:val="left"/>
        <w:rPr>
          <w:rFonts w:ascii="宋体" w:hAnsi="宋体"/>
          <w:iCs/>
          <w:color w:val="000000" w:themeColor="text1"/>
          <w:sz w:val="24"/>
          <w14:textFill>
            <w14:solidFill>
              <w14:schemeClr w14:val="tx1"/>
            </w14:solidFill>
          </w14:textFill>
        </w:rPr>
      </w:pPr>
    </w:p>
    <w:p w14:paraId="7D78D254">
      <w:pPr>
        <w:spacing w:line="360" w:lineRule="auto"/>
        <w:ind w:firstLine="480" w:firstLineChars="200"/>
        <w:jc w:val="left"/>
        <w:rPr>
          <w:rFonts w:ascii="宋体" w:hAnsi="宋体"/>
          <w:iCs/>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我公司自愿参加</w:t>
      </w:r>
      <w:r>
        <w:rPr>
          <w:rFonts w:hint="eastAsia" w:ascii="宋体" w:hAnsi="宋体" w:cs="宋体"/>
          <w:color w:val="000000" w:themeColor="text1"/>
          <w:kern w:val="0"/>
          <w:sz w:val="24"/>
          <w:u w:val="single"/>
          <w14:textFill>
            <w14:solidFill>
              <w14:schemeClr w14:val="tx1"/>
            </w14:solidFill>
          </w14:textFill>
        </w:rPr>
        <w:t xml:space="preserve">        </w:t>
      </w:r>
      <w:r>
        <w:rPr>
          <w:rFonts w:hint="eastAsia" w:ascii="宋体" w:hAnsi="宋体" w:cs="宋体"/>
          <w:color w:val="000000" w:themeColor="text1"/>
          <w:kern w:val="0"/>
          <w:sz w:val="24"/>
          <w14:textFill>
            <w14:solidFill>
              <w14:schemeClr w14:val="tx1"/>
            </w14:solidFill>
          </w14:textFill>
        </w:rPr>
        <w:t>（项目名称）</w:t>
      </w:r>
      <w:r>
        <w:rPr>
          <w:rFonts w:hint="eastAsia" w:ascii="宋体" w:hAnsi="宋体" w:cs="宋体"/>
          <w:color w:val="000000" w:themeColor="text1"/>
          <w:kern w:val="0"/>
          <w:sz w:val="24"/>
          <w:u w:val="single"/>
          <w14:textFill>
            <w14:solidFill>
              <w14:schemeClr w14:val="tx1"/>
            </w14:solidFill>
          </w14:textFill>
        </w:rPr>
        <w:t xml:space="preserve">        </w:t>
      </w:r>
      <w:r>
        <w:rPr>
          <w:rFonts w:hint="eastAsia" w:ascii="宋体" w:hAnsi="宋体" w:cs="宋体"/>
          <w:color w:val="000000" w:themeColor="text1"/>
          <w:kern w:val="0"/>
          <w:sz w:val="24"/>
          <w14:textFill>
            <w14:solidFill>
              <w14:schemeClr w14:val="tx1"/>
            </w14:solidFill>
          </w14:textFill>
        </w:rPr>
        <w:t>（项目编号）</w:t>
      </w:r>
      <w:r>
        <w:rPr>
          <w:rFonts w:hint="eastAsia" w:ascii="宋体" w:hAnsi="宋体"/>
          <w:iCs/>
          <w:color w:val="000000" w:themeColor="text1"/>
          <w:sz w:val="24"/>
          <w14:textFill>
            <w14:solidFill>
              <w14:schemeClr w14:val="tx1"/>
            </w14:solidFill>
          </w14:textFill>
        </w:rPr>
        <w:t>采购活动，严格遵守《中华人民共和国政府采购法》、《中华人民共和国政府采购法实施条例》及所有相关法律、法规规定，同时郑重声明：</w:t>
      </w:r>
    </w:p>
    <w:p w14:paraId="09A655A2">
      <w:pPr>
        <w:autoSpaceDE w:val="0"/>
        <w:autoSpaceDN w:val="0"/>
        <w:spacing w:line="360" w:lineRule="auto"/>
        <w:ind w:firstLine="480"/>
        <w:rPr>
          <w:rFonts w:ascii="宋体" w:hAnsi="宋体" w:cs="仿宋"/>
          <w:bCs/>
          <w:color w:val="000000" w:themeColor="text1"/>
          <w:sz w:val="24"/>
          <w14:textFill>
            <w14:solidFill>
              <w14:schemeClr w14:val="tx1"/>
            </w14:solidFill>
          </w14:textFill>
        </w:rPr>
      </w:pPr>
      <w:r>
        <w:rPr>
          <w:rFonts w:hint="eastAsia" w:ascii="宋体" w:hAnsi="宋体"/>
          <w:iCs/>
          <w:color w:val="000000" w:themeColor="text1"/>
          <w:sz w:val="24"/>
          <w14:textFill>
            <w14:solidFill>
              <w14:schemeClr w14:val="tx1"/>
            </w14:solidFill>
          </w14:textFill>
        </w:rPr>
        <w:t>我公司</w:t>
      </w:r>
      <w:r>
        <w:rPr>
          <w:rFonts w:hint="eastAsia" w:ascii="宋体" w:hAnsi="宋体" w:cs="仿宋"/>
          <w:color w:val="000000" w:themeColor="text1"/>
          <w:sz w:val="24"/>
          <w14:textFill>
            <w14:solidFill>
              <w14:schemeClr w14:val="tx1"/>
            </w14:solidFill>
          </w14:textFill>
        </w:rPr>
        <w:t>参加采购活动前三年内在经营活动中</w:t>
      </w:r>
      <w:r>
        <w:rPr>
          <w:rFonts w:hint="eastAsia" w:ascii="宋体" w:hAnsi="宋体"/>
          <w:iCs/>
          <w:color w:val="000000" w:themeColor="text1"/>
          <w:sz w:val="24"/>
          <w14:textFill>
            <w14:solidFill>
              <w14:schemeClr w14:val="tx1"/>
            </w14:solidFill>
          </w14:textFill>
        </w:rPr>
        <w:t>未发生：</w:t>
      </w:r>
      <w:r>
        <w:rPr>
          <w:rFonts w:hint="eastAsia" w:ascii="宋体" w:hAnsi="宋体" w:cs="仿宋"/>
          <w:color w:val="000000" w:themeColor="text1"/>
          <w:sz w:val="24"/>
          <w14:textFill>
            <w14:solidFill>
              <w14:schemeClr w14:val="tx1"/>
            </w14:solidFill>
          </w14:textFill>
        </w:rPr>
        <w:t>因违法经营受到刑事处罚或者责令停产停业、吊销许可证或者执照、较大数额罚款等行政处罚。</w:t>
      </w:r>
    </w:p>
    <w:p w14:paraId="305C48D4">
      <w:pPr>
        <w:spacing w:line="360" w:lineRule="auto"/>
        <w:ind w:left="357" w:leftChars="170"/>
        <w:jc w:val="left"/>
        <w:rPr>
          <w:rFonts w:ascii="宋体" w:hAnsi="宋体"/>
          <w:iCs/>
          <w:color w:val="000000" w:themeColor="text1"/>
          <w:sz w:val="24"/>
          <w14:textFill>
            <w14:solidFill>
              <w14:schemeClr w14:val="tx1"/>
            </w14:solidFill>
          </w14:textFill>
        </w:rPr>
      </w:pPr>
      <w:r>
        <w:rPr>
          <w:rFonts w:hint="eastAsia" w:ascii="宋体" w:hAnsi="宋体"/>
          <w:iCs/>
          <w:color w:val="000000" w:themeColor="text1"/>
          <w:sz w:val="24"/>
          <w14:textFill>
            <w14:solidFill>
              <w14:schemeClr w14:val="tx1"/>
            </w14:solidFill>
          </w14:textFill>
        </w:rPr>
        <w:t>若我公司以上声明不实、内容虚假，自愿承担提供虚假材料谋取中标的法律责任。</w:t>
      </w:r>
    </w:p>
    <w:p w14:paraId="7F80CE76">
      <w:pPr>
        <w:spacing w:line="360" w:lineRule="auto"/>
        <w:ind w:left="357" w:leftChars="170"/>
        <w:jc w:val="left"/>
        <w:rPr>
          <w:rFonts w:hint="eastAsia" w:ascii="宋体" w:hAnsi="宋体" w:eastAsia="宋体" w:cs="Times New Roman"/>
          <w:iCs/>
          <w:color w:val="000000" w:themeColor="text1"/>
          <w:sz w:val="24"/>
          <w14:textFill>
            <w14:solidFill>
              <w14:schemeClr w14:val="tx1"/>
            </w14:solidFill>
          </w14:textFill>
        </w:rPr>
      </w:pPr>
      <w:r>
        <w:rPr>
          <w:rFonts w:hint="eastAsia" w:ascii="宋体" w:hAnsi="宋体" w:eastAsia="宋体" w:cs="Times New Roman"/>
          <w:iCs/>
          <w:color w:val="000000" w:themeColor="text1"/>
          <w:sz w:val="24"/>
          <w14:textFill>
            <w14:solidFill>
              <w14:schemeClr w14:val="tx1"/>
            </w14:solidFill>
          </w14:textFill>
        </w:rPr>
        <w:t>特此声明</w:t>
      </w:r>
    </w:p>
    <w:p w14:paraId="6908F01C">
      <w:pPr>
        <w:spacing w:line="500" w:lineRule="exact"/>
        <w:jc w:val="center"/>
        <w:rPr>
          <w:rFonts w:ascii="宋体" w:hAnsi="宋体"/>
          <w:bCs/>
          <w:color w:val="000000" w:themeColor="text1"/>
          <w:sz w:val="36"/>
          <w14:textFill>
            <w14:solidFill>
              <w14:schemeClr w14:val="tx1"/>
            </w14:solidFill>
          </w14:textFill>
        </w:rPr>
      </w:pPr>
    </w:p>
    <w:p w14:paraId="77E6C769">
      <w:pPr>
        <w:pStyle w:val="6"/>
        <w:spacing w:line="360" w:lineRule="auto"/>
        <w:ind w:firstLine="0" w:firstLineChars="0"/>
        <w:rPr>
          <w:rFonts w:ascii="宋体" w:hAnsi="宋体"/>
          <w:color w:val="000000" w:themeColor="text1"/>
          <w14:textFill>
            <w14:solidFill>
              <w14:schemeClr w14:val="tx1"/>
            </w14:solidFill>
          </w14:textFill>
        </w:rPr>
      </w:pPr>
    </w:p>
    <w:p w14:paraId="3F92AC1F">
      <w:pPr>
        <w:pStyle w:val="6"/>
        <w:spacing w:line="360" w:lineRule="auto"/>
        <w:rPr>
          <w:rFonts w:ascii="宋体" w:hAnsi="宋体"/>
          <w:color w:val="000000" w:themeColor="text1"/>
          <w14:textFill>
            <w14:solidFill>
              <w14:schemeClr w14:val="tx1"/>
            </w14:solidFill>
          </w14:textFill>
        </w:rPr>
      </w:pPr>
    </w:p>
    <w:p w14:paraId="028A0BE3">
      <w:pPr>
        <w:pStyle w:val="6"/>
        <w:spacing w:line="360" w:lineRule="auto"/>
        <w:rPr>
          <w:rFonts w:ascii="宋体" w:hAnsi="宋体"/>
          <w:color w:val="000000" w:themeColor="text1"/>
          <w14:textFill>
            <w14:solidFill>
              <w14:schemeClr w14:val="tx1"/>
            </w14:solidFill>
          </w14:textFill>
        </w:rPr>
      </w:pPr>
    </w:p>
    <w:p w14:paraId="42C9ACA0">
      <w:pPr>
        <w:pStyle w:val="6"/>
        <w:spacing w:line="360" w:lineRule="auto"/>
        <w:rPr>
          <w:rFonts w:ascii="宋体" w:hAnsi="宋体"/>
          <w:color w:val="000000" w:themeColor="text1"/>
          <w14:textFill>
            <w14:solidFill>
              <w14:schemeClr w14:val="tx1"/>
            </w14:solidFill>
          </w14:textFill>
        </w:rPr>
      </w:pPr>
    </w:p>
    <w:p w14:paraId="7556D92D">
      <w:pPr>
        <w:pStyle w:val="6"/>
        <w:spacing w:line="360" w:lineRule="auto"/>
        <w:rPr>
          <w:rFonts w:ascii="宋体" w:hAnsi="宋体"/>
          <w:color w:val="000000" w:themeColor="text1"/>
          <w14:textFill>
            <w14:solidFill>
              <w14:schemeClr w14:val="tx1"/>
            </w14:solidFill>
          </w14:textFill>
        </w:rPr>
      </w:pPr>
    </w:p>
    <w:p w14:paraId="042C26E6">
      <w:pPr>
        <w:tabs>
          <w:tab w:val="left" w:pos="8820"/>
        </w:tabs>
        <w:autoSpaceDE w:val="0"/>
        <w:autoSpaceDN w:val="0"/>
        <w:spacing w:line="500" w:lineRule="exact"/>
        <w:ind w:firstLine="3480" w:firstLineChars="145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w:t>
      </w:r>
    </w:p>
    <w:p w14:paraId="310E57C6">
      <w:pPr>
        <w:spacing w:line="500" w:lineRule="exact"/>
        <w:ind w:firstLine="3960" w:firstLineChars="1650"/>
        <w:rPr>
          <w:rFonts w:ascii="宋体" w:hAnsi="宋体"/>
          <w:iCs/>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投标人</w:t>
      </w:r>
      <w:r>
        <w:rPr>
          <w:rFonts w:hint="eastAsia" w:ascii="宋体" w:hAnsi="宋体"/>
          <w:iCs/>
          <w:color w:val="000000" w:themeColor="text1"/>
          <w:sz w:val="24"/>
          <w14:textFill>
            <w14:solidFill>
              <w14:schemeClr w14:val="tx1"/>
            </w14:solidFill>
          </w14:textFill>
        </w:rPr>
        <w:t>：</w:t>
      </w:r>
      <w:r>
        <w:rPr>
          <w:rFonts w:hint="eastAsia" w:ascii="宋体" w:hAnsi="宋体"/>
          <w:iCs/>
          <w:color w:val="000000" w:themeColor="text1"/>
          <w:sz w:val="24"/>
          <w:u w:val="single"/>
          <w14:textFill>
            <w14:solidFill>
              <w14:schemeClr w14:val="tx1"/>
            </w14:solidFill>
          </w14:textFill>
        </w:rPr>
        <w:t xml:space="preserve">                 </w:t>
      </w:r>
      <w:r>
        <w:rPr>
          <w:rFonts w:hint="eastAsia" w:ascii="宋体" w:hAnsi="宋体"/>
          <w:iCs/>
          <w:color w:val="000000" w:themeColor="text1"/>
          <w:sz w:val="24"/>
          <w14:textFill>
            <w14:solidFill>
              <w14:schemeClr w14:val="tx1"/>
            </w14:solidFill>
          </w14:textFill>
        </w:rPr>
        <w:t>（盖单位公章）</w:t>
      </w:r>
    </w:p>
    <w:p w14:paraId="4DED270B">
      <w:pPr>
        <w:spacing w:line="500" w:lineRule="exact"/>
        <w:ind w:firstLine="480" w:firstLineChars="200"/>
        <w:rPr>
          <w:rFonts w:ascii="宋体" w:hAnsi="宋体"/>
          <w:iCs/>
          <w:color w:val="000000" w:themeColor="text1"/>
          <w:sz w:val="24"/>
          <w14:textFill>
            <w14:solidFill>
              <w14:schemeClr w14:val="tx1"/>
            </w14:solidFill>
          </w14:textFill>
        </w:rPr>
      </w:pPr>
    </w:p>
    <w:p w14:paraId="13A7C64F">
      <w:pPr>
        <w:spacing w:line="500" w:lineRule="exact"/>
        <w:ind w:firstLine="3960" w:firstLineChars="1650"/>
        <w:rPr>
          <w:rFonts w:hint="eastAsia" w:ascii="宋体" w:hAnsi="宋体"/>
          <w:iCs/>
          <w:color w:val="000000" w:themeColor="text1"/>
          <w:sz w:val="24"/>
          <w14:textFill>
            <w14:solidFill>
              <w14:schemeClr w14:val="tx1"/>
            </w14:solidFill>
          </w14:textFill>
        </w:rPr>
      </w:pPr>
      <w:r>
        <w:rPr>
          <w:rFonts w:hint="eastAsia" w:ascii="宋体" w:hAnsi="宋体"/>
          <w:iCs/>
          <w:color w:val="000000" w:themeColor="text1"/>
          <w:sz w:val="24"/>
          <w14:textFill>
            <w14:solidFill>
              <w14:schemeClr w14:val="tx1"/>
            </w14:solidFill>
          </w14:textFill>
        </w:rPr>
        <w:t>日  期：</w:t>
      </w:r>
      <w:r>
        <w:rPr>
          <w:rFonts w:hint="eastAsia" w:ascii="宋体" w:hAnsi="宋体"/>
          <w:iCs/>
          <w:color w:val="000000" w:themeColor="text1"/>
          <w:sz w:val="24"/>
          <w:u w:val="single"/>
          <w14:textFill>
            <w14:solidFill>
              <w14:schemeClr w14:val="tx1"/>
            </w14:solidFill>
          </w14:textFill>
        </w:rPr>
        <w:t xml:space="preserve">       </w:t>
      </w:r>
      <w:r>
        <w:rPr>
          <w:rFonts w:hint="eastAsia" w:ascii="宋体" w:hAnsi="宋体"/>
          <w:iCs/>
          <w:color w:val="000000" w:themeColor="text1"/>
          <w:sz w:val="24"/>
          <w14:textFill>
            <w14:solidFill>
              <w14:schemeClr w14:val="tx1"/>
            </w14:solidFill>
          </w14:textFill>
        </w:rPr>
        <w:t>年</w:t>
      </w:r>
      <w:r>
        <w:rPr>
          <w:rFonts w:hint="eastAsia" w:ascii="宋体" w:hAnsi="宋体"/>
          <w:iCs/>
          <w:color w:val="000000" w:themeColor="text1"/>
          <w:sz w:val="24"/>
          <w:u w:val="single"/>
          <w14:textFill>
            <w14:solidFill>
              <w14:schemeClr w14:val="tx1"/>
            </w14:solidFill>
          </w14:textFill>
        </w:rPr>
        <w:t xml:space="preserve">       </w:t>
      </w:r>
      <w:r>
        <w:rPr>
          <w:rFonts w:hint="eastAsia" w:ascii="宋体" w:hAnsi="宋体"/>
          <w:iCs/>
          <w:color w:val="000000" w:themeColor="text1"/>
          <w:sz w:val="24"/>
          <w14:textFill>
            <w14:solidFill>
              <w14:schemeClr w14:val="tx1"/>
            </w14:solidFill>
          </w14:textFill>
        </w:rPr>
        <w:t>月</w:t>
      </w:r>
      <w:r>
        <w:rPr>
          <w:rFonts w:hint="eastAsia" w:ascii="宋体" w:hAnsi="宋体"/>
          <w:iCs/>
          <w:color w:val="000000" w:themeColor="text1"/>
          <w:sz w:val="24"/>
          <w:u w:val="single"/>
          <w14:textFill>
            <w14:solidFill>
              <w14:schemeClr w14:val="tx1"/>
            </w14:solidFill>
          </w14:textFill>
        </w:rPr>
        <w:t xml:space="preserve">       </w:t>
      </w:r>
      <w:r>
        <w:rPr>
          <w:rFonts w:hint="eastAsia" w:ascii="宋体" w:hAnsi="宋体"/>
          <w:iCs/>
          <w:color w:val="000000" w:themeColor="text1"/>
          <w:sz w:val="24"/>
          <w14:textFill>
            <w14:solidFill>
              <w14:schemeClr w14:val="tx1"/>
            </w14:solidFill>
          </w14:textFill>
        </w:rPr>
        <w:t>日</w:t>
      </w:r>
    </w:p>
    <w:p w14:paraId="2C632814">
      <w:pPr>
        <w:rPr>
          <w:rFonts w:hint="eastAsia" w:ascii="宋体" w:hAnsi="宋体"/>
          <w:iCs/>
          <w:color w:val="000000" w:themeColor="text1"/>
          <w:sz w:val="24"/>
          <w14:textFill>
            <w14:solidFill>
              <w14:schemeClr w14:val="tx1"/>
            </w14:solidFill>
          </w14:textFill>
        </w:rPr>
      </w:pPr>
      <w:r>
        <w:rPr>
          <w:rFonts w:hint="eastAsia" w:ascii="宋体" w:hAnsi="宋体"/>
          <w:iCs/>
          <w:color w:val="000000" w:themeColor="text1"/>
          <w:sz w:val="24"/>
          <w14:textFill>
            <w14:solidFill>
              <w14:schemeClr w14:val="tx1"/>
            </w14:solidFill>
          </w14:textFill>
        </w:rPr>
        <w:br w:type="page"/>
      </w:r>
    </w:p>
    <w:p w14:paraId="781136A6">
      <w:pPr>
        <w:spacing w:line="500" w:lineRule="exact"/>
        <w:jc w:val="center"/>
        <w:rPr>
          <w:rFonts w:ascii="宋体" w:hAnsi="宋体"/>
          <w:bCs/>
          <w:color w:val="000000" w:themeColor="text1"/>
          <w:sz w:val="36"/>
          <w:szCs w:val="36"/>
          <w14:textFill>
            <w14:solidFill>
              <w14:schemeClr w14:val="tx1"/>
            </w14:solidFill>
          </w14:textFill>
        </w:rPr>
      </w:pPr>
      <w:r>
        <w:rPr>
          <w:rFonts w:hint="eastAsia" w:ascii="宋体" w:hAnsi="宋体"/>
          <w:bCs/>
          <w:color w:val="000000" w:themeColor="text1"/>
          <w:sz w:val="36"/>
          <w:szCs w:val="36"/>
          <w:lang w:val="en-US" w:eastAsia="zh-CN"/>
          <w14:textFill>
            <w14:solidFill>
              <w14:schemeClr w14:val="tx1"/>
            </w14:solidFill>
          </w14:textFill>
        </w:rPr>
        <w:t>具有履行合同所必需的设备和专业技术能力</w:t>
      </w:r>
      <w:r>
        <w:rPr>
          <w:rFonts w:hint="eastAsia" w:ascii="宋体" w:hAnsi="宋体"/>
          <w:bCs/>
          <w:color w:val="000000" w:themeColor="text1"/>
          <w:sz w:val="36"/>
          <w:szCs w:val="36"/>
          <w14:textFill>
            <w14:solidFill>
              <w14:schemeClr w14:val="tx1"/>
            </w14:solidFill>
          </w14:textFill>
        </w:rPr>
        <w:t>书面声明（格式）</w:t>
      </w:r>
    </w:p>
    <w:p w14:paraId="6F53B30D">
      <w:pPr>
        <w:pStyle w:val="6"/>
        <w:wordWrap w:val="0"/>
        <w:spacing w:line="500" w:lineRule="exact"/>
        <w:jc w:val="left"/>
        <w:rPr>
          <w:rFonts w:ascii="宋体" w:hAnsi="宋体" w:cs="仿宋"/>
          <w:color w:val="000000" w:themeColor="text1"/>
          <w14:textFill>
            <w14:solidFill>
              <w14:schemeClr w14:val="tx1"/>
            </w14:solidFill>
          </w14:textFill>
        </w:rPr>
      </w:pPr>
    </w:p>
    <w:p w14:paraId="351105B5">
      <w:pPr>
        <w:pStyle w:val="11"/>
        <w:spacing w:line="460" w:lineRule="exact"/>
        <w:rPr>
          <w:rFonts w:hAnsi="宋体" w:cs="宋体"/>
          <w:color w:val="000000" w:themeColor="text1"/>
          <w:sz w:val="24"/>
          <w:szCs w:val="24"/>
          <w14:textFill>
            <w14:solidFill>
              <w14:schemeClr w14:val="tx1"/>
            </w14:solidFill>
          </w14:textFill>
        </w:rPr>
      </w:pPr>
      <w:r>
        <w:rPr>
          <w:rFonts w:hint="eastAsia" w:hAnsi="宋体"/>
          <w:iCs/>
          <w:color w:val="000000" w:themeColor="text1"/>
          <w:sz w:val="24"/>
          <w:szCs w:val="24"/>
          <w:u w:val="single"/>
          <w14:textFill>
            <w14:solidFill>
              <w14:schemeClr w14:val="tx1"/>
            </w14:solidFill>
          </w14:textFill>
        </w:rPr>
        <w:t xml:space="preserve">                     </w:t>
      </w:r>
      <w:r>
        <w:rPr>
          <w:rFonts w:hint="eastAsia" w:hAnsi="宋体"/>
          <w:iCs/>
          <w:color w:val="000000" w:themeColor="text1"/>
          <w:sz w:val="24"/>
          <w:szCs w:val="24"/>
          <w14:textFill>
            <w14:solidFill>
              <w14:schemeClr w14:val="tx1"/>
            </w14:solidFill>
          </w14:textFill>
        </w:rPr>
        <w:t>（招标人）</w:t>
      </w:r>
      <w:r>
        <w:rPr>
          <w:rFonts w:hAnsi="宋体" w:cs="宋体"/>
          <w:color w:val="000000" w:themeColor="text1"/>
          <w:sz w:val="24"/>
          <w:szCs w:val="24"/>
          <w14:textFill>
            <w14:solidFill>
              <w14:schemeClr w14:val="tx1"/>
            </w14:solidFill>
          </w14:textFill>
        </w:rPr>
        <w:t xml:space="preserve">： </w:t>
      </w:r>
    </w:p>
    <w:p w14:paraId="76C89FDA">
      <w:pPr>
        <w:spacing w:line="460" w:lineRule="exact"/>
        <w:ind w:firstLine="482" w:firstLineChars="201"/>
        <w:jc w:val="left"/>
        <w:rPr>
          <w:rFonts w:ascii="宋体" w:hAnsi="宋体"/>
          <w:iCs/>
          <w:color w:val="000000" w:themeColor="text1"/>
          <w:sz w:val="24"/>
          <w14:textFill>
            <w14:solidFill>
              <w14:schemeClr w14:val="tx1"/>
            </w14:solidFill>
          </w14:textFill>
        </w:rPr>
      </w:pPr>
    </w:p>
    <w:p w14:paraId="39CB934F">
      <w:pPr>
        <w:spacing w:line="360" w:lineRule="auto"/>
        <w:ind w:firstLine="480" w:firstLineChars="200"/>
        <w:jc w:val="left"/>
        <w:rPr>
          <w:rFonts w:hint="eastAsia" w:ascii="宋体" w:hAnsi="宋体" w:eastAsia="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我公司自愿参加</w:t>
      </w:r>
      <w:r>
        <w:rPr>
          <w:rFonts w:hint="eastAsia" w:ascii="宋体" w:hAnsi="宋体" w:cs="宋体"/>
          <w:color w:val="000000" w:themeColor="text1"/>
          <w:kern w:val="0"/>
          <w:sz w:val="24"/>
          <w:u w:val="single"/>
          <w14:textFill>
            <w14:solidFill>
              <w14:schemeClr w14:val="tx1"/>
            </w14:solidFill>
          </w14:textFill>
        </w:rPr>
        <w:t xml:space="preserve">        </w:t>
      </w:r>
      <w:r>
        <w:rPr>
          <w:rFonts w:hint="eastAsia" w:ascii="宋体" w:hAnsi="宋体" w:cs="宋体"/>
          <w:color w:val="000000" w:themeColor="text1"/>
          <w:kern w:val="0"/>
          <w:sz w:val="24"/>
          <w14:textFill>
            <w14:solidFill>
              <w14:schemeClr w14:val="tx1"/>
            </w14:solidFill>
          </w14:textFill>
        </w:rPr>
        <w:t>（项目名称）</w:t>
      </w:r>
      <w:r>
        <w:rPr>
          <w:rFonts w:hint="eastAsia" w:ascii="宋体" w:hAnsi="宋体" w:cs="宋体"/>
          <w:color w:val="000000" w:themeColor="text1"/>
          <w:kern w:val="0"/>
          <w:sz w:val="24"/>
          <w:u w:val="single"/>
          <w14:textFill>
            <w14:solidFill>
              <w14:schemeClr w14:val="tx1"/>
            </w14:solidFill>
          </w14:textFill>
        </w:rPr>
        <w:t xml:space="preserve">        </w:t>
      </w:r>
      <w:r>
        <w:rPr>
          <w:rFonts w:hint="eastAsia" w:ascii="宋体" w:hAnsi="宋体" w:cs="宋体"/>
          <w:color w:val="000000" w:themeColor="text1"/>
          <w:kern w:val="0"/>
          <w:sz w:val="24"/>
          <w14:textFill>
            <w14:solidFill>
              <w14:schemeClr w14:val="tx1"/>
            </w14:solidFill>
          </w14:textFill>
        </w:rPr>
        <w:t>（项目编号）</w:t>
      </w:r>
      <w:r>
        <w:rPr>
          <w:rFonts w:hint="eastAsia" w:ascii="宋体" w:hAnsi="宋体"/>
          <w:iCs/>
          <w:color w:val="000000" w:themeColor="text1"/>
          <w:sz w:val="24"/>
          <w14:textFill>
            <w14:solidFill>
              <w14:schemeClr w14:val="tx1"/>
            </w14:solidFill>
          </w14:textFill>
        </w:rPr>
        <w:t>采购活动，严格遵守《中华人民共和国政府采购法》、《中华人民共和国政府采购法实施条例》及所有相关法律、法规规定</w:t>
      </w:r>
      <w:r>
        <w:rPr>
          <w:rFonts w:hint="eastAsia" w:ascii="宋体" w:hAnsi="宋体" w:eastAsia="宋体" w:cs="宋体"/>
          <w:color w:val="000000" w:themeColor="text1"/>
          <w:kern w:val="0"/>
          <w:sz w:val="24"/>
          <w14:textFill>
            <w14:solidFill>
              <w14:schemeClr w14:val="tx1"/>
            </w14:solidFill>
          </w14:textFill>
        </w:rPr>
        <w:t>，同时郑重声明：</w:t>
      </w:r>
    </w:p>
    <w:p w14:paraId="244009D4">
      <w:pPr>
        <w:spacing w:line="360" w:lineRule="auto"/>
        <w:ind w:firstLine="480" w:firstLineChars="200"/>
        <w:jc w:val="left"/>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我公司</w:t>
      </w:r>
      <w:r>
        <w:rPr>
          <w:rFonts w:hint="eastAsia" w:ascii="宋体" w:hAnsi="宋体" w:eastAsia="宋体" w:cs="宋体"/>
          <w:color w:val="000000" w:themeColor="text1"/>
          <w:kern w:val="0"/>
          <w:sz w:val="24"/>
          <w:lang w:val="en-US" w:eastAsia="zh-CN"/>
          <w14:textFill>
            <w14:solidFill>
              <w14:schemeClr w14:val="tx1"/>
            </w14:solidFill>
          </w14:textFill>
        </w:rPr>
        <w:t>具有履行合同所必需的设备和专业技术能力</w:t>
      </w:r>
      <w:r>
        <w:rPr>
          <w:rFonts w:hint="eastAsia" w:ascii="宋体" w:hAnsi="宋体" w:eastAsia="宋体" w:cs="宋体"/>
          <w:color w:val="000000" w:themeColor="text1"/>
          <w:kern w:val="0"/>
          <w:sz w:val="24"/>
          <w14:textFill>
            <w14:solidFill>
              <w14:schemeClr w14:val="tx1"/>
            </w14:solidFill>
          </w14:textFill>
        </w:rPr>
        <w:t>。</w:t>
      </w:r>
    </w:p>
    <w:p w14:paraId="0E3B10A4">
      <w:pPr>
        <w:spacing w:line="360" w:lineRule="auto"/>
        <w:ind w:firstLine="480" w:firstLineChars="200"/>
        <w:jc w:val="left"/>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若我公司以上声明不实、内容虚假，自愿承担提供虚假材料谋取中标的法律责任。</w:t>
      </w:r>
    </w:p>
    <w:p w14:paraId="6FE7374F">
      <w:pPr>
        <w:spacing w:line="360" w:lineRule="auto"/>
        <w:ind w:firstLine="480" w:firstLineChars="200"/>
        <w:jc w:val="left"/>
        <w:rPr>
          <w:rFonts w:hint="eastAsia" w:ascii="宋体" w:hAnsi="宋体" w:eastAsia="宋体" w:cs="宋体"/>
          <w:color w:val="000000" w:themeColor="text1"/>
          <w:kern w:val="0"/>
          <w:sz w:val="24"/>
          <w:lang w:eastAsia="zh-CN"/>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特此声明</w:t>
      </w:r>
      <w:r>
        <w:rPr>
          <w:rFonts w:hint="eastAsia" w:ascii="宋体" w:hAnsi="宋体" w:eastAsia="宋体" w:cs="宋体"/>
          <w:color w:val="000000" w:themeColor="text1"/>
          <w:kern w:val="0"/>
          <w:sz w:val="24"/>
          <w:lang w:eastAsia="zh-CN"/>
          <w14:textFill>
            <w14:solidFill>
              <w14:schemeClr w14:val="tx1"/>
            </w14:solidFill>
          </w14:textFill>
        </w:rPr>
        <w:t>。</w:t>
      </w:r>
    </w:p>
    <w:p w14:paraId="6E323235">
      <w:pPr>
        <w:spacing w:line="360" w:lineRule="auto"/>
        <w:ind w:firstLine="480" w:firstLineChars="200"/>
        <w:jc w:val="left"/>
        <w:rPr>
          <w:rFonts w:hint="eastAsia" w:ascii="宋体" w:hAnsi="宋体" w:eastAsia="宋体" w:cs="宋体"/>
          <w:color w:val="000000" w:themeColor="text1"/>
          <w:kern w:val="0"/>
          <w:sz w:val="24"/>
          <w14:textFill>
            <w14:solidFill>
              <w14:schemeClr w14:val="tx1"/>
            </w14:solidFill>
          </w14:textFill>
        </w:rPr>
      </w:pPr>
    </w:p>
    <w:p w14:paraId="6B04D7CB">
      <w:pPr>
        <w:spacing w:line="360" w:lineRule="auto"/>
        <w:ind w:firstLine="480" w:firstLineChars="200"/>
        <w:jc w:val="left"/>
        <w:rPr>
          <w:rFonts w:hint="eastAsia" w:ascii="宋体" w:hAnsi="宋体" w:eastAsia="宋体" w:cs="宋体"/>
          <w:color w:val="000000" w:themeColor="text1"/>
          <w:kern w:val="0"/>
          <w:sz w:val="24"/>
          <w14:textFill>
            <w14:solidFill>
              <w14:schemeClr w14:val="tx1"/>
            </w14:solidFill>
          </w14:textFill>
        </w:rPr>
      </w:pPr>
    </w:p>
    <w:p w14:paraId="07989946">
      <w:pPr>
        <w:spacing w:line="360" w:lineRule="auto"/>
        <w:ind w:firstLine="480" w:firstLineChars="200"/>
        <w:jc w:val="left"/>
        <w:rPr>
          <w:rFonts w:hint="eastAsia" w:ascii="宋体" w:hAnsi="宋体" w:eastAsia="宋体" w:cs="宋体"/>
          <w:color w:val="000000" w:themeColor="text1"/>
          <w:kern w:val="0"/>
          <w:sz w:val="24"/>
          <w14:textFill>
            <w14:solidFill>
              <w14:schemeClr w14:val="tx1"/>
            </w14:solidFill>
          </w14:textFill>
        </w:rPr>
      </w:pPr>
    </w:p>
    <w:p w14:paraId="2945996B">
      <w:pPr>
        <w:spacing w:line="360" w:lineRule="auto"/>
        <w:ind w:firstLine="480" w:firstLineChars="200"/>
        <w:jc w:val="left"/>
        <w:rPr>
          <w:rFonts w:hint="eastAsia" w:ascii="宋体" w:hAnsi="宋体" w:eastAsia="宋体" w:cs="宋体"/>
          <w:color w:val="000000" w:themeColor="text1"/>
          <w:kern w:val="0"/>
          <w:sz w:val="24"/>
          <w14:textFill>
            <w14:solidFill>
              <w14:schemeClr w14:val="tx1"/>
            </w14:solidFill>
          </w14:textFill>
        </w:rPr>
      </w:pPr>
    </w:p>
    <w:p w14:paraId="6DAAE0C9">
      <w:pPr>
        <w:spacing w:line="360" w:lineRule="auto"/>
        <w:ind w:firstLine="480" w:firstLineChars="200"/>
        <w:jc w:val="left"/>
        <w:rPr>
          <w:rFonts w:hint="eastAsia" w:ascii="宋体" w:hAnsi="宋体" w:eastAsia="宋体" w:cs="宋体"/>
          <w:color w:val="000000" w:themeColor="text1"/>
          <w:kern w:val="0"/>
          <w:sz w:val="24"/>
          <w14:textFill>
            <w14:solidFill>
              <w14:schemeClr w14:val="tx1"/>
            </w14:solidFill>
          </w14:textFill>
        </w:rPr>
      </w:pPr>
    </w:p>
    <w:p w14:paraId="1F47BA73">
      <w:pPr>
        <w:spacing w:line="500" w:lineRule="exact"/>
        <w:ind w:firstLine="3960" w:firstLineChars="1650"/>
        <w:rPr>
          <w:rFonts w:ascii="宋体" w:hAnsi="宋体"/>
          <w:iCs/>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投标人</w:t>
      </w:r>
      <w:r>
        <w:rPr>
          <w:rFonts w:hint="eastAsia" w:ascii="宋体" w:hAnsi="宋体"/>
          <w:iCs/>
          <w:color w:val="000000" w:themeColor="text1"/>
          <w:sz w:val="24"/>
          <w14:textFill>
            <w14:solidFill>
              <w14:schemeClr w14:val="tx1"/>
            </w14:solidFill>
          </w14:textFill>
        </w:rPr>
        <w:t>：</w:t>
      </w:r>
      <w:r>
        <w:rPr>
          <w:rFonts w:hint="eastAsia" w:ascii="宋体" w:hAnsi="宋体"/>
          <w:iCs/>
          <w:color w:val="000000" w:themeColor="text1"/>
          <w:sz w:val="24"/>
          <w:u w:val="single"/>
          <w14:textFill>
            <w14:solidFill>
              <w14:schemeClr w14:val="tx1"/>
            </w14:solidFill>
          </w14:textFill>
        </w:rPr>
        <w:t xml:space="preserve">                 </w:t>
      </w:r>
      <w:r>
        <w:rPr>
          <w:rFonts w:hint="eastAsia" w:ascii="宋体" w:hAnsi="宋体"/>
          <w:iCs/>
          <w:color w:val="000000" w:themeColor="text1"/>
          <w:sz w:val="24"/>
          <w14:textFill>
            <w14:solidFill>
              <w14:schemeClr w14:val="tx1"/>
            </w14:solidFill>
          </w14:textFill>
        </w:rPr>
        <w:t>（盖单位公章）</w:t>
      </w:r>
    </w:p>
    <w:p w14:paraId="2627E390">
      <w:pPr>
        <w:spacing w:line="500" w:lineRule="exact"/>
        <w:ind w:firstLine="480" w:firstLineChars="200"/>
        <w:rPr>
          <w:rFonts w:ascii="宋体" w:hAnsi="宋体"/>
          <w:iCs/>
          <w:color w:val="000000" w:themeColor="text1"/>
          <w:sz w:val="24"/>
          <w14:textFill>
            <w14:solidFill>
              <w14:schemeClr w14:val="tx1"/>
            </w14:solidFill>
          </w14:textFill>
        </w:rPr>
      </w:pPr>
    </w:p>
    <w:p w14:paraId="7792107B">
      <w:pPr>
        <w:spacing w:line="500" w:lineRule="exact"/>
        <w:ind w:firstLine="3960" w:firstLineChars="1650"/>
        <w:rPr>
          <w:rFonts w:hint="eastAsia" w:ascii="宋体" w:hAnsi="宋体"/>
          <w:iCs/>
          <w:color w:val="000000" w:themeColor="text1"/>
          <w:sz w:val="24"/>
          <w14:textFill>
            <w14:solidFill>
              <w14:schemeClr w14:val="tx1"/>
            </w14:solidFill>
          </w14:textFill>
        </w:rPr>
      </w:pPr>
      <w:r>
        <w:rPr>
          <w:rFonts w:hint="eastAsia" w:ascii="宋体" w:hAnsi="宋体"/>
          <w:iCs/>
          <w:color w:val="000000" w:themeColor="text1"/>
          <w:sz w:val="24"/>
          <w14:textFill>
            <w14:solidFill>
              <w14:schemeClr w14:val="tx1"/>
            </w14:solidFill>
          </w14:textFill>
        </w:rPr>
        <w:t>日  期：</w:t>
      </w:r>
      <w:r>
        <w:rPr>
          <w:rFonts w:hint="eastAsia" w:ascii="宋体" w:hAnsi="宋体"/>
          <w:iCs/>
          <w:color w:val="000000" w:themeColor="text1"/>
          <w:sz w:val="24"/>
          <w:u w:val="single"/>
          <w14:textFill>
            <w14:solidFill>
              <w14:schemeClr w14:val="tx1"/>
            </w14:solidFill>
          </w14:textFill>
        </w:rPr>
        <w:t xml:space="preserve">       </w:t>
      </w:r>
      <w:r>
        <w:rPr>
          <w:rFonts w:hint="eastAsia" w:ascii="宋体" w:hAnsi="宋体"/>
          <w:iCs/>
          <w:color w:val="000000" w:themeColor="text1"/>
          <w:sz w:val="24"/>
          <w14:textFill>
            <w14:solidFill>
              <w14:schemeClr w14:val="tx1"/>
            </w14:solidFill>
          </w14:textFill>
        </w:rPr>
        <w:t>年</w:t>
      </w:r>
      <w:r>
        <w:rPr>
          <w:rFonts w:hint="eastAsia" w:ascii="宋体" w:hAnsi="宋体"/>
          <w:iCs/>
          <w:color w:val="000000" w:themeColor="text1"/>
          <w:sz w:val="24"/>
          <w:u w:val="single"/>
          <w14:textFill>
            <w14:solidFill>
              <w14:schemeClr w14:val="tx1"/>
            </w14:solidFill>
          </w14:textFill>
        </w:rPr>
        <w:t xml:space="preserve">       </w:t>
      </w:r>
      <w:r>
        <w:rPr>
          <w:rFonts w:hint="eastAsia" w:ascii="宋体" w:hAnsi="宋体"/>
          <w:iCs/>
          <w:color w:val="000000" w:themeColor="text1"/>
          <w:sz w:val="24"/>
          <w14:textFill>
            <w14:solidFill>
              <w14:schemeClr w14:val="tx1"/>
            </w14:solidFill>
          </w14:textFill>
        </w:rPr>
        <w:t>月</w:t>
      </w:r>
      <w:r>
        <w:rPr>
          <w:rFonts w:hint="eastAsia" w:ascii="宋体" w:hAnsi="宋体"/>
          <w:iCs/>
          <w:color w:val="000000" w:themeColor="text1"/>
          <w:sz w:val="24"/>
          <w:u w:val="single"/>
          <w14:textFill>
            <w14:solidFill>
              <w14:schemeClr w14:val="tx1"/>
            </w14:solidFill>
          </w14:textFill>
        </w:rPr>
        <w:t xml:space="preserve">       </w:t>
      </w:r>
      <w:r>
        <w:rPr>
          <w:rFonts w:hint="eastAsia" w:ascii="宋体" w:hAnsi="宋体"/>
          <w:iCs/>
          <w:color w:val="000000" w:themeColor="text1"/>
          <w:sz w:val="24"/>
          <w14:textFill>
            <w14:solidFill>
              <w14:schemeClr w14:val="tx1"/>
            </w14:solidFill>
          </w14:textFill>
        </w:rPr>
        <w:t>日</w:t>
      </w:r>
    </w:p>
    <w:p w14:paraId="333BDA95">
      <w:pPr>
        <w:spacing w:line="500" w:lineRule="exact"/>
        <w:ind w:firstLine="3960" w:firstLineChars="1650"/>
        <w:rPr>
          <w:rFonts w:hint="eastAsia" w:ascii="宋体" w:hAnsi="宋体"/>
          <w:iCs/>
          <w:color w:val="000000" w:themeColor="text1"/>
          <w:sz w:val="24"/>
          <w14:textFill>
            <w14:solidFill>
              <w14:schemeClr w14:val="tx1"/>
            </w14:solidFill>
          </w14:textFill>
        </w:rPr>
      </w:pPr>
    </w:p>
    <w:p w14:paraId="78A1501F">
      <w:pPr>
        <w:rPr>
          <w:rFonts w:hint="eastAsia" w:ascii="宋体" w:hAnsi="宋体"/>
          <w:iCs/>
          <w:color w:val="000000" w:themeColor="text1"/>
          <w:sz w:val="24"/>
          <w14:textFill>
            <w14:solidFill>
              <w14:schemeClr w14:val="tx1"/>
            </w14:solidFill>
          </w14:textFill>
        </w:rPr>
      </w:pPr>
      <w:r>
        <w:rPr>
          <w:rFonts w:hint="eastAsia" w:ascii="宋体" w:hAnsi="宋体"/>
          <w:iCs/>
          <w:color w:val="000000" w:themeColor="text1"/>
          <w:sz w:val="24"/>
          <w14:textFill>
            <w14:solidFill>
              <w14:schemeClr w14:val="tx1"/>
            </w14:solidFill>
          </w14:textFill>
        </w:rPr>
        <w:br w:type="page"/>
      </w:r>
    </w:p>
    <w:p w14:paraId="26682790">
      <w:pPr>
        <w:pStyle w:val="4"/>
        <w:rPr>
          <w:rFonts w:hint="eastAsia"/>
          <w:color w:val="000000" w:themeColor="text1"/>
          <w14:textFill>
            <w14:solidFill>
              <w14:schemeClr w14:val="tx1"/>
            </w14:solidFill>
          </w14:textFill>
        </w:rPr>
      </w:pPr>
      <w:bookmarkStart w:id="205" w:name="_Toc14571"/>
      <w:bookmarkStart w:id="206" w:name="_Toc4034"/>
      <w:r>
        <w:rPr>
          <w:rFonts w:hint="eastAsia"/>
          <w:color w:val="000000" w:themeColor="text1"/>
          <w14:textFill>
            <w14:solidFill>
              <w14:schemeClr w14:val="tx1"/>
            </w14:solidFill>
          </w14:textFill>
        </w:rPr>
        <w:t>（三）投标人认为需提供的其他资料。</w:t>
      </w:r>
      <w:bookmarkEnd w:id="205"/>
      <w:bookmarkEnd w:id="206"/>
    </w:p>
    <w:p w14:paraId="7EE4227A">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14:paraId="00A02A40">
      <w:pPr>
        <w:bidi w:val="0"/>
        <w:rPr>
          <w:rFonts w:hint="eastAsia" w:ascii="宋体" w:hAnsi="宋体" w:eastAsia="宋体" w:cs="宋体"/>
          <w:b/>
          <w:bCs/>
          <w:color w:val="auto"/>
          <w:spacing w:val="9"/>
          <w:sz w:val="24"/>
          <w:szCs w:val="24"/>
          <w:highlight w:val="none"/>
        </w:rPr>
      </w:pPr>
      <w:r>
        <w:rPr>
          <w:rFonts w:hint="eastAsia" w:ascii="宋体" w:hAnsi="宋体" w:eastAsia="宋体" w:cs="宋体"/>
          <w:b/>
          <w:bCs/>
          <w:color w:val="auto"/>
          <w:sz w:val="24"/>
          <w:szCs w:val="24"/>
          <w:highlight w:val="none"/>
        </w:rPr>
        <w:t>（以下格式文件由</w:t>
      </w:r>
      <w:r>
        <w:rPr>
          <w:rFonts w:hint="eastAsia" w:ascii="宋体" w:hAnsi="宋体" w:eastAsia="宋体" w:cs="宋体"/>
          <w:b/>
          <w:bCs/>
          <w:color w:val="auto"/>
          <w:sz w:val="24"/>
          <w:szCs w:val="24"/>
          <w:highlight w:val="none"/>
          <w:lang w:eastAsia="zh-CN"/>
        </w:rPr>
        <w:t>投标人</w:t>
      </w:r>
      <w:r>
        <w:rPr>
          <w:rFonts w:hint="eastAsia" w:ascii="宋体" w:hAnsi="宋体" w:eastAsia="宋体" w:cs="宋体"/>
          <w:b/>
          <w:bCs/>
          <w:color w:val="auto"/>
          <w:sz w:val="24"/>
          <w:szCs w:val="24"/>
          <w:highlight w:val="none"/>
        </w:rPr>
        <w:t>根据需要选用</w:t>
      </w:r>
      <w:r>
        <w:rPr>
          <w:rFonts w:hint="eastAsia" w:ascii="宋体" w:hAnsi="宋体" w:eastAsia="宋体" w:cs="宋体"/>
          <w:b/>
          <w:bCs/>
          <w:color w:val="auto"/>
          <w:spacing w:val="-10"/>
          <w:sz w:val="24"/>
          <w:szCs w:val="24"/>
          <w:highlight w:val="none"/>
        </w:rPr>
        <w:t>）</w:t>
      </w:r>
    </w:p>
    <w:p w14:paraId="1AFF20F0">
      <w:pPr>
        <w:bidi w:val="0"/>
        <w:jc w:val="center"/>
        <w:rPr>
          <w:rFonts w:hint="eastAsia"/>
          <w:b/>
          <w:bCs/>
          <w:color w:val="auto"/>
          <w:sz w:val="24"/>
          <w:szCs w:val="24"/>
          <w:highlight w:val="none"/>
        </w:rPr>
      </w:pPr>
    </w:p>
    <w:p w14:paraId="0DFAFBD3">
      <w:pPr>
        <w:bidi w:val="0"/>
        <w:jc w:val="center"/>
        <w:rPr>
          <w:rFonts w:hint="eastAsia"/>
          <w:b/>
          <w:bCs/>
          <w:color w:val="auto"/>
          <w:sz w:val="28"/>
          <w:szCs w:val="28"/>
          <w:highlight w:val="none"/>
        </w:rPr>
      </w:pPr>
      <w:r>
        <w:rPr>
          <w:rFonts w:hint="eastAsia"/>
          <w:b/>
          <w:bCs/>
          <w:color w:val="auto"/>
          <w:sz w:val="28"/>
          <w:szCs w:val="28"/>
          <w:highlight w:val="none"/>
        </w:rPr>
        <w:t>中小企业声明函</w:t>
      </w:r>
    </w:p>
    <w:p w14:paraId="507212D3">
      <w:pPr>
        <w:pStyle w:val="8"/>
        <w:spacing w:before="14" w:line="360" w:lineRule="auto"/>
        <w:rPr>
          <w:rFonts w:hint="eastAsia" w:ascii="宋体" w:hAnsi="宋体" w:eastAsia="宋体" w:cs="宋体"/>
          <w:color w:val="auto"/>
          <w:sz w:val="24"/>
          <w:szCs w:val="24"/>
          <w:highlight w:val="none"/>
        </w:rPr>
      </w:pPr>
    </w:p>
    <w:p w14:paraId="64309E7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本公司（联合体）郑重声明，根据《政府采购促进中小企业发展管理办法》（财库﹝2020﹞46  号）的规定，本公司（联合体）参加</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（单位名称）的</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（项目名称）采购活动，提供的货物全部由符合政策要求的中小企业制造。相关企业（含联合体中的中小企业、签订分包意向协议的中小企业）的具体情况如下：</w:t>
      </w:r>
    </w:p>
    <w:p w14:paraId="1D1ACD1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（标的名称），属于（</w:t>
      </w:r>
      <w:r>
        <w:rPr>
          <w:rFonts w:hint="eastAsia" w:ascii="宋体" w:hAnsi="宋体" w:eastAsia="宋体" w:cs="宋体"/>
          <w:color w:val="auto"/>
          <w:sz w:val="24"/>
          <w:szCs w:val="24"/>
          <w:highlight w:val="none"/>
          <w:lang w:eastAsia="zh-CN"/>
        </w:rPr>
        <w:t>招标文件</w:t>
      </w:r>
      <w:r>
        <w:rPr>
          <w:rFonts w:hint="eastAsia" w:ascii="宋体" w:hAnsi="宋体" w:eastAsia="宋体" w:cs="宋体"/>
          <w:color w:val="auto"/>
          <w:sz w:val="24"/>
          <w:szCs w:val="24"/>
          <w:highlight w:val="none"/>
        </w:rPr>
        <w:t>中明确的所属行业）行业；制造商为（企业名称），从业人员</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人，营业收入为</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万元，资产总额为</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万元1，属于</w:t>
      </w:r>
      <w:r>
        <w:rPr>
          <w:rFonts w:hint="eastAsia" w:ascii="宋体" w:hAnsi="宋体" w:eastAsia="宋体" w:cs="宋体"/>
          <w:color w:val="auto"/>
          <w:sz w:val="24"/>
          <w:szCs w:val="24"/>
          <w:highlight w:val="none"/>
          <w:u w:val="single"/>
        </w:rPr>
        <w:tab/>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（中型企业、小型企业、微型企业）；</w:t>
      </w:r>
    </w:p>
    <w:p w14:paraId="5765B1D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（标的名称），属于（</w:t>
      </w:r>
      <w:r>
        <w:rPr>
          <w:rFonts w:hint="eastAsia" w:ascii="宋体" w:hAnsi="宋体" w:eastAsia="宋体" w:cs="宋体"/>
          <w:color w:val="auto"/>
          <w:sz w:val="24"/>
          <w:szCs w:val="24"/>
          <w:highlight w:val="none"/>
          <w:lang w:eastAsia="zh-CN"/>
        </w:rPr>
        <w:t>招标文件</w:t>
      </w:r>
      <w:r>
        <w:rPr>
          <w:rFonts w:hint="eastAsia" w:ascii="宋体" w:hAnsi="宋体" w:eastAsia="宋体" w:cs="宋体"/>
          <w:color w:val="auto"/>
          <w:sz w:val="24"/>
          <w:szCs w:val="24"/>
          <w:highlight w:val="none"/>
        </w:rPr>
        <w:t>中明确的所属行业）行业；制造商为（企业名称），从业人员</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人，营业收入为</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万元，资产总额为</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万元，属于</w:t>
      </w:r>
      <w:r>
        <w:rPr>
          <w:rFonts w:hint="eastAsia" w:ascii="宋体" w:hAnsi="宋体" w:eastAsia="宋体" w:cs="宋体"/>
          <w:color w:val="auto"/>
          <w:sz w:val="24"/>
          <w:szCs w:val="24"/>
          <w:highlight w:val="none"/>
          <w:u w:val="single"/>
        </w:rPr>
        <w:tab/>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（中型企业、小型企业、微型企业）；</w:t>
      </w:r>
    </w:p>
    <w:p w14:paraId="43FD75B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p w14:paraId="2C8A6A0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以上企业，不属于大企业的分支机构，不存在控股股东为大企业的情形，也不存在与大企业的负责人为同一人的情形。本企业对上述声明内容的真实性负责。如有虚假，将依法承担相应责任。</w:t>
      </w:r>
    </w:p>
    <w:p w14:paraId="65FDDAC4">
      <w:pPr>
        <w:spacing w:line="360" w:lineRule="auto"/>
        <w:rPr>
          <w:rFonts w:hint="eastAsia" w:ascii="宋体" w:hAnsi="宋体" w:eastAsia="宋体" w:cs="宋体"/>
          <w:color w:val="auto"/>
          <w:sz w:val="24"/>
          <w:szCs w:val="24"/>
          <w:highlight w:val="none"/>
        </w:rPr>
      </w:pPr>
    </w:p>
    <w:p w14:paraId="62B9DFC9">
      <w:pPr>
        <w:pStyle w:val="8"/>
        <w:spacing w:line="360" w:lineRule="auto"/>
        <w:ind w:left="0" w:leftChars="0" w:firstLine="3780" w:firstLineChars="1575"/>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企业名称（盖章</w:t>
      </w:r>
      <w:r>
        <w:rPr>
          <w:rFonts w:hint="eastAsia" w:ascii="宋体" w:hAnsi="宋体" w:eastAsia="宋体" w:cs="宋体"/>
          <w:color w:val="auto"/>
          <w:spacing w:val="-5"/>
          <w:sz w:val="24"/>
          <w:szCs w:val="24"/>
          <w:highlight w:val="none"/>
        </w:rPr>
        <w:t>）：</w:t>
      </w:r>
      <w:r>
        <w:rPr>
          <w:rFonts w:hint="eastAsia" w:ascii="宋体" w:hAnsi="宋体" w:cs="宋体"/>
          <w:color w:val="auto"/>
          <w:spacing w:val="-5"/>
          <w:sz w:val="24"/>
          <w:szCs w:val="24"/>
          <w:highlight w:val="none"/>
          <w:lang w:val="en-US" w:eastAsia="zh-CN"/>
        </w:rPr>
        <w:t xml:space="preserve">             </w:t>
      </w:r>
    </w:p>
    <w:p w14:paraId="65306559">
      <w:pPr>
        <w:spacing w:before="177" w:line="360" w:lineRule="auto"/>
        <w:ind w:left="0" w:leftChars="0" w:firstLine="3777" w:firstLineChars="1733"/>
        <w:rPr>
          <w:rFonts w:hint="default" w:ascii="宋体" w:hAnsi="宋体" w:eastAsia="宋体" w:cs="宋体"/>
          <w:color w:val="auto"/>
          <w:spacing w:val="-11"/>
          <w:sz w:val="24"/>
          <w:szCs w:val="24"/>
          <w:highlight w:val="none"/>
          <w:lang w:val="en-US" w:eastAsia="zh-CN"/>
        </w:rPr>
      </w:pPr>
      <w:r>
        <w:rPr>
          <w:rFonts w:hint="eastAsia" w:ascii="宋体" w:hAnsi="宋体" w:eastAsia="宋体" w:cs="宋体"/>
          <w:color w:val="auto"/>
          <w:spacing w:val="-11"/>
          <w:sz w:val="24"/>
          <w:szCs w:val="24"/>
          <w:highlight w:val="none"/>
        </w:rPr>
        <w:t>日 期：</w:t>
      </w:r>
      <w:r>
        <w:rPr>
          <w:rFonts w:hint="eastAsia" w:ascii="宋体" w:hAnsi="宋体" w:cs="宋体"/>
          <w:color w:val="auto"/>
          <w:spacing w:val="-11"/>
          <w:sz w:val="24"/>
          <w:szCs w:val="24"/>
          <w:highlight w:val="none"/>
          <w:lang w:val="en-US" w:eastAsia="zh-CN"/>
        </w:rPr>
        <w:t xml:space="preserve">     年    月    日</w:t>
      </w:r>
    </w:p>
    <w:p w14:paraId="19DA4EEE">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1从业人员、营业收入、资产总额填报上一年度数据，无上一年度数据的新成立企业可不填报</w:t>
      </w:r>
    </w:p>
    <w:p w14:paraId="1405BF61">
      <w:pPr>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br w:type="page"/>
      </w:r>
    </w:p>
    <w:p w14:paraId="034629C1">
      <w:pPr>
        <w:bidi w:val="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（以下格式文件由</w:t>
      </w:r>
      <w:r>
        <w:rPr>
          <w:rFonts w:hint="eastAsia" w:ascii="宋体" w:hAnsi="宋体" w:eastAsia="宋体" w:cs="宋体"/>
          <w:b/>
          <w:bCs/>
          <w:color w:val="auto"/>
          <w:sz w:val="24"/>
          <w:szCs w:val="24"/>
          <w:highlight w:val="none"/>
          <w:lang w:eastAsia="zh-CN"/>
        </w:rPr>
        <w:t>投标人</w:t>
      </w:r>
      <w:r>
        <w:rPr>
          <w:rFonts w:hint="eastAsia" w:ascii="宋体" w:hAnsi="宋体" w:eastAsia="宋体" w:cs="宋体"/>
          <w:b/>
          <w:bCs/>
          <w:color w:val="auto"/>
          <w:sz w:val="24"/>
          <w:szCs w:val="24"/>
          <w:highlight w:val="none"/>
        </w:rPr>
        <w:t>根据需要选用）</w:t>
      </w:r>
    </w:p>
    <w:p w14:paraId="296A9BC4">
      <w:pPr>
        <w:bidi w:val="0"/>
        <w:jc w:val="center"/>
        <w:rPr>
          <w:rFonts w:hint="eastAsia" w:ascii="Times New Roman" w:hAnsi="Times New Roman" w:cs="Times New Roman"/>
          <w:b/>
          <w:bCs/>
          <w:color w:val="auto"/>
          <w:sz w:val="24"/>
          <w:szCs w:val="24"/>
          <w:highlight w:val="none"/>
        </w:rPr>
      </w:pPr>
    </w:p>
    <w:p w14:paraId="6125E421">
      <w:pPr>
        <w:bidi w:val="0"/>
        <w:jc w:val="center"/>
        <w:rPr>
          <w:rFonts w:hint="eastAsia" w:ascii="Times New Roman" w:hAnsi="Times New Roman" w:cs="Times New Roman"/>
          <w:b/>
          <w:bCs/>
          <w:color w:val="auto"/>
          <w:sz w:val="28"/>
          <w:szCs w:val="28"/>
          <w:highlight w:val="none"/>
        </w:rPr>
      </w:pPr>
      <w:r>
        <w:rPr>
          <w:rFonts w:hint="eastAsia" w:ascii="Times New Roman" w:hAnsi="Times New Roman" w:cs="Times New Roman"/>
          <w:b/>
          <w:bCs/>
          <w:color w:val="auto"/>
          <w:sz w:val="28"/>
          <w:szCs w:val="28"/>
          <w:highlight w:val="none"/>
        </w:rPr>
        <w:t>中小企业声明函（工程、服务）</w:t>
      </w:r>
    </w:p>
    <w:p w14:paraId="7384B5FB">
      <w:pPr>
        <w:bidi w:val="0"/>
        <w:jc w:val="center"/>
        <w:rPr>
          <w:rFonts w:hint="eastAsia" w:ascii="Times New Roman" w:hAnsi="Times New Roman" w:cs="Times New Roman"/>
          <w:b/>
          <w:bCs/>
          <w:color w:val="auto"/>
          <w:sz w:val="28"/>
          <w:szCs w:val="28"/>
          <w:highlight w:val="none"/>
        </w:rPr>
      </w:pPr>
    </w:p>
    <w:p w14:paraId="3C8D886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本公司（联合体）郑重声明，根据《政府采购促进中小企业发展管理办法》（财库﹝2020﹞46  号）的规定，本公司</w:t>
      </w:r>
    </w:p>
    <w:p w14:paraId="135D71E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14:paraId="5D077A8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1.</w:t>
      </w:r>
      <w:r>
        <w:rPr>
          <w:rFonts w:hint="eastAsia"/>
          <w:sz w:val="24"/>
          <w:szCs w:val="24"/>
        </w:rPr>
        <w:tab/>
      </w:r>
      <w:r>
        <w:rPr>
          <w:rFonts w:hint="eastAsia"/>
          <w:sz w:val="24"/>
          <w:szCs w:val="24"/>
          <w:lang w:val="en-US" w:eastAsia="zh-CN"/>
        </w:rPr>
        <w:t xml:space="preserve">  </w:t>
      </w:r>
      <w:r>
        <w:rPr>
          <w:rFonts w:hint="eastAsia"/>
          <w:sz w:val="24"/>
          <w:szCs w:val="24"/>
        </w:rPr>
        <w:t>（标的名称），属于（</w:t>
      </w:r>
      <w:r>
        <w:rPr>
          <w:rFonts w:hint="eastAsia"/>
          <w:sz w:val="24"/>
          <w:szCs w:val="24"/>
          <w:lang w:eastAsia="zh-CN"/>
        </w:rPr>
        <w:t>招标文件</w:t>
      </w:r>
      <w:r>
        <w:rPr>
          <w:rFonts w:hint="eastAsia"/>
          <w:sz w:val="24"/>
          <w:szCs w:val="24"/>
        </w:rPr>
        <w:t>中明确的所属行业）；承建（承接）企业为</w:t>
      </w:r>
      <w:r>
        <w:rPr>
          <w:rFonts w:hint="eastAsia"/>
          <w:sz w:val="24"/>
          <w:szCs w:val="24"/>
        </w:rPr>
        <w:tab/>
      </w:r>
      <w:r>
        <w:rPr>
          <w:rFonts w:hint="eastAsia"/>
          <w:sz w:val="24"/>
          <w:szCs w:val="24"/>
          <w:lang w:val="en-US" w:eastAsia="zh-CN"/>
        </w:rPr>
        <w:t xml:space="preserve">  </w:t>
      </w:r>
      <w:r>
        <w:rPr>
          <w:rFonts w:hint="eastAsia"/>
          <w:sz w:val="24"/>
          <w:szCs w:val="24"/>
        </w:rPr>
        <w:t>（企业名称），从业人员</w:t>
      </w:r>
      <w:r>
        <w:rPr>
          <w:rFonts w:hint="eastAsia"/>
          <w:sz w:val="24"/>
          <w:szCs w:val="24"/>
        </w:rPr>
        <w:tab/>
      </w:r>
      <w:r>
        <w:rPr>
          <w:rFonts w:hint="eastAsia"/>
          <w:sz w:val="24"/>
          <w:szCs w:val="24"/>
          <w:lang w:val="en-US" w:eastAsia="zh-CN"/>
        </w:rPr>
        <w:t xml:space="preserve">  </w:t>
      </w:r>
      <w:r>
        <w:rPr>
          <w:rFonts w:hint="eastAsia"/>
          <w:sz w:val="24"/>
          <w:szCs w:val="24"/>
        </w:rPr>
        <w:tab/>
      </w:r>
      <w:r>
        <w:rPr>
          <w:rFonts w:hint="eastAsia"/>
          <w:sz w:val="24"/>
          <w:szCs w:val="24"/>
        </w:rPr>
        <w:t>人，营业收入为</w:t>
      </w:r>
      <w:r>
        <w:rPr>
          <w:rFonts w:hint="eastAsia"/>
          <w:sz w:val="24"/>
          <w:szCs w:val="24"/>
        </w:rPr>
        <w:tab/>
      </w:r>
      <w:r>
        <w:rPr>
          <w:rFonts w:hint="eastAsia"/>
          <w:sz w:val="24"/>
          <w:szCs w:val="24"/>
          <w:lang w:val="en-US" w:eastAsia="zh-CN"/>
        </w:rPr>
        <w:t xml:space="preserve">  </w:t>
      </w:r>
      <w:r>
        <w:rPr>
          <w:rFonts w:hint="eastAsia"/>
          <w:sz w:val="24"/>
          <w:szCs w:val="24"/>
        </w:rPr>
        <w:t>万元，资产总额为</w:t>
      </w:r>
      <w:r>
        <w:rPr>
          <w:rFonts w:hint="eastAsia"/>
          <w:sz w:val="24"/>
          <w:szCs w:val="24"/>
        </w:rPr>
        <w:tab/>
      </w:r>
      <w:r>
        <w:rPr>
          <w:rFonts w:hint="eastAsia"/>
          <w:sz w:val="24"/>
          <w:szCs w:val="24"/>
          <w:lang w:val="en-US" w:eastAsia="zh-CN"/>
        </w:rPr>
        <w:t xml:space="preserve">  </w:t>
      </w:r>
      <w:r>
        <w:rPr>
          <w:rFonts w:hint="eastAsia"/>
          <w:sz w:val="24"/>
          <w:szCs w:val="24"/>
        </w:rPr>
        <w:t>万元1，属于</w:t>
      </w:r>
      <w:r>
        <w:rPr>
          <w:rFonts w:hint="eastAsia"/>
          <w:sz w:val="24"/>
          <w:szCs w:val="24"/>
        </w:rPr>
        <w:tab/>
      </w:r>
      <w:r>
        <w:rPr>
          <w:rFonts w:hint="eastAsia"/>
          <w:sz w:val="24"/>
          <w:szCs w:val="24"/>
          <w:lang w:val="en-US" w:eastAsia="zh-CN"/>
        </w:rPr>
        <w:t xml:space="preserve">  </w:t>
      </w:r>
      <w:r>
        <w:rPr>
          <w:rFonts w:hint="eastAsia"/>
          <w:sz w:val="24"/>
          <w:szCs w:val="24"/>
        </w:rPr>
        <w:t>（中型企业、小型企业、微型企业）；</w:t>
      </w:r>
    </w:p>
    <w:p w14:paraId="5A4B638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2.</w:t>
      </w:r>
      <w:r>
        <w:rPr>
          <w:rFonts w:hint="eastAsia"/>
          <w:sz w:val="24"/>
          <w:szCs w:val="24"/>
        </w:rPr>
        <w:tab/>
      </w:r>
      <w:r>
        <w:rPr>
          <w:rFonts w:hint="eastAsia"/>
          <w:sz w:val="24"/>
          <w:szCs w:val="24"/>
          <w:lang w:val="en-US" w:eastAsia="zh-CN"/>
        </w:rPr>
        <w:t xml:space="preserve">  </w:t>
      </w:r>
      <w:r>
        <w:rPr>
          <w:rFonts w:hint="eastAsia"/>
          <w:sz w:val="24"/>
          <w:szCs w:val="24"/>
        </w:rPr>
        <w:t>（标的名称），属于（</w:t>
      </w:r>
      <w:r>
        <w:rPr>
          <w:rFonts w:hint="eastAsia"/>
          <w:sz w:val="24"/>
          <w:szCs w:val="24"/>
          <w:lang w:eastAsia="zh-CN"/>
        </w:rPr>
        <w:t>招标文件</w:t>
      </w:r>
      <w:r>
        <w:rPr>
          <w:rFonts w:hint="eastAsia"/>
          <w:sz w:val="24"/>
          <w:szCs w:val="24"/>
        </w:rPr>
        <w:t>中明确的所属行业）；承建（承接）企业为（企业名称），从业人员</w:t>
      </w:r>
      <w:r>
        <w:rPr>
          <w:rFonts w:hint="eastAsia"/>
          <w:sz w:val="24"/>
          <w:szCs w:val="24"/>
        </w:rPr>
        <w:tab/>
      </w:r>
      <w:r>
        <w:rPr>
          <w:rFonts w:hint="eastAsia"/>
          <w:sz w:val="24"/>
          <w:szCs w:val="24"/>
          <w:lang w:val="en-US" w:eastAsia="zh-CN"/>
        </w:rPr>
        <w:t xml:space="preserve">  </w:t>
      </w:r>
      <w:r>
        <w:rPr>
          <w:rFonts w:hint="eastAsia"/>
          <w:sz w:val="24"/>
          <w:szCs w:val="24"/>
        </w:rPr>
        <w:t>人，营业收入为</w:t>
      </w:r>
      <w:r>
        <w:rPr>
          <w:rFonts w:hint="eastAsia"/>
          <w:sz w:val="24"/>
          <w:szCs w:val="24"/>
        </w:rPr>
        <w:tab/>
      </w:r>
      <w:r>
        <w:rPr>
          <w:rFonts w:hint="eastAsia"/>
          <w:sz w:val="24"/>
          <w:szCs w:val="24"/>
          <w:lang w:val="en-US" w:eastAsia="zh-CN"/>
        </w:rPr>
        <w:t xml:space="preserve">  </w:t>
      </w:r>
      <w:r>
        <w:rPr>
          <w:rFonts w:hint="eastAsia"/>
          <w:sz w:val="24"/>
          <w:szCs w:val="24"/>
        </w:rPr>
        <w:t>万元，资产总额为</w:t>
      </w:r>
      <w:r>
        <w:rPr>
          <w:rFonts w:hint="eastAsia"/>
          <w:sz w:val="24"/>
          <w:szCs w:val="24"/>
        </w:rPr>
        <w:tab/>
      </w:r>
      <w:r>
        <w:rPr>
          <w:rFonts w:hint="eastAsia"/>
          <w:sz w:val="24"/>
          <w:szCs w:val="24"/>
        </w:rPr>
        <w:tab/>
      </w:r>
      <w:r>
        <w:rPr>
          <w:rFonts w:hint="eastAsia"/>
          <w:sz w:val="24"/>
          <w:szCs w:val="24"/>
          <w:lang w:val="en-US" w:eastAsia="zh-CN"/>
        </w:rPr>
        <w:t xml:space="preserve">  </w:t>
      </w:r>
      <w:r>
        <w:rPr>
          <w:rFonts w:hint="eastAsia"/>
          <w:sz w:val="24"/>
          <w:szCs w:val="24"/>
        </w:rPr>
        <w:t>万元，属于</w:t>
      </w:r>
      <w:r>
        <w:rPr>
          <w:rFonts w:hint="eastAsia"/>
          <w:sz w:val="24"/>
          <w:szCs w:val="24"/>
        </w:rPr>
        <w:tab/>
      </w:r>
      <w:r>
        <w:rPr>
          <w:rFonts w:hint="eastAsia"/>
          <w:sz w:val="24"/>
          <w:szCs w:val="24"/>
          <w:lang w:val="en-US" w:eastAsia="zh-CN"/>
        </w:rPr>
        <w:t xml:space="preserve">  </w:t>
      </w:r>
      <w:r>
        <w:rPr>
          <w:rFonts w:hint="eastAsia"/>
          <w:sz w:val="24"/>
          <w:szCs w:val="24"/>
        </w:rPr>
        <w:t>（中型企业、小型企业、微型企业）；</w:t>
      </w:r>
    </w:p>
    <w:p w14:paraId="6416BBC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w:t>
      </w:r>
    </w:p>
    <w:p w14:paraId="4645B3C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以上企业，不属于大企业的分支机构，不存在控股股东为大企业的情形，也不存在与大企业的负责人为同一人的情形。本企业对上述声明内容的真实性负责。如有虚假，将依法承担相应责任。</w:t>
      </w:r>
    </w:p>
    <w:p w14:paraId="0EF86C7E">
      <w:pPr>
        <w:pStyle w:val="8"/>
        <w:spacing w:line="360" w:lineRule="auto"/>
        <w:ind w:left="0" w:leftChars="0" w:firstLine="3780" w:firstLineChars="1575"/>
        <w:rPr>
          <w:rFonts w:hint="eastAsia" w:ascii="宋体" w:hAnsi="宋体" w:eastAsia="宋体" w:cs="宋体"/>
          <w:color w:val="auto"/>
          <w:sz w:val="24"/>
          <w:szCs w:val="24"/>
          <w:highlight w:val="none"/>
        </w:rPr>
      </w:pPr>
    </w:p>
    <w:p w14:paraId="724418B2">
      <w:pPr>
        <w:pStyle w:val="8"/>
        <w:spacing w:line="360" w:lineRule="auto"/>
        <w:ind w:left="0" w:leftChars="0" w:firstLine="3780" w:firstLineChars="1575"/>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企业名称（盖章</w:t>
      </w:r>
      <w:r>
        <w:rPr>
          <w:rFonts w:hint="eastAsia" w:ascii="宋体" w:hAnsi="宋体" w:eastAsia="宋体" w:cs="宋体"/>
          <w:color w:val="auto"/>
          <w:spacing w:val="-5"/>
          <w:sz w:val="24"/>
          <w:szCs w:val="24"/>
          <w:highlight w:val="none"/>
        </w:rPr>
        <w:t>）：</w:t>
      </w:r>
      <w:r>
        <w:rPr>
          <w:rFonts w:hint="eastAsia" w:ascii="宋体" w:hAnsi="宋体" w:cs="宋体"/>
          <w:color w:val="auto"/>
          <w:spacing w:val="-5"/>
          <w:sz w:val="24"/>
          <w:szCs w:val="24"/>
          <w:highlight w:val="none"/>
          <w:lang w:val="en-US" w:eastAsia="zh-CN"/>
        </w:rPr>
        <w:t xml:space="preserve">             </w:t>
      </w:r>
    </w:p>
    <w:p w14:paraId="42E339AD">
      <w:pPr>
        <w:spacing w:before="177" w:line="360" w:lineRule="auto"/>
        <w:ind w:left="0" w:leftChars="0" w:firstLine="3777" w:firstLineChars="1733"/>
        <w:rPr>
          <w:rFonts w:hint="default" w:ascii="宋体" w:hAnsi="宋体" w:eastAsia="宋体" w:cs="宋体"/>
          <w:color w:val="auto"/>
          <w:spacing w:val="-11"/>
          <w:sz w:val="24"/>
          <w:szCs w:val="24"/>
          <w:highlight w:val="none"/>
          <w:lang w:val="en-US" w:eastAsia="zh-CN"/>
        </w:rPr>
      </w:pPr>
      <w:r>
        <w:rPr>
          <w:rFonts w:hint="eastAsia" w:ascii="宋体" w:hAnsi="宋体" w:eastAsia="宋体" w:cs="宋体"/>
          <w:color w:val="auto"/>
          <w:spacing w:val="-11"/>
          <w:sz w:val="24"/>
          <w:szCs w:val="24"/>
          <w:highlight w:val="none"/>
        </w:rPr>
        <w:t>日 期：</w:t>
      </w:r>
      <w:r>
        <w:rPr>
          <w:rFonts w:hint="eastAsia" w:ascii="宋体" w:hAnsi="宋体" w:cs="宋体"/>
          <w:color w:val="auto"/>
          <w:spacing w:val="-11"/>
          <w:sz w:val="24"/>
          <w:szCs w:val="24"/>
          <w:highlight w:val="none"/>
          <w:lang w:val="en-US" w:eastAsia="zh-CN"/>
        </w:rPr>
        <w:t xml:space="preserve">     年    月    日</w:t>
      </w:r>
    </w:p>
    <w:p w14:paraId="43ED6927">
      <w:pPr>
        <w:spacing w:before="177" w:line="360" w:lineRule="auto"/>
        <w:ind w:left="388"/>
        <w:rPr>
          <w:rFonts w:hint="eastAsia" w:ascii="宋体" w:hAnsi="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lang w:val="en-US" w:eastAsia="zh-CN"/>
        </w:rPr>
        <w:t>1.</w:t>
      </w:r>
      <w:r>
        <w:rPr>
          <w:rFonts w:hint="eastAsia" w:ascii="宋体" w:hAnsi="宋体" w:eastAsia="宋体" w:cs="宋体"/>
          <w:color w:val="auto"/>
          <w:spacing w:val="-1"/>
          <w:sz w:val="24"/>
          <w:szCs w:val="24"/>
          <w:highlight w:val="none"/>
        </w:rPr>
        <w:t>从业人员、营业收入、资产总额填报上一年度数据，无上一年度数据的新成立企业可不填报</w:t>
      </w:r>
      <w:r>
        <w:rPr>
          <w:rFonts w:hint="eastAsia" w:ascii="宋体" w:hAnsi="宋体" w:cs="宋体"/>
          <w:color w:val="auto"/>
          <w:spacing w:val="-1"/>
          <w:sz w:val="24"/>
          <w:szCs w:val="24"/>
          <w:highlight w:val="none"/>
          <w:lang w:eastAsia="zh-CN"/>
        </w:rPr>
        <w:t>。</w:t>
      </w:r>
    </w:p>
    <w:p w14:paraId="0AA473DE">
      <w:pPr>
        <w:rPr>
          <w:rFonts w:hint="eastAsia" w:ascii="宋体" w:hAnsi="宋体" w:cs="宋体"/>
          <w:color w:val="auto"/>
          <w:spacing w:val="-1"/>
          <w:sz w:val="24"/>
          <w:szCs w:val="24"/>
          <w:highlight w:val="none"/>
          <w:lang w:eastAsia="zh-CN"/>
        </w:rPr>
      </w:pPr>
      <w:r>
        <w:rPr>
          <w:rFonts w:hint="eastAsia" w:ascii="宋体" w:hAnsi="宋体" w:cs="宋体"/>
          <w:color w:val="auto"/>
          <w:spacing w:val="-1"/>
          <w:sz w:val="24"/>
          <w:szCs w:val="24"/>
          <w:highlight w:val="none"/>
          <w:lang w:eastAsia="zh-CN"/>
        </w:rPr>
        <w:br w:type="page"/>
      </w:r>
    </w:p>
    <w:p w14:paraId="716E7386">
      <w:pPr>
        <w:bidi w:val="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（以下格式文件由</w:t>
      </w:r>
      <w:r>
        <w:rPr>
          <w:rFonts w:hint="eastAsia" w:ascii="宋体" w:hAnsi="宋体" w:eastAsia="宋体" w:cs="宋体"/>
          <w:b/>
          <w:bCs/>
          <w:color w:val="auto"/>
          <w:sz w:val="24"/>
          <w:szCs w:val="24"/>
          <w:highlight w:val="none"/>
          <w:lang w:eastAsia="zh-CN"/>
        </w:rPr>
        <w:t>投标人</w:t>
      </w:r>
      <w:r>
        <w:rPr>
          <w:rFonts w:hint="eastAsia" w:ascii="宋体" w:hAnsi="宋体" w:eastAsia="宋体" w:cs="宋体"/>
          <w:b/>
          <w:bCs/>
          <w:color w:val="auto"/>
          <w:sz w:val="24"/>
          <w:szCs w:val="24"/>
          <w:highlight w:val="none"/>
        </w:rPr>
        <w:t>根据需要选用）</w:t>
      </w:r>
    </w:p>
    <w:p w14:paraId="1746BE2C">
      <w:pPr>
        <w:bidi w:val="0"/>
        <w:jc w:val="center"/>
        <w:rPr>
          <w:rFonts w:hint="eastAsia" w:ascii="Times New Roman" w:hAnsi="Times New Roman" w:cs="Times New Roman"/>
          <w:b/>
          <w:bCs/>
          <w:color w:val="auto"/>
          <w:sz w:val="24"/>
          <w:szCs w:val="24"/>
          <w:highlight w:val="none"/>
        </w:rPr>
      </w:pPr>
    </w:p>
    <w:p w14:paraId="1BD2A5EF">
      <w:pPr>
        <w:bidi w:val="0"/>
        <w:jc w:val="center"/>
        <w:rPr>
          <w:rFonts w:hint="eastAsia" w:ascii="Times New Roman" w:hAnsi="Times New Roman" w:cs="Times New Roman"/>
          <w:b/>
          <w:bCs/>
          <w:color w:val="auto"/>
          <w:sz w:val="28"/>
          <w:szCs w:val="28"/>
          <w:highlight w:val="none"/>
        </w:rPr>
      </w:pPr>
      <w:r>
        <w:rPr>
          <w:rFonts w:hint="eastAsia" w:ascii="Times New Roman" w:hAnsi="Times New Roman" w:cs="Times New Roman"/>
          <w:b/>
          <w:bCs/>
          <w:color w:val="auto"/>
          <w:sz w:val="28"/>
          <w:szCs w:val="28"/>
          <w:highlight w:val="none"/>
        </w:rPr>
        <w:t>监狱企业证明文件</w:t>
      </w:r>
    </w:p>
    <w:p w14:paraId="783182FA">
      <w:pPr>
        <w:pStyle w:val="8"/>
        <w:spacing w:before="111" w:line="360" w:lineRule="auto"/>
        <w:rPr>
          <w:rFonts w:hint="eastAsia" w:ascii="宋体" w:hAnsi="宋体" w:eastAsia="宋体" w:cs="宋体"/>
          <w:color w:val="auto"/>
          <w:sz w:val="24"/>
          <w:szCs w:val="24"/>
          <w:highlight w:val="none"/>
        </w:rPr>
      </w:pPr>
    </w:p>
    <w:p w14:paraId="60C7266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提供由省级以上监狱管理局、戒毒管理局（含新疆生产建设兵团）出具的属于监狱企业的证明文件。</w:t>
      </w:r>
    </w:p>
    <w:p w14:paraId="6B0A0EA3">
      <w:pPr>
        <w:pStyle w:val="8"/>
        <w:spacing w:line="360" w:lineRule="auto"/>
        <w:rPr>
          <w:rFonts w:hint="eastAsia" w:ascii="宋体" w:hAnsi="宋体" w:eastAsia="宋体" w:cs="宋体"/>
          <w:color w:val="auto"/>
          <w:sz w:val="24"/>
          <w:szCs w:val="24"/>
          <w:highlight w:val="none"/>
        </w:rPr>
        <w:sectPr>
          <w:pgSz w:w="11900" w:h="16840"/>
          <w:pgMar w:top="1440" w:right="1080" w:bottom="1440" w:left="1080" w:header="0" w:footer="93" w:gutter="0"/>
          <w:cols w:space="720" w:num="1"/>
        </w:sectPr>
      </w:pPr>
    </w:p>
    <w:p w14:paraId="3742666A">
      <w:pPr>
        <w:bidi w:val="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（以下格式文件由</w:t>
      </w:r>
      <w:r>
        <w:rPr>
          <w:rFonts w:hint="eastAsia" w:ascii="宋体" w:hAnsi="宋体" w:eastAsia="宋体" w:cs="宋体"/>
          <w:b/>
          <w:bCs/>
          <w:color w:val="auto"/>
          <w:sz w:val="24"/>
          <w:szCs w:val="24"/>
          <w:highlight w:val="none"/>
          <w:lang w:eastAsia="zh-CN"/>
        </w:rPr>
        <w:t>投标人</w:t>
      </w:r>
      <w:r>
        <w:rPr>
          <w:rFonts w:hint="eastAsia" w:ascii="宋体" w:hAnsi="宋体" w:eastAsia="宋体" w:cs="宋体"/>
          <w:b/>
          <w:bCs/>
          <w:color w:val="auto"/>
          <w:sz w:val="24"/>
          <w:szCs w:val="24"/>
          <w:highlight w:val="none"/>
        </w:rPr>
        <w:t>根据需要选用）</w:t>
      </w:r>
    </w:p>
    <w:p w14:paraId="4DD80562">
      <w:pPr>
        <w:bidi w:val="0"/>
        <w:jc w:val="center"/>
        <w:rPr>
          <w:rFonts w:hint="eastAsia" w:ascii="Times New Roman" w:hAnsi="Times New Roman" w:cs="Times New Roman"/>
          <w:b/>
          <w:bCs/>
          <w:color w:val="auto"/>
          <w:sz w:val="24"/>
          <w:szCs w:val="24"/>
          <w:highlight w:val="none"/>
        </w:rPr>
      </w:pPr>
    </w:p>
    <w:p w14:paraId="69E15DA4">
      <w:pPr>
        <w:bidi w:val="0"/>
        <w:jc w:val="center"/>
        <w:rPr>
          <w:rFonts w:hint="eastAsia" w:ascii="Times New Roman" w:hAnsi="Times New Roman" w:cs="Times New Roman"/>
          <w:b/>
          <w:bCs/>
          <w:color w:val="auto"/>
          <w:sz w:val="28"/>
          <w:szCs w:val="28"/>
          <w:highlight w:val="none"/>
        </w:rPr>
      </w:pPr>
      <w:r>
        <w:rPr>
          <w:rFonts w:hint="eastAsia" w:ascii="Times New Roman" w:hAnsi="Times New Roman" w:cs="Times New Roman"/>
          <w:b/>
          <w:bCs/>
          <w:color w:val="auto"/>
          <w:sz w:val="28"/>
          <w:szCs w:val="28"/>
          <w:highlight w:val="none"/>
        </w:rPr>
        <w:t>残疾人福利性单位声明函</w:t>
      </w:r>
    </w:p>
    <w:p w14:paraId="69F7FDCE">
      <w:pPr>
        <w:pStyle w:val="8"/>
        <w:tabs>
          <w:tab w:val="left" w:pos="6797"/>
          <w:tab w:val="left" w:pos="7950"/>
        </w:tabs>
        <w:spacing w:before="96" w:line="360" w:lineRule="auto"/>
        <w:ind w:left="100" w:right="127" w:firstLine="384"/>
        <w:rPr>
          <w:rFonts w:hint="eastAsia" w:ascii="宋体" w:hAnsi="宋体" w:eastAsia="宋体" w:cs="宋体"/>
          <w:color w:val="auto"/>
          <w:w w:val="101"/>
          <w:sz w:val="24"/>
          <w:szCs w:val="24"/>
          <w:highlight w:val="none"/>
        </w:rPr>
      </w:pPr>
    </w:p>
    <w:p w14:paraId="30DBE754">
      <w:pPr>
        <w:pStyle w:val="8"/>
        <w:tabs>
          <w:tab w:val="left" w:pos="6797"/>
          <w:tab w:val="left" w:pos="7950"/>
        </w:tabs>
        <w:spacing w:before="96" w:line="360" w:lineRule="auto"/>
        <w:ind w:left="100" w:right="127" w:firstLine="384"/>
        <w:rPr>
          <w:rFonts w:hint="eastAsia" w:ascii="宋体" w:hAnsi="宋体" w:eastAsia="宋体" w:cs="宋体"/>
          <w:color w:val="auto"/>
          <w:sz w:val="24"/>
          <w:szCs w:val="24"/>
          <w:highlight w:val="none"/>
        </w:rPr>
      </w:pPr>
      <w:r>
        <w:rPr>
          <w:rFonts w:hint="eastAsia" w:ascii="宋体" w:hAnsi="宋体" w:eastAsia="宋体" w:cs="宋体"/>
          <w:color w:val="auto"/>
          <w:w w:val="101"/>
          <w:sz w:val="24"/>
          <w:szCs w:val="24"/>
          <w:highlight w:val="none"/>
        </w:rPr>
        <w:t>本单位郑重声明，根据《财政部</w:t>
      </w:r>
      <w:r>
        <w:rPr>
          <w:rFonts w:hint="eastAsia" w:ascii="宋体" w:hAnsi="宋体" w:eastAsia="宋体" w:cs="宋体"/>
          <w:color w:val="auto"/>
          <w:spacing w:val="-35"/>
          <w:sz w:val="24"/>
          <w:szCs w:val="24"/>
          <w:highlight w:val="none"/>
        </w:rPr>
        <w:t xml:space="preserve"> </w:t>
      </w:r>
      <w:r>
        <w:rPr>
          <w:rFonts w:hint="eastAsia" w:ascii="宋体" w:hAnsi="宋体" w:eastAsia="宋体" w:cs="宋体"/>
          <w:color w:val="auto"/>
          <w:w w:val="101"/>
          <w:sz w:val="24"/>
          <w:szCs w:val="24"/>
          <w:highlight w:val="none"/>
        </w:rPr>
        <w:t>民政部</w:t>
      </w:r>
      <w:r>
        <w:rPr>
          <w:rFonts w:hint="eastAsia" w:ascii="宋体" w:hAnsi="宋体" w:eastAsia="宋体" w:cs="宋体"/>
          <w:color w:val="auto"/>
          <w:spacing w:val="-35"/>
          <w:sz w:val="24"/>
          <w:szCs w:val="24"/>
          <w:highlight w:val="none"/>
        </w:rPr>
        <w:t xml:space="preserve"> </w:t>
      </w:r>
      <w:r>
        <w:rPr>
          <w:rFonts w:hint="eastAsia" w:ascii="宋体" w:hAnsi="宋体" w:eastAsia="宋体" w:cs="宋体"/>
          <w:color w:val="auto"/>
          <w:w w:val="101"/>
          <w:sz w:val="24"/>
          <w:szCs w:val="24"/>
          <w:highlight w:val="none"/>
        </w:rPr>
        <w:t>中国残疾人联合会关于促进残疾人就业政府采购政策的通知》（财库〔</w:t>
      </w:r>
      <w:r>
        <w:rPr>
          <w:rFonts w:hint="eastAsia" w:ascii="宋体" w:hAnsi="宋体" w:eastAsia="宋体" w:cs="宋体"/>
          <w:color w:val="auto"/>
          <w:spacing w:val="-3"/>
          <w:w w:val="119"/>
          <w:sz w:val="24"/>
          <w:szCs w:val="24"/>
          <w:highlight w:val="none"/>
        </w:rPr>
        <w:t>2017</w:t>
      </w:r>
      <w:r>
        <w:rPr>
          <w:rFonts w:hint="eastAsia" w:ascii="宋体" w:hAnsi="宋体" w:eastAsia="宋体" w:cs="宋体"/>
          <w:color w:val="auto"/>
          <w:w w:val="101"/>
          <w:sz w:val="24"/>
          <w:szCs w:val="24"/>
          <w:highlight w:val="none"/>
        </w:rPr>
        <w:t xml:space="preserve">〕 </w:t>
      </w:r>
      <w:r>
        <w:rPr>
          <w:rFonts w:hint="eastAsia" w:ascii="宋体" w:hAnsi="宋体" w:eastAsia="宋体" w:cs="宋体"/>
          <w:color w:val="auto"/>
          <w:spacing w:val="-3"/>
          <w:w w:val="119"/>
          <w:sz w:val="24"/>
          <w:szCs w:val="24"/>
          <w:highlight w:val="none"/>
        </w:rPr>
        <w:t>141</w:t>
      </w:r>
      <w:r>
        <w:rPr>
          <w:rFonts w:hint="eastAsia" w:ascii="宋体" w:hAnsi="宋体" w:eastAsia="宋体" w:cs="宋体"/>
          <w:color w:val="auto"/>
          <w:w w:val="101"/>
          <w:sz w:val="24"/>
          <w:szCs w:val="24"/>
          <w:highlight w:val="none"/>
        </w:rPr>
        <w:t>号）的规定，本单位为符合条件的残疾人福利性单位，且本单位参加</w:t>
      </w:r>
      <w:r>
        <w:rPr>
          <w:rFonts w:hint="eastAsia" w:ascii="宋体" w:hAnsi="宋体" w:eastAsia="宋体" w:cs="宋体"/>
          <w:color w:val="auto"/>
          <w:w w:val="101"/>
          <w:sz w:val="24"/>
          <w:szCs w:val="24"/>
          <w:highlight w:val="none"/>
          <w:u w:val="single"/>
        </w:rPr>
        <w:t xml:space="preserve"> </w:t>
      </w:r>
      <w:r>
        <w:rPr>
          <w:rFonts w:hint="eastAsia" w:ascii="宋体" w:hAnsi="宋体" w:eastAsia="宋体" w:cs="宋体"/>
          <w:color w:val="auto"/>
          <w:sz w:val="24"/>
          <w:szCs w:val="24"/>
          <w:highlight w:val="none"/>
          <w:u w:val="single"/>
        </w:rPr>
        <w:tab/>
      </w:r>
      <w:r>
        <w:rPr>
          <w:rFonts w:hint="eastAsia" w:ascii="宋体" w:hAnsi="宋体" w:eastAsia="宋体" w:cs="宋体"/>
          <w:color w:val="auto"/>
          <w:w w:val="101"/>
          <w:sz w:val="24"/>
          <w:szCs w:val="24"/>
          <w:highlight w:val="none"/>
        </w:rPr>
        <w:t>单位的</w:t>
      </w:r>
      <w:r>
        <w:rPr>
          <w:rFonts w:hint="eastAsia" w:ascii="宋体" w:hAnsi="宋体" w:eastAsia="宋体" w:cs="宋体"/>
          <w:color w:val="auto"/>
          <w:w w:val="101"/>
          <w:sz w:val="24"/>
          <w:szCs w:val="24"/>
          <w:highlight w:val="none"/>
          <w:u w:val="single"/>
        </w:rPr>
        <w:t xml:space="preserve"> </w:t>
      </w:r>
      <w:r>
        <w:rPr>
          <w:rFonts w:hint="eastAsia" w:ascii="宋体" w:hAnsi="宋体" w:eastAsia="宋体" w:cs="宋体"/>
          <w:color w:val="auto"/>
          <w:sz w:val="24"/>
          <w:szCs w:val="24"/>
          <w:highlight w:val="none"/>
          <w:u w:val="single"/>
        </w:rPr>
        <w:tab/>
      </w:r>
      <w:r>
        <w:rPr>
          <w:rFonts w:hint="eastAsia" w:ascii="宋体" w:hAnsi="宋体" w:eastAsia="宋体" w:cs="宋体"/>
          <w:color w:val="auto"/>
          <w:w w:val="101"/>
          <w:sz w:val="24"/>
          <w:szCs w:val="24"/>
          <w:highlight w:val="none"/>
        </w:rPr>
        <w:t>项目采购活动提供本单位制造</w:t>
      </w:r>
      <w:r>
        <w:rPr>
          <w:rFonts w:hint="eastAsia" w:ascii="宋体" w:hAnsi="宋体" w:eastAsia="宋体" w:cs="宋体"/>
          <w:color w:val="auto"/>
          <w:spacing w:val="-18"/>
          <w:w w:val="101"/>
          <w:sz w:val="24"/>
          <w:szCs w:val="24"/>
          <w:highlight w:val="none"/>
        </w:rPr>
        <w:t>的</w:t>
      </w:r>
      <w:r>
        <w:rPr>
          <w:rFonts w:hint="eastAsia" w:ascii="宋体" w:hAnsi="宋体" w:eastAsia="宋体" w:cs="宋体"/>
          <w:color w:val="auto"/>
          <w:w w:val="101"/>
          <w:sz w:val="24"/>
          <w:szCs w:val="24"/>
          <w:highlight w:val="none"/>
        </w:rPr>
        <w:t>货物（由本单位承担工程</w:t>
      </w:r>
      <w:r>
        <w:rPr>
          <w:rFonts w:hint="eastAsia" w:ascii="宋体" w:hAnsi="宋体" w:eastAsia="宋体" w:cs="宋体"/>
          <w:color w:val="auto"/>
          <w:spacing w:val="-5"/>
          <w:w w:val="87"/>
          <w:sz w:val="24"/>
          <w:szCs w:val="24"/>
          <w:highlight w:val="none"/>
        </w:rPr>
        <w:t>/</w:t>
      </w:r>
      <w:r>
        <w:rPr>
          <w:rFonts w:hint="eastAsia" w:ascii="宋体" w:hAnsi="宋体" w:eastAsia="宋体" w:cs="宋体"/>
          <w:color w:val="auto"/>
          <w:w w:val="101"/>
          <w:sz w:val="24"/>
          <w:szCs w:val="24"/>
          <w:highlight w:val="none"/>
        </w:rPr>
        <w:t>提供服务），或者提供其他残疾人福利性单位制造的货物（不包括使用非残疾人福利性单位注册商标的货物）。</w:t>
      </w:r>
    </w:p>
    <w:p w14:paraId="1B987E2F">
      <w:pPr>
        <w:pStyle w:val="8"/>
        <w:spacing w:before="22" w:line="360" w:lineRule="auto"/>
        <w:ind w:left="484"/>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本单位对上述声明的真实性负责。如有虚假，将依法承担相应责任。</w:t>
      </w:r>
    </w:p>
    <w:p w14:paraId="625B0363">
      <w:pPr>
        <w:pStyle w:val="8"/>
        <w:spacing w:before="22" w:line="360" w:lineRule="auto"/>
        <w:ind w:left="484"/>
        <w:rPr>
          <w:rFonts w:hint="eastAsia" w:ascii="宋体" w:hAnsi="宋体" w:eastAsia="宋体" w:cs="宋体"/>
          <w:color w:val="auto"/>
          <w:spacing w:val="-1"/>
          <w:sz w:val="24"/>
          <w:szCs w:val="24"/>
          <w:highlight w:val="none"/>
        </w:rPr>
      </w:pPr>
    </w:p>
    <w:p w14:paraId="20D17EF2">
      <w:pPr>
        <w:pStyle w:val="8"/>
        <w:tabs>
          <w:tab w:val="left" w:pos="5035"/>
        </w:tabs>
        <w:spacing w:line="360" w:lineRule="auto"/>
        <w:ind w:right="304"/>
        <w:jc w:val="right"/>
        <w:rPr>
          <w:rFonts w:hint="eastAsia" w:ascii="宋体" w:hAnsi="宋体" w:eastAsia="宋体" w:cs="宋体"/>
          <w:color w:val="auto"/>
          <w:sz w:val="24"/>
          <w:szCs w:val="24"/>
          <w:highlight w:val="none"/>
          <w:u w:val="single"/>
        </w:rPr>
      </w:pPr>
      <w:r>
        <w:rPr>
          <w:rFonts w:hint="eastAsia" w:ascii="宋体" w:hAnsi="宋体" w:eastAsia="宋体" w:cs="宋体"/>
          <w:color w:val="auto"/>
          <w:spacing w:val="-2"/>
          <w:sz w:val="24"/>
          <w:szCs w:val="24"/>
          <w:highlight w:val="none"/>
        </w:rPr>
        <w:t>投标人名称（盖章</w:t>
      </w:r>
      <w:r>
        <w:rPr>
          <w:rFonts w:hint="eastAsia" w:ascii="宋体" w:hAnsi="宋体" w:eastAsia="宋体" w:cs="宋体"/>
          <w:color w:val="auto"/>
          <w:spacing w:val="-5"/>
          <w:sz w:val="24"/>
          <w:szCs w:val="24"/>
          <w:highlight w:val="none"/>
        </w:rPr>
        <w:t>）：</w:t>
      </w:r>
      <w:r>
        <w:rPr>
          <w:rFonts w:hint="eastAsia" w:ascii="宋体" w:hAnsi="宋体" w:eastAsia="宋体" w:cs="宋体"/>
          <w:color w:val="auto"/>
          <w:sz w:val="24"/>
          <w:szCs w:val="24"/>
          <w:highlight w:val="none"/>
          <w:u w:val="single"/>
        </w:rPr>
        <w:tab/>
      </w:r>
    </w:p>
    <w:p w14:paraId="3D4093F6">
      <w:pPr>
        <w:pStyle w:val="8"/>
        <w:tabs>
          <w:tab w:val="left" w:pos="5035"/>
        </w:tabs>
        <w:spacing w:line="360" w:lineRule="auto"/>
        <w:ind w:right="304"/>
        <w:jc w:val="right"/>
        <w:rPr>
          <w:rFonts w:hint="eastAsia" w:ascii="宋体" w:hAnsi="宋体" w:eastAsia="宋体" w:cs="宋体"/>
          <w:color w:val="auto"/>
          <w:spacing w:val="-10"/>
          <w:sz w:val="24"/>
          <w:szCs w:val="24"/>
          <w:highlight w:val="none"/>
        </w:rPr>
      </w:pPr>
      <w:r>
        <w:rPr>
          <w:rFonts w:hint="eastAsia" w:ascii="宋体" w:hAnsi="宋体" w:eastAsia="宋体" w:cs="宋体"/>
          <w:color w:val="auto"/>
          <w:spacing w:val="-10"/>
          <w:sz w:val="24"/>
          <w:szCs w:val="24"/>
          <w:highlight w:val="none"/>
          <w:lang w:val="en-US" w:eastAsia="zh-CN"/>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pacing w:val="-10"/>
          <w:sz w:val="24"/>
          <w:szCs w:val="24"/>
          <w:highlight w:val="none"/>
          <w:lang w:val="en-US" w:eastAsia="zh-CN"/>
        </w:rPr>
        <w:t xml:space="preserve">    </w:t>
      </w:r>
      <w:r>
        <w:rPr>
          <w:rFonts w:hint="eastAsia" w:ascii="宋体" w:hAnsi="宋体" w:eastAsia="宋体" w:cs="宋体"/>
          <w:color w:val="auto"/>
          <w:spacing w:val="-10"/>
          <w:sz w:val="24"/>
          <w:szCs w:val="24"/>
          <w:highlight w:val="none"/>
        </w:rPr>
        <w:t>月</w:t>
      </w:r>
      <w:r>
        <w:rPr>
          <w:rFonts w:hint="eastAsia" w:ascii="宋体" w:hAnsi="宋体" w:eastAsia="宋体" w:cs="宋体"/>
          <w:color w:val="auto"/>
          <w:spacing w:val="-10"/>
          <w:sz w:val="24"/>
          <w:szCs w:val="24"/>
          <w:highlight w:val="none"/>
          <w:lang w:val="en-US" w:eastAsia="zh-CN"/>
        </w:rPr>
        <w:t xml:space="preserve">    </w:t>
      </w:r>
      <w:r>
        <w:rPr>
          <w:rFonts w:hint="eastAsia" w:ascii="宋体" w:hAnsi="宋体" w:eastAsia="宋体" w:cs="宋体"/>
          <w:color w:val="auto"/>
          <w:spacing w:val="-10"/>
          <w:sz w:val="24"/>
          <w:szCs w:val="24"/>
          <w:highlight w:val="none"/>
        </w:rPr>
        <w:t>日</w:t>
      </w:r>
    </w:p>
    <w:p w14:paraId="57ABBFDA">
      <w:pPr>
        <w:rPr>
          <w:rFonts w:hint="eastAsia" w:ascii="宋体" w:hAnsi="宋体" w:eastAsia="宋体" w:cs="宋体"/>
          <w:color w:val="auto"/>
          <w:spacing w:val="-10"/>
          <w:sz w:val="24"/>
          <w:szCs w:val="24"/>
          <w:highlight w:val="none"/>
        </w:rPr>
      </w:pPr>
      <w:r>
        <w:rPr>
          <w:rFonts w:hint="eastAsia" w:ascii="宋体" w:hAnsi="宋体" w:eastAsia="宋体" w:cs="宋体"/>
          <w:color w:val="auto"/>
          <w:spacing w:val="-10"/>
          <w:sz w:val="24"/>
          <w:szCs w:val="24"/>
          <w:highlight w:val="none"/>
        </w:rPr>
        <w:br w:type="page"/>
      </w:r>
    </w:p>
    <w:p w14:paraId="438A6A37">
      <w:pPr>
        <w:spacing w:line="240" w:lineRule="auto"/>
        <w:jc w:val="center"/>
        <w:rPr>
          <w:rFonts w:hint="eastAsia" w:ascii="宋体" w:hAnsi="宋体" w:eastAsia="宋体" w:cs="宋体"/>
          <w:b/>
          <w:bCs/>
          <w:color w:val="auto"/>
          <w:sz w:val="28"/>
          <w:szCs w:val="28"/>
        </w:rPr>
      </w:pPr>
      <w:r>
        <w:rPr>
          <w:rFonts w:hint="eastAsia" w:ascii="宋体" w:hAnsi="宋体" w:eastAsia="宋体" w:cs="宋体"/>
          <w:b/>
          <w:bCs/>
          <w:color w:val="auto"/>
          <w:sz w:val="28"/>
          <w:szCs w:val="28"/>
        </w:rPr>
        <w:t>关于符合本国产品标准的声明函</w:t>
      </w:r>
    </w:p>
    <w:p w14:paraId="70A5CA92">
      <w:pPr>
        <w:spacing w:line="240" w:lineRule="auto"/>
        <w:jc w:val="center"/>
        <w:rPr>
          <w:rFonts w:hint="eastAsia" w:ascii="宋体" w:hAnsi="宋体" w:eastAsia="宋体" w:cs="宋体"/>
          <w:b/>
          <w:bCs/>
          <w:color w:val="auto"/>
          <w:sz w:val="24"/>
          <w:szCs w:val="24"/>
        </w:rPr>
      </w:pPr>
    </w:p>
    <w:p w14:paraId="122AEB3E">
      <w:pPr>
        <w:keepNext w:val="0"/>
        <w:keepLines w:val="0"/>
        <w:pageBreakBefore w:val="0"/>
        <w:widowControl w:val="0"/>
        <w:kinsoku/>
        <w:wordWrap/>
        <w:overflowPunct/>
        <w:topLinePunct w:val="0"/>
        <w:autoSpaceDE/>
        <w:autoSpaceDN/>
        <w:bidi w:val="0"/>
        <w:adjustRightInd/>
        <w:snapToGrid/>
        <w:spacing w:line="360" w:lineRule="auto"/>
        <w:ind w:firstLine="484" w:firstLineChars="200"/>
        <w:textAlignment w:val="auto"/>
        <w:rPr>
          <w:rFonts w:hint="eastAsia" w:ascii="宋体" w:hAnsi="宋体" w:eastAsia="宋体" w:cs="宋体"/>
          <w:color w:val="auto"/>
          <w:w w:val="101"/>
          <w:kern w:val="2"/>
          <w:sz w:val="24"/>
          <w:szCs w:val="24"/>
          <w:highlight w:val="none"/>
          <w:lang w:val="en-US" w:eastAsia="zh-CN" w:bidi="ar-SA"/>
        </w:rPr>
      </w:pPr>
      <w:r>
        <w:rPr>
          <w:rFonts w:hint="eastAsia" w:ascii="宋体" w:hAnsi="宋体" w:eastAsia="宋体" w:cs="宋体"/>
          <w:color w:val="auto"/>
          <w:w w:val="101"/>
          <w:kern w:val="2"/>
          <w:sz w:val="24"/>
          <w:szCs w:val="24"/>
          <w:highlight w:val="none"/>
          <w:lang w:val="en-US" w:eastAsia="zh-CN" w:bidi="ar-SA"/>
        </w:rPr>
        <w:t>本公司（单位）郑重声明，根据《国务院办公厅关于在政府采购中实施本国产品标准及相关政策的通知》（国办发〔2025〕34号）的规定，本公司（单位）提供的以下产品属于本国产品。具体情况如下：</w:t>
      </w:r>
    </w:p>
    <w:p w14:paraId="6F3AE17B">
      <w:pPr>
        <w:keepNext w:val="0"/>
        <w:keepLines w:val="0"/>
        <w:pageBreakBefore w:val="0"/>
        <w:widowControl w:val="0"/>
        <w:kinsoku/>
        <w:wordWrap/>
        <w:overflowPunct/>
        <w:topLinePunct w:val="0"/>
        <w:autoSpaceDE/>
        <w:autoSpaceDN/>
        <w:bidi w:val="0"/>
        <w:adjustRightInd/>
        <w:snapToGrid/>
        <w:spacing w:line="360" w:lineRule="auto"/>
        <w:ind w:firstLine="484" w:firstLineChars="200"/>
        <w:textAlignment w:val="auto"/>
        <w:rPr>
          <w:rFonts w:hint="eastAsia" w:ascii="宋体" w:hAnsi="宋体" w:eastAsia="宋体" w:cs="宋体"/>
          <w:color w:val="auto"/>
          <w:w w:val="101"/>
          <w:kern w:val="2"/>
          <w:sz w:val="24"/>
          <w:szCs w:val="24"/>
          <w:highlight w:val="none"/>
          <w:lang w:val="en-US" w:eastAsia="zh-CN" w:bidi="ar-SA"/>
        </w:rPr>
      </w:pPr>
      <w:r>
        <w:rPr>
          <w:rFonts w:hint="eastAsia" w:ascii="宋体" w:hAnsi="宋体" w:eastAsia="宋体" w:cs="宋体"/>
          <w:color w:val="auto"/>
          <w:w w:val="101"/>
          <w:kern w:val="2"/>
          <w:sz w:val="24"/>
          <w:szCs w:val="24"/>
          <w:highlight w:val="none"/>
          <w:lang w:val="en-US" w:eastAsia="zh-CN" w:bidi="ar-SA"/>
        </w:rPr>
        <w:t xml:space="preserve">XXX. XXX， ⽣产⼚为 XXX， ⼚址为 XXX。 XXX 的中国境内⽣产的组件成本占⽐≥ </w:t>
      </w:r>
      <w:r>
        <w:rPr>
          <w:rFonts w:hint="eastAsia" w:ascii="宋体" w:hAnsi="宋体" w:cs="宋体"/>
          <w:color w:val="auto"/>
          <w:w w:val="101"/>
          <w:kern w:val="2"/>
          <w:sz w:val="24"/>
          <w:szCs w:val="24"/>
          <w:highlight w:val="none"/>
          <w:lang w:val="en-US" w:eastAsia="zh-CN" w:bidi="ar-SA"/>
        </w:rPr>
        <w:t xml:space="preserve">    </w:t>
      </w:r>
      <w:r>
        <w:rPr>
          <w:rFonts w:hint="eastAsia" w:ascii="宋体" w:hAnsi="宋体" w:eastAsia="宋体" w:cs="宋体"/>
          <w:color w:val="auto"/>
          <w:w w:val="101"/>
          <w:kern w:val="2"/>
          <w:sz w:val="24"/>
          <w:szCs w:val="24"/>
          <w:highlight w:val="none"/>
          <w:lang w:val="en-US" w:eastAsia="zh-CN" w:bidi="ar-SA"/>
        </w:rPr>
        <w:t xml:space="preserve">。 XXX 的 </w:t>
      </w:r>
      <w:r>
        <w:rPr>
          <w:rFonts w:hint="eastAsia" w:ascii="宋体" w:hAnsi="宋体" w:cs="宋体"/>
          <w:color w:val="auto"/>
          <w:w w:val="101"/>
          <w:kern w:val="2"/>
          <w:sz w:val="24"/>
          <w:szCs w:val="24"/>
          <w:highlight w:val="none"/>
          <w:lang w:val="en-US" w:eastAsia="zh-CN" w:bidi="ar-SA"/>
        </w:rPr>
        <w:t xml:space="preserve">   </w:t>
      </w:r>
      <w:r>
        <w:rPr>
          <w:rFonts w:hint="eastAsia" w:ascii="宋体" w:hAnsi="宋体" w:eastAsia="宋体" w:cs="宋体"/>
          <w:color w:val="auto"/>
          <w:w w:val="101"/>
          <w:kern w:val="2"/>
          <w:sz w:val="24"/>
          <w:szCs w:val="24"/>
          <w:highlight w:val="none"/>
          <w:lang w:val="en-US" w:eastAsia="zh-CN" w:bidi="ar-SA"/>
        </w:rPr>
        <w:t xml:space="preserve"> 在中国境内⽣产。 XXX 的 </w:t>
      </w:r>
      <w:r>
        <w:rPr>
          <w:rFonts w:hint="eastAsia" w:ascii="宋体" w:hAnsi="宋体" w:cs="宋体"/>
          <w:color w:val="auto"/>
          <w:w w:val="101"/>
          <w:kern w:val="2"/>
          <w:sz w:val="24"/>
          <w:szCs w:val="24"/>
          <w:highlight w:val="none"/>
          <w:lang w:val="en-US" w:eastAsia="zh-CN" w:bidi="ar-SA"/>
        </w:rPr>
        <w:t xml:space="preserve">  </w:t>
      </w:r>
      <w:r>
        <w:rPr>
          <w:rFonts w:hint="eastAsia" w:ascii="宋体" w:hAnsi="宋体" w:eastAsia="宋体" w:cs="宋体"/>
          <w:color w:val="auto"/>
          <w:w w:val="101"/>
          <w:kern w:val="2"/>
          <w:sz w:val="24"/>
          <w:szCs w:val="24"/>
          <w:highlight w:val="none"/>
          <w:lang w:val="en-US" w:eastAsia="zh-CN" w:bidi="ar-SA"/>
        </w:rPr>
        <w:t xml:space="preserve"> 在中国境内完成。</w:t>
      </w:r>
    </w:p>
    <w:p w14:paraId="5535F998">
      <w:pPr>
        <w:keepNext w:val="0"/>
        <w:keepLines w:val="0"/>
        <w:pageBreakBefore w:val="0"/>
        <w:widowControl w:val="0"/>
        <w:kinsoku/>
        <w:wordWrap/>
        <w:overflowPunct/>
        <w:topLinePunct w:val="0"/>
        <w:autoSpaceDE/>
        <w:autoSpaceDN/>
        <w:bidi w:val="0"/>
        <w:adjustRightInd/>
        <w:snapToGrid/>
        <w:spacing w:line="360" w:lineRule="auto"/>
        <w:ind w:firstLine="484" w:firstLineChars="200"/>
        <w:textAlignment w:val="auto"/>
        <w:rPr>
          <w:rFonts w:hint="eastAsia" w:ascii="宋体" w:hAnsi="宋体" w:eastAsia="宋体" w:cs="宋体"/>
          <w:color w:val="auto"/>
          <w:w w:val="101"/>
          <w:kern w:val="2"/>
          <w:sz w:val="24"/>
          <w:szCs w:val="24"/>
          <w:highlight w:val="none"/>
          <w:lang w:val="en-US" w:eastAsia="zh-CN" w:bidi="ar-SA"/>
        </w:rPr>
      </w:pPr>
      <w:r>
        <w:rPr>
          <w:rFonts w:hint="eastAsia" w:ascii="宋体" w:hAnsi="宋体" w:eastAsia="宋体" w:cs="宋体"/>
          <w:color w:val="auto"/>
          <w:w w:val="101"/>
          <w:kern w:val="2"/>
          <w:sz w:val="24"/>
          <w:szCs w:val="24"/>
          <w:highlight w:val="none"/>
          <w:lang w:val="en-US" w:eastAsia="zh-CN" w:bidi="ar-SA"/>
        </w:rPr>
        <w:t>本公司（单位）对上述声明内容的真实性负责。如有虚假，愿承担相应法律责任。</w:t>
      </w:r>
    </w:p>
    <w:p w14:paraId="0C1B1F50">
      <w:pPr>
        <w:keepNext w:val="0"/>
        <w:keepLines w:val="0"/>
        <w:pageBreakBefore w:val="0"/>
        <w:widowControl w:val="0"/>
        <w:kinsoku/>
        <w:wordWrap/>
        <w:overflowPunct/>
        <w:topLinePunct w:val="0"/>
        <w:autoSpaceDE/>
        <w:autoSpaceDN/>
        <w:bidi w:val="0"/>
        <w:adjustRightInd/>
        <w:snapToGrid/>
        <w:spacing w:line="360" w:lineRule="auto"/>
        <w:ind w:firstLine="484" w:firstLineChars="200"/>
        <w:textAlignment w:val="auto"/>
        <w:rPr>
          <w:rFonts w:hint="eastAsia" w:ascii="宋体" w:hAnsi="宋体" w:eastAsia="宋体" w:cs="宋体"/>
          <w:color w:val="auto"/>
          <w:w w:val="101"/>
          <w:kern w:val="2"/>
          <w:sz w:val="24"/>
          <w:szCs w:val="24"/>
          <w:highlight w:val="none"/>
          <w:lang w:val="en-US" w:eastAsia="zh-CN" w:bidi="ar-SA"/>
        </w:rPr>
      </w:pPr>
    </w:p>
    <w:p w14:paraId="2CF3C8A3">
      <w:pPr>
        <w:keepNext w:val="0"/>
        <w:keepLines w:val="0"/>
        <w:pageBreakBefore w:val="0"/>
        <w:widowControl w:val="0"/>
        <w:kinsoku/>
        <w:wordWrap w:val="0"/>
        <w:overflowPunct/>
        <w:topLinePunct w:val="0"/>
        <w:autoSpaceDE/>
        <w:autoSpaceDN/>
        <w:bidi w:val="0"/>
        <w:adjustRightInd/>
        <w:snapToGrid/>
        <w:spacing w:line="360" w:lineRule="auto"/>
        <w:ind w:firstLine="484" w:firstLineChars="200"/>
        <w:jc w:val="right"/>
        <w:textAlignment w:val="auto"/>
        <w:rPr>
          <w:rFonts w:hint="default" w:ascii="宋体" w:hAnsi="宋体" w:eastAsia="宋体" w:cs="宋体"/>
          <w:color w:val="auto"/>
          <w:w w:val="101"/>
          <w:kern w:val="2"/>
          <w:sz w:val="24"/>
          <w:szCs w:val="24"/>
          <w:highlight w:val="none"/>
          <w:lang w:val="en-US" w:eastAsia="zh-CN" w:bidi="ar-SA"/>
        </w:rPr>
      </w:pPr>
      <w:r>
        <w:rPr>
          <w:rFonts w:hint="eastAsia" w:ascii="宋体" w:hAnsi="宋体" w:eastAsia="宋体" w:cs="宋体"/>
          <w:color w:val="auto"/>
          <w:w w:val="101"/>
          <w:kern w:val="2"/>
          <w:sz w:val="24"/>
          <w:szCs w:val="24"/>
          <w:highlight w:val="none"/>
          <w:lang w:val="en-US" w:eastAsia="zh-CN" w:bidi="ar-SA"/>
        </w:rPr>
        <w:t>投标人名称（盖章）：</w:t>
      </w:r>
      <w:r>
        <w:rPr>
          <w:rFonts w:hint="eastAsia" w:ascii="宋体" w:hAnsi="宋体" w:cs="宋体"/>
          <w:color w:val="auto"/>
          <w:w w:val="101"/>
          <w:kern w:val="2"/>
          <w:sz w:val="24"/>
          <w:szCs w:val="24"/>
          <w:highlight w:val="none"/>
          <w:lang w:val="en-US" w:eastAsia="zh-CN" w:bidi="ar-SA"/>
        </w:rPr>
        <w:t xml:space="preserve">            </w:t>
      </w:r>
    </w:p>
    <w:p w14:paraId="688EB6A4">
      <w:pPr>
        <w:keepNext w:val="0"/>
        <w:keepLines w:val="0"/>
        <w:pageBreakBefore w:val="0"/>
        <w:widowControl w:val="0"/>
        <w:kinsoku/>
        <w:wordWrap/>
        <w:overflowPunct/>
        <w:topLinePunct w:val="0"/>
        <w:autoSpaceDE/>
        <w:autoSpaceDN/>
        <w:bidi w:val="0"/>
        <w:adjustRightInd/>
        <w:snapToGrid/>
        <w:spacing w:line="360" w:lineRule="auto"/>
        <w:ind w:firstLine="484" w:firstLineChars="200"/>
        <w:jc w:val="right"/>
        <w:textAlignment w:val="auto"/>
        <w:rPr>
          <w:rFonts w:hint="eastAsia" w:ascii="宋体" w:hAnsi="宋体" w:eastAsia="宋体" w:cs="宋体"/>
          <w:color w:val="auto"/>
          <w:w w:val="101"/>
          <w:kern w:val="2"/>
          <w:sz w:val="24"/>
          <w:szCs w:val="24"/>
          <w:highlight w:val="none"/>
          <w:lang w:val="en-US" w:eastAsia="zh-CN" w:bidi="ar-SA"/>
        </w:rPr>
      </w:pPr>
      <w:r>
        <w:rPr>
          <w:rFonts w:hint="eastAsia" w:ascii="宋体" w:hAnsi="宋体" w:cs="宋体"/>
          <w:color w:val="auto"/>
          <w:w w:val="101"/>
          <w:kern w:val="2"/>
          <w:sz w:val="24"/>
          <w:szCs w:val="24"/>
          <w:highlight w:val="none"/>
          <w:lang w:val="en-US" w:eastAsia="zh-CN" w:bidi="ar-SA"/>
        </w:rPr>
        <w:t xml:space="preserve">     </w:t>
      </w:r>
      <w:r>
        <w:rPr>
          <w:rFonts w:hint="eastAsia" w:ascii="宋体" w:hAnsi="宋体" w:eastAsia="宋体" w:cs="宋体"/>
          <w:color w:val="auto"/>
          <w:w w:val="101"/>
          <w:kern w:val="2"/>
          <w:sz w:val="24"/>
          <w:szCs w:val="24"/>
          <w:highlight w:val="none"/>
          <w:lang w:val="en-US" w:eastAsia="zh-CN" w:bidi="ar-SA"/>
        </w:rPr>
        <w:t xml:space="preserve">年 </w:t>
      </w:r>
      <w:r>
        <w:rPr>
          <w:rFonts w:hint="eastAsia" w:ascii="宋体" w:hAnsi="宋体" w:cs="宋体"/>
          <w:color w:val="auto"/>
          <w:w w:val="101"/>
          <w:kern w:val="2"/>
          <w:sz w:val="24"/>
          <w:szCs w:val="24"/>
          <w:highlight w:val="none"/>
          <w:lang w:val="en-US" w:eastAsia="zh-CN" w:bidi="ar-SA"/>
        </w:rPr>
        <w:t xml:space="preserve">   </w:t>
      </w:r>
      <w:r>
        <w:rPr>
          <w:rFonts w:hint="eastAsia" w:ascii="宋体" w:hAnsi="宋体" w:eastAsia="宋体" w:cs="宋体"/>
          <w:color w:val="auto"/>
          <w:w w:val="101"/>
          <w:kern w:val="2"/>
          <w:sz w:val="24"/>
          <w:szCs w:val="24"/>
          <w:highlight w:val="none"/>
          <w:lang w:val="en-US" w:eastAsia="zh-CN" w:bidi="ar-SA"/>
        </w:rPr>
        <w:t xml:space="preserve">月    日 </w:t>
      </w:r>
    </w:p>
    <w:p w14:paraId="2A2C9FFB">
      <w:pPr>
        <w:spacing w:line="240" w:lineRule="auto"/>
        <w:rPr>
          <w:rFonts w:hint="eastAsia" w:ascii="宋体" w:hAnsi="宋体" w:eastAsia="宋体" w:cs="宋体"/>
          <w:color w:val="auto"/>
          <w:w w:val="101"/>
          <w:kern w:val="2"/>
          <w:sz w:val="24"/>
          <w:szCs w:val="24"/>
          <w:highlight w:val="none"/>
          <w:lang w:val="en-US" w:eastAsia="zh-CN" w:bidi="ar-SA"/>
        </w:rPr>
      </w:pPr>
    </w:p>
    <w:p w14:paraId="53AAE7E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mc:AlternateContent>
          <mc:Choice Requires="wpg">
            <w:drawing>
              <wp:anchor distT="0" distB="0" distL="0" distR="0" simplePos="0" relativeHeight="251667456" behindDoc="1" locked="0" layoutInCell="1" allowOverlap="1">
                <wp:simplePos x="0" y="0"/>
                <wp:positionH relativeFrom="page">
                  <wp:posOffset>666750</wp:posOffset>
                </wp:positionH>
                <wp:positionV relativeFrom="paragraph">
                  <wp:posOffset>36830</wp:posOffset>
                </wp:positionV>
                <wp:extent cx="6219825" cy="7620"/>
                <wp:effectExtent l="0" t="0" r="0" b="0"/>
                <wp:wrapNone/>
                <wp:docPr id="15" name="Group 4"/>
                <wp:cNvGraphicFramePr/>
                <a:graphic xmlns:a="http://schemas.openxmlformats.org/drawingml/2006/main">
                  <a:graphicData uri="http://schemas.microsoft.com/office/word/2010/wordprocessingGroup">
                    <wpg:wgp>
                      <wpg:cNvGrpSpPr/>
                      <wpg:grpSpPr>
                        <a:xfrm>
                          <a:off x="0" y="0"/>
                          <a:ext cx="6219825" cy="7620"/>
                          <a:chOff x="0" y="0"/>
                          <a:chExt cx="6219825" cy="7620"/>
                        </a:xfrm>
                      </wpg:grpSpPr>
                      <wps:wsp>
                        <wps:cNvPr id="16" name="Graphic 5"/>
                        <wps:cNvSpPr/>
                        <wps:spPr>
                          <a:xfrm>
                            <a:off x="-8" y="11"/>
                            <a:ext cx="6219825" cy="7620"/>
                          </a:xfrm>
                          <a:custGeom>
                            <a:avLst/>
                            <a:gdLst/>
                            <a:ahLst/>
                            <a:cxnLst/>
                            <a:rect l="l" t="t" r="r" b="b"/>
                            <a:pathLst>
                              <a:path w="6219825" h="7620">
                                <a:moveTo>
                                  <a:pt x="7620" y="0"/>
                                </a:moveTo>
                                <a:lnTo>
                                  <a:pt x="0" y="0"/>
                                </a:lnTo>
                                <a:lnTo>
                                  <a:pt x="0" y="7620"/>
                                </a:lnTo>
                                <a:lnTo>
                                  <a:pt x="7620" y="7620"/>
                                </a:lnTo>
                                <a:lnTo>
                                  <a:pt x="7620" y="0"/>
                                </a:lnTo>
                                <a:close/>
                              </a:path>
                              <a:path w="6219825" h="7620">
                                <a:moveTo>
                                  <a:pt x="6219660" y="0"/>
                                </a:moveTo>
                                <a:lnTo>
                                  <a:pt x="6212040" y="0"/>
                                </a:lnTo>
                                <a:lnTo>
                                  <a:pt x="6212040" y="7620"/>
                                </a:lnTo>
                                <a:lnTo>
                                  <a:pt x="6219660" y="7620"/>
                                </a:lnTo>
                                <a:lnTo>
                                  <a:pt x="6219660" y="0"/>
                                </a:lnTo>
                                <a:close/>
                              </a:path>
                            </a:pathLst>
                          </a:custGeom>
                          <a:solidFill>
                            <a:srgbClr val="CCCCCC"/>
                          </a:solidFill>
                        </wps:spPr>
                        <wps:bodyPr wrap="square" lIns="0" tIns="0" rIns="0" bIns="0" rtlCol="0">
                          <a:noAutofit/>
                        </wps:bodyPr>
                      </wps:wsp>
                      <wps:wsp>
                        <wps:cNvPr id="1" name="Graphic 6"/>
                        <wps:cNvSpPr/>
                        <wps:spPr>
                          <a:xfrm>
                            <a:off x="7622" y="3811"/>
                            <a:ext cx="6204585" cy="1270"/>
                          </a:xfrm>
                          <a:custGeom>
                            <a:avLst/>
                            <a:gdLst/>
                            <a:ahLst/>
                            <a:cxnLst/>
                            <a:rect l="l" t="t" r="r" b="b"/>
                            <a:pathLst>
                              <a:path w="6204585">
                                <a:moveTo>
                                  <a:pt x="0" y="0"/>
                                </a:moveTo>
                                <a:lnTo>
                                  <a:pt x="6204410" y="0"/>
                                </a:lnTo>
                              </a:path>
                            </a:pathLst>
                          </a:custGeom>
                          <a:ln w="7622">
                            <a:solidFill>
                              <a:srgbClr val="CCCCCC"/>
                            </a:solidFill>
                            <a:prstDash val="dash"/>
                          </a:ln>
                        </wps:spPr>
                        <wps:bodyPr wrap="square" lIns="0" tIns="0" rIns="0" bIns="0" rtlCol="0">
                          <a:noAutofit/>
                        </wps:bodyPr>
                      </wps:wsp>
                    </wpg:wgp>
                  </a:graphicData>
                </a:graphic>
              </wp:anchor>
            </w:drawing>
          </mc:Choice>
          <mc:Fallback>
            <w:pict>
              <v:group id="Group 4" o:spid="_x0000_s1026" o:spt="203" style="position:absolute;left:0pt;margin-left:52.5pt;margin-top:2.9pt;height:0.6pt;width:489.75pt;mso-position-horizontal-relative:page;z-index:-251649024;mso-width-relative:page;mso-height-relative:page;" coordsize="6219825,7620" o:gfxdata="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">
                <o:lock v:ext="edit" aspectratio="f"/>
                <v:shape id="Graphic 5" o:spid="_x0000_s1026" o:spt="100" style="position:absolute;left:-8;top:11;height:7620;width:6219825;" fillcolor="#CCCCCC" filled="t" stroked="f" coordsize="6219825,7620" o:gfxdata="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s7r0XvQAA&#10;ANsAAAAPAAAAAAAAAAEAIAAAACIAAABkcnMvZG93bnJldi54bWxQSwECFAAUAAAACACHTuJAMy8F&#10;njsAAAA5AAAAEAAAAAAAAAABACAAAAAMAQAAZHJzL3NoYXBleG1sLnhtbFBLBQYAAAAABgAGAFsB&#10;AAC2AwAAAAA=&#10;" path="m7620,0l0,0,0,7620,7620,7620,7620,0xem6219660,0l6212040,0,6212040,7620,6219660,7620,6219660,0xe">
                  <v:fill on="t" focussize="0,0"/>
                  <v:stroke on="f"/>
                  <v:imagedata o:title=""/>
                  <o:lock v:ext="edit" aspectratio="f"/>
                  <v:textbox inset="0mm,0mm,0mm,0mm"/>
                </v:shape>
                <v:shape id="Graphic 6" o:spid="_x0000_s1026" o:spt="100" style="position:absolute;left:7622;top:3811;height:1270;width:6204585;" filled="f" stroked="t" coordsize="6204585,1" o:gfxdata="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SqZs65AAAA2gAA&#10;AA8AAAAAAAAAAQAgAAAAIgAAAGRycy9kb3ducmV2LnhtbFBLAQIUABQAAAAIAIdO4kAzLwWeOwAA&#10;ADkAAAAQAAAAAAAAAAEAIAAAAAgBAABkcnMvc2hhcGV4bWwueG1sUEsFBgAAAAAGAAYAWwEAALID&#10;AAAAAA==&#10;" path="m0,0l6204410,0e">
                  <v:fill on="f" focussize="0,0"/>
                  <v:stroke weight="0.600157480314961pt" color="#CCCCCC" joinstyle="round" dashstyle="dash"/>
                  <v:imagedata o:title=""/>
                  <o:lock v:ext="edit" aspectratio="f"/>
                  <v:textbox inset="0mm,0mm,0mm,0mm"/>
                </v:shape>
              </v:group>
            </w:pict>
          </mc:Fallback>
        </mc:AlternateContent>
      </w:r>
      <w:r>
        <w:rPr>
          <w:rFonts w:hint="eastAsia" w:ascii="宋体" w:hAnsi="宋体" w:eastAsia="宋体" w:cs="宋体"/>
          <w:sz w:val="24"/>
          <w:szCs w:val="24"/>
        </w:rPr>
        <w:t>注：</w:t>
      </w:r>
    </w:p>
    <w:p w14:paraId="0FA8A3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产品如有型号，请在“产品名称”栏⼀并填写。</w:t>
      </w:r>
    </w:p>
    <w:p w14:paraId="1366C3B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⽣产⼚名与⼚址应与⽣产⼚营业执照载明的相关信息保持⼀致。</w:t>
      </w:r>
    </w:p>
    <w:p w14:paraId="41194BB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该产品的中国境内⽣产的组件成本占⽐相关要求实施前，“规定⽐例”栏可不填，下同。</w:t>
      </w:r>
    </w:p>
    <w:p w14:paraId="196FAEF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该产品的关键组件要求实施前，“关键组件”栏可不填，下同。</w:t>
      </w:r>
    </w:p>
    <w:p w14:paraId="7572798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该产品的关键⼯序要求实施前，“关键⼯序”栏可不填，下同。</w:t>
      </w:r>
    </w:p>
    <w:p w14:paraId="79067735">
      <w:pPr>
        <w:rPr>
          <w:rFonts w:hint="eastAsia" w:ascii="宋体" w:hAnsi="宋体" w:eastAsia="宋体" w:cs="宋体"/>
          <w:b/>
          <w:color w:val="auto"/>
          <w:spacing w:val="-3"/>
          <w:sz w:val="28"/>
          <w:szCs w:val="28"/>
        </w:rPr>
      </w:pPr>
    </w:p>
    <w:p w14:paraId="048D5AD1">
      <w:pPr>
        <w:rPr>
          <w:rFonts w:hint="eastAsia" w:ascii="宋体" w:hAnsi="宋体" w:eastAsia="宋体" w:cs="宋体"/>
          <w:b/>
          <w:color w:val="auto"/>
          <w:spacing w:val="-3"/>
          <w:sz w:val="28"/>
          <w:szCs w:val="28"/>
        </w:rPr>
      </w:pPr>
      <w:r>
        <w:rPr>
          <w:rFonts w:hint="eastAsia" w:ascii="宋体" w:hAnsi="宋体" w:eastAsia="宋体" w:cs="宋体"/>
          <w:b/>
          <w:color w:val="auto"/>
          <w:spacing w:val="-3"/>
          <w:sz w:val="28"/>
          <w:szCs w:val="28"/>
        </w:rPr>
        <w:br w:type="page"/>
      </w:r>
    </w:p>
    <w:p w14:paraId="49D5B5FA">
      <w:pPr>
        <w:spacing w:before="0" w:line="240" w:lineRule="auto"/>
        <w:ind w:left="0" w:right="17" w:firstLine="0"/>
        <w:jc w:val="center"/>
        <w:rPr>
          <w:rFonts w:hint="eastAsia" w:ascii="宋体" w:hAnsi="宋体" w:eastAsia="宋体" w:cs="宋体"/>
          <w:b/>
          <w:color w:val="auto"/>
          <w:sz w:val="28"/>
          <w:szCs w:val="28"/>
        </w:rPr>
      </w:pPr>
      <w:r>
        <w:rPr>
          <w:rFonts w:hint="eastAsia" w:ascii="宋体" w:hAnsi="宋体" w:eastAsia="宋体" w:cs="宋体"/>
          <w:b/>
          <w:color w:val="auto"/>
          <w:spacing w:val="-3"/>
          <w:sz w:val="28"/>
          <w:szCs w:val="28"/>
        </w:rPr>
        <w:t>本国产品成本⽐例声明表</w:t>
      </w:r>
    </w:p>
    <w:p w14:paraId="46D4D61C">
      <w:pPr>
        <w:pStyle w:val="8"/>
        <w:spacing w:before="306" w:line="240" w:lineRule="auto"/>
        <w:ind w:right="64"/>
        <w:jc w:val="right"/>
        <w:rPr>
          <w:rFonts w:hint="eastAsia" w:ascii="宋体" w:hAnsi="宋体" w:eastAsia="宋体" w:cs="宋体"/>
          <w:color w:val="auto"/>
          <w:sz w:val="24"/>
          <w:szCs w:val="24"/>
        </w:rPr>
      </w:pPr>
      <w:r>
        <w:rPr>
          <w:rFonts w:hint="eastAsia" w:ascii="宋体" w:hAnsi="宋体" w:eastAsia="宋体" w:cs="宋体"/>
          <w:color w:val="auto"/>
          <w:spacing w:val="-5"/>
          <w:w w:val="120"/>
          <w:sz w:val="24"/>
          <w:szCs w:val="24"/>
        </w:rPr>
        <w:t>XXX</w:t>
      </w:r>
    </w:p>
    <w:tbl>
      <w:tblPr>
        <w:tblStyle w:val="21"/>
        <w:tblpPr w:leftFromText="180" w:rightFromText="180" w:vertAnchor="text" w:horzAnchor="page" w:tblpX="1383" w:tblpY="631"/>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00"/>
        <w:gridCol w:w="3049"/>
        <w:gridCol w:w="3673"/>
        <w:gridCol w:w="2461"/>
      </w:tblGrid>
      <w:tr w14:paraId="457AB6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5" w:hRule="atLeast"/>
        </w:trPr>
        <w:tc>
          <w:tcPr>
            <w:tcW w:w="600" w:type="dxa"/>
            <w:tcBorders>
              <w:bottom w:val="single" w:color="333333" w:sz="6" w:space="0"/>
              <w:right w:val="single" w:color="333333" w:sz="6" w:space="0"/>
            </w:tcBorders>
          </w:tcPr>
          <w:p w14:paraId="59E3F676">
            <w:pPr>
              <w:pStyle w:val="30"/>
              <w:spacing w:before="127" w:line="240" w:lineRule="auto"/>
              <w:jc w:val="left"/>
              <w:rPr>
                <w:rFonts w:hint="eastAsia" w:ascii="宋体" w:hAnsi="宋体" w:eastAsia="宋体" w:cs="宋体"/>
                <w:color w:val="auto"/>
                <w:sz w:val="24"/>
                <w:szCs w:val="24"/>
              </w:rPr>
            </w:pPr>
          </w:p>
          <w:p w14:paraId="7BAB4B61">
            <w:pPr>
              <w:pStyle w:val="30"/>
              <w:spacing w:line="240" w:lineRule="auto"/>
              <w:ind w:left="11"/>
              <w:rPr>
                <w:rFonts w:hint="eastAsia" w:ascii="宋体" w:hAnsi="宋体" w:eastAsia="宋体" w:cs="宋体"/>
                <w:color w:val="auto"/>
                <w:sz w:val="24"/>
                <w:szCs w:val="24"/>
              </w:rPr>
            </w:pPr>
            <w:r>
              <w:rPr>
                <w:rFonts w:hint="eastAsia" w:ascii="宋体" w:hAnsi="宋体" w:eastAsia="宋体" w:cs="宋体"/>
                <w:color w:val="auto"/>
                <w:spacing w:val="-8"/>
                <w:sz w:val="24"/>
                <w:szCs w:val="24"/>
              </w:rPr>
              <w:t>序号</w:t>
            </w:r>
          </w:p>
        </w:tc>
        <w:tc>
          <w:tcPr>
            <w:tcW w:w="3049" w:type="dxa"/>
            <w:tcBorders>
              <w:left w:val="single" w:color="333333" w:sz="6" w:space="0"/>
              <w:bottom w:val="single" w:color="333333" w:sz="6" w:space="0"/>
              <w:right w:val="single" w:color="333333" w:sz="6" w:space="0"/>
            </w:tcBorders>
          </w:tcPr>
          <w:p w14:paraId="21604AFA">
            <w:pPr>
              <w:pStyle w:val="30"/>
              <w:spacing w:before="127" w:line="240" w:lineRule="auto"/>
              <w:jc w:val="left"/>
              <w:rPr>
                <w:rFonts w:hint="eastAsia" w:ascii="宋体" w:hAnsi="宋体" w:eastAsia="宋体" w:cs="宋体"/>
                <w:color w:val="auto"/>
                <w:sz w:val="24"/>
                <w:szCs w:val="24"/>
              </w:rPr>
            </w:pPr>
          </w:p>
          <w:p w14:paraId="08534BA4">
            <w:pPr>
              <w:pStyle w:val="30"/>
              <w:spacing w:line="240" w:lineRule="auto"/>
              <w:ind w:left="10"/>
              <w:rPr>
                <w:rFonts w:hint="eastAsia" w:ascii="宋体" w:hAnsi="宋体" w:eastAsia="宋体" w:cs="宋体"/>
                <w:color w:val="auto"/>
                <w:sz w:val="24"/>
                <w:szCs w:val="24"/>
              </w:rPr>
            </w:pPr>
            <w:r>
              <w:rPr>
                <w:rFonts w:hint="eastAsia" w:ascii="宋体" w:hAnsi="宋体" w:eastAsia="宋体" w:cs="宋体"/>
                <w:color w:val="auto"/>
                <w:spacing w:val="-7"/>
                <w:sz w:val="24"/>
                <w:szCs w:val="24"/>
              </w:rPr>
              <w:t>采购⽂件要求的产品名称</w:t>
            </w:r>
          </w:p>
        </w:tc>
        <w:tc>
          <w:tcPr>
            <w:tcW w:w="3673" w:type="dxa"/>
            <w:tcBorders>
              <w:left w:val="single" w:color="333333" w:sz="6" w:space="0"/>
              <w:bottom w:val="single" w:color="333333" w:sz="6" w:space="0"/>
              <w:right w:val="single" w:color="333333" w:sz="6" w:space="0"/>
            </w:tcBorders>
          </w:tcPr>
          <w:p w14:paraId="46879296">
            <w:pPr>
              <w:pStyle w:val="30"/>
              <w:spacing w:before="72" w:line="240" w:lineRule="auto"/>
              <w:ind w:left="16"/>
              <w:rPr>
                <w:rFonts w:hint="eastAsia" w:ascii="宋体" w:hAnsi="宋体" w:eastAsia="宋体" w:cs="宋体"/>
                <w:color w:val="auto"/>
                <w:sz w:val="24"/>
                <w:szCs w:val="24"/>
              </w:rPr>
            </w:pPr>
            <w:r>
              <w:rPr>
                <w:rFonts w:hint="eastAsia" w:ascii="宋体" w:hAnsi="宋体" w:cs="宋体"/>
                <w:color w:val="auto"/>
                <w:spacing w:val="-6"/>
                <w:sz w:val="24"/>
                <w:szCs w:val="24"/>
                <w:lang w:eastAsia="zh-CN"/>
              </w:rPr>
              <w:t>投标文件</w:t>
            </w:r>
            <w:r>
              <w:rPr>
                <w:rFonts w:hint="eastAsia" w:ascii="宋体" w:hAnsi="宋体" w:eastAsia="宋体" w:cs="宋体"/>
                <w:color w:val="auto"/>
                <w:spacing w:val="-6"/>
                <w:sz w:val="24"/>
                <w:szCs w:val="24"/>
              </w:rPr>
              <w:t>中响应的主要产品/技术名称（</w:t>
            </w:r>
            <w:r>
              <w:rPr>
                <w:rFonts w:hint="eastAsia" w:ascii="宋体" w:hAnsi="宋体" w:eastAsia="宋体" w:cs="宋体"/>
                <w:color w:val="auto"/>
                <w:spacing w:val="-7"/>
                <w:sz w:val="24"/>
                <w:szCs w:val="24"/>
              </w:rPr>
              <w:t>规格型号</w:t>
            </w:r>
          </w:p>
          <w:p w14:paraId="74225152">
            <w:pPr>
              <w:pStyle w:val="30"/>
              <w:spacing w:before="192" w:line="240" w:lineRule="auto"/>
              <w:ind w:left="16" w:right="4"/>
              <w:rPr>
                <w:rFonts w:hint="eastAsia" w:ascii="宋体" w:hAnsi="宋体" w:eastAsia="宋体" w:cs="宋体"/>
                <w:color w:val="auto"/>
                <w:sz w:val="24"/>
                <w:szCs w:val="24"/>
              </w:rPr>
            </w:pPr>
            <w:r>
              <w:rPr>
                <w:rFonts w:hint="eastAsia" w:ascii="宋体" w:hAnsi="宋体" w:eastAsia="宋体" w:cs="宋体"/>
                <w:color w:val="auto"/>
                <w:spacing w:val="-10"/>
                <w:sz w:val="24"/>
                <w:szCs w:val="24"/>
              </w:rPr>
              <w:t>）</w:t>
            </w:r>
          </w:p>
        </w:tc>
        <w:tc>
          <w:tcPr>
            <w:tcW w:w="2461" w:type="dxa"/>
            <w:tcBorders>
              <w:left w:val="single" w:color="333333" w:sz="6" w:space="0"/>
              <w:bottom w:val="single" w:color="333333" w:sz="6" w:space="0"/>
            </w:tcBorders>
          </w:tcPr>
          <w:p w14:paraId="6E00AA2F">
            <w:pPr>
              <w:pStyle w:val="30"/>
              <w:spacing w:before="127" w:line="240" w:lineRule="auto"/>
              <w:jc w:val="left"/>
              <w:rPr>
                <w:rFonts w:hint="eastAsia" w:ascii="宋体" w:hAnsi="宋体" w:eastAsia="宋体" w:cs="宋体"/>
                <w:color w:val="auto"/>
                <w:sz w:val="24"/>
                <w:szCs w:val="24"/>
              </w:rPr>
            </w:pPr>
          </w:p>
          <w:p w14:paraId="54557074">
            <w:pPr>
              <w:pStyle w:val="30"/>
              <w:spacing w:line="240" w:lineRule="auto"/>
              <w:ind w:left="9"/>
              <w:rPr>
                <w:rFonts w:hint="eastAsia" w:ascii="宋体" w:hAnsi="宋体" w:eastAsia="宋体" w:cs="宋体"/>
                <w:color w:val="auto"/>
                <w:sz w:val="24"/>
                <w:szCs w:val="24"/>
              </w:rPr>
            </w:pPr>
            <w:r>
              <w:rPr>
                <w:rFonts w:hint="eastAsia" w:ascii="宋体" w:hAnsi="宋体" w:eastAsia="宋体" w:cs="宋体"/>
                <w:color w:val="auto"/>
                <w:spacing w:val="-7"/>
                <w:sz w:val="24"/>
                <w:szCs w:val="24"/>
              </w:rPr>
              <w:t>响应的产品是否为本国产品</w:t>
            </w:r>
          </w:p>
        </w:tc>
      </w:tr>
      <w:tr w14:paraId="369EA8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41" w:hRule="atLeast"/>
        </w:trPr>
        <w:tc>
          <w:tcPr>
            <w:tcW w:w="600" w:type="dxa"/>
            <w:tcBorders>
              <w:top w:val="single" w:color="333333" w:sz="6" w:space="0"/>
              <w:right w:val="single" w:color="333333" w:sz="6" w:space="0"/>
            </w:tcBorders>
          </w:tcPr>
          <w:p w14:paraId="569B886D">
            <w:pPr>
              <w:pStyle w:val="30"/>
              <w:spacing w:line="240" w:lineRule="auto"/>
              <w:jc w:val="both"/>
              <w:rPr>
                <w:rFonts w:hint="eastAsia" w:ascii="宋体" w:hAnsi="宋体" w:eastAsia="宋体" w:cs="宋体"/>
                <w:color w:val="auto"/>
                <w:sz w:val="24"/>
                <w:szCs w:val="24"/>
              </w:rPr>
            </w:pPr>
            <w:r>
              <w:rPr>
                <w:rFonts w:hint="eastAsia" w:ascii="宋体" w:hAnsi="宋体" w:eastAsia="宋体" w:cs="宋体"/>
                <w:color w:val="auto"/>
                <w:spacing w:val="-10"/>
                <w:w w:val="120"/>
                <w:sz w:val="24"/>
                <w:szCs w:val="24"/>
              </w:rPr>
              <w:t>1</w:t>
            </w:r>
          </w:p>
        </w:tc>
        <w:tc>
          <w:tcPr>
            <w:tcW w:w="3049" w:type="dxa"/>
            <w:tcBorders>
              <w:top w:val="single" w:color="333333" w:sz="6" w:space="0"/>
              <w:left w:val="single" w:color="333333" w:sz="6" w:space="0"/>
              <w:right w:val="single" w:color="333333" w:sz="6" w:space="0"/>
            </w:tcBorders>
          </w:tcPr>
          <w:p w14:paraId="0BCBCC90">
            <w:pPr>
              <w:pStyle w:val="30"/>
              <w:spacing w:line="240" w:lineRule="auto"/>
              <w:ind w:right="1"/>
              <w:jc w:val="both"/>
              <w:rPr>
                <w:rFonts w:hint="eastAsia" w:ascii="宋体" w:hAnsi="宋体" w:eastAsia="宋体" w:cs="宋体"/>
                <w:color w:val="auto"/>
                <w:sz w:val="24"/>
                <w:szCs w:val="24"/>
              </w:rPr>
            </w:pPr>
          </w:p>
        </w:tc>
        <w:tc>
          <w:tcPr>
            <w:tcW w:w="3673" w:type="dxa"/>
            <w:tcBorders>
              <w:top w:val="single" w:color="333333" w:sz="6" w:space="0"/>
              <w:left w:val="single" w:color="333333" w:sz="6" w:space="0"/>
              <w:right w:val="single" w:color="333333" w:sz="6" w:space="0"/>
            </w:tcBorders>
          </w:tcPr>
          <w:p w14:paraId="7297F30B">
            <w:pPr>
              <w:pStyle w:val="30"/>
              <w:spacing w:line="240" w:lineRule="auto"/>
              <w:ind w:right="7"/>
              <w:jc w:val="both"/>
              <w:rPr>
                <w:rFonts w:hint="eastAsia" w:ascii="宋体" w:hAnsi="宋体" w:eastAsia="宋体" w:cs="宋体"/>
                <w:color w:val="auto"/>
                <w:sz w:val="24"/>
                <w:szCs w:val="24"/>
              </w:rPr>
            </w:pPr>
          </w:p>
        </w:tc>
        <w:tc>
          <w:tcPr>
            <w:tcW w:w="2461" w:type="dxa"/>
            <w:tcBorders>
              <w:top w:val="single" w:color="333333" w:sz="6" w:space="0"/>
              <w:left w:val="single" w:color="333333" w:sz="6" w:space="0"/>
            </w:tcBorders>
          </w:tcPr>
          <w:p w14:paraId="6DC85656">
            <w:pPr>
              <w:pStyle w:val="30"/>
              <w:spacing w:line="240" w:lineRule="auto"/>
              <w:ind w:right="1"/>
              <w:jc w:val="both"/>
              <w:rPr>
                <w:rFonts w:hint="eastAsia" w:ascii="宋体" w:hAnsi="宋体" w:eastAsia="宋体" w:cs="宋体"/>
                <w:color w:val="auto"/>
                <w:sz w:val="24"/>
                <w:szCs w:val="24"/>
              </w:rPr>
            </w:pPr>
          </w:p>
        </w:tc>
      </w:tr>
      <w:tr w14:paraId="61C953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1" w:hRule="atLeast"/>
        </w:trPr>
        <w:tc>
          <w:tcPr>
            <w:tcW w:w="9783" w:type="dxa"/>
            <w:gridSpan w:val="4"/>
            <w:tcBorders>
              <w:left w:val="single" w:color="333333" w:sz="6" w:space="0"/>
              <w:bottom w:val="single" w:color="333333" w:sz="6" w:space="0"/>
              <w:right w:val="single" w:color="333333" w:sz="6" w:space="0"/>
            </w:tcBorders>
          </w:tcPr>
          <w:p w14:paraId="7C878AC7">
            <w:pPr>
              <w:pStyle w:val="30"/>
              <w:spacing w:before="72" w:line="240" w:lineRule="auto"/>
              <w:ind w:left="6126"/>
              <w:jc w:val="left"/>
              <w:rPr>
                <w:rFonts w:hint="eastAsia" w:ascii="宋体" w:hAnsi="宋体" w:eastAsia="宋体" w:cs="宋体"/>
                <w:color w:val="auto"/>
                <w:sz w:val="24"/>
                <w:szCs w:val="24"/>
              </w:rPr>
            </w:pPr>
            <w:r>
              <w:rPr>
                <w:rFonts w:hint="eastAsia" w:ascii="宋体" w:hAnsi="宋体" w:eastAsia="宋体" w:cs="宋体"/>
                <w:color w:val="auto"/>
                <w:spacing w:val="-6"/>
                <w:sz w:val="24"/>
                <w:szCs w:val="24"/>
              </w:rPr>
              <w:t>本国产品在产品总成本中占⽐合计（%）：XXX</w:t>
            </w:r>
          </w:p>
        </w:tc>
      </w:tr>
    </w:tbl>
    <w:p w14:paraId="415529E7">
      <w:pPr>
        <w:pStyle w:val="8"/>
        <w:spacing w:before="121" w:line="240" w:lineRule="auto"/>
        <w:rPr>
          <w:rFonts w:hint="eastAsia" w:ascii="宋体" w:hAnsi="宋体" w:eastAsia="宋体" w:cs="宋体"/>
          <w:color w:val="auto"/>
          <w:sz w:val="24"/>
          <w:szCs w:val="24"/>
        </w:rPr>
      </w:pPr>
    </w:p>
    <w:p w14:paraId="4EEB3B2A">
      <w:pPr>
        <w:pStyle w:val="8"/>
        <w:tabs>
          <w:tab w:val="left" w:pos="9891"/>
        </w:tabs>
        <w:spacing w:line="240" w:lineRule="auto"/>
        <w:ind w:right="22"/>
        <w:jc w:val="left"/>
        <w:rPr>
          <w:rFonts w:hint="eastAsia" w:ascii="宋体" w:hAnsi="宋体" w:eastAsia="宋体" w:cs="宋体"/>
          <w:color w:val="auto"/>
          <w:spacing w:val="-2"/>
          <w:sz w:val="24"/>
          <w:szCs w:val="24"/>
          <w:highlight w:val="none"/>
        </w:rPr>
      </w:pPr>
    </w:p>
    <w:p w14:paraId="10771793">
      <w:pPr>
        <w:pStyle w:val="8"/>
        <w:tabs>
          <w:tab w:val="left" w:pos="9891"/>
        </w:tabs>
        <w:spacing w:line="240" w:lineRule="auto"/>
        <w:ind w:right="22"/>
        <w:jc w:val="left"/>
        <w:rPr>
          <w:rFonts w:hint="eastAsia" w:ascii="宋体" w:hAnsi="宋体" w:eastAsia="宋体" w:cs="宋体"/>
          <w:color w:val="auto"/>
          <w:sz w:val="24"/>
          <w:szCs w:val="24"/>
        </w:rPr>
      </w:pPr>
      <w:r>
        <w:rPr>
          <w:rFonts w:hint="eastAsia" w:ascii="宋体" w:hAnsi="宋体" w:eastAsia="宋体" w:cs="宋体"/>
          <w:color w:val="auto"/>
          <w:spacing w:val="-2"/>
          <w:sz w:val="24"/>
          <w:szCs w:val="24"/>
          <w:highlight w:val="none"/>
        </w:rPr>
        <w:t>投标人名称（盖章</w:t>
      </w:r>
      <w:r>
        <w:rPr>
          <w:rFonts w:hint="eastAsia" w:ascii="宋体" w:hAnsi="宋体" w:eastAsia="宋体" w:cs="宋体"/>
          <w:color w:val="auto"/>
          <w:spacing w:val="-5"/>
          <w:sz w:val="24"/>
          <w:szCs w:val="24"/>
          <w:highlight w:val="none"/>
        </w:rPr>
        <w:t>）：</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rPr>
        <w:t xml:space="preserve"> </w:t>
      </w:r>
    </w:p>
    <w:p w14:paraId="7D89ED8A">
      <w:pPr>
        <w:jc w:val="right"/>
        <w:rPr>
          <w:rFonts w:hint="eastAsia" w:ascii="宋体" w:hAnsi="宋体" w:eastAsia="宋体" w:cs="宋体"/>
          <w:color w:val="auto"/>
          <w:spacing w:val="-10"/>
          <w:sz w:val="24"/>
          <w:szCs w:val="24"/>
          <w:highlight w:val="none"/>
        </w:rPr>
      </w:pPr>
      <w:r>
        <w:rPr>
          <w:rFonts w:hint="eastAsia" w:ascii="宋体" w:hAnsi="宋体" w:eastAsia="宋体" w:cs="宋体"/>
          <w:color w:val="auto"/>
          <w:sz w:val="24"/>
          <w:szCs w:val="24"/>
          <w:highlight w:val="none"/>
        </w:rPr>
        <w:t>年</w:t>
      </w:r>
      <w:r>
        <w:rPr>
          <w:rFonts w:hint="eastAsia" w:ascii="宋体" w:hAnsi="宋体" w:eastAsia="宋体" w:cs="宋体"/>
          <w:color w:val="auto"/>
          <w:spacing w:val="79"/>
          <w:w w:val="150"/>
          <w:sz w:val="24"/>
          <w:szCs w:val="24"/>
          <w:highlight w:val="none"/>
        </w:rPr>
        <w:t xml:space="preserve"> </w:t>
      </w:r>
      <w:r>
        <w:rPr>
          <w:rFonts w:hint="eastAsia" w:ascii="宋体" w:hAnsi="宋体" w:eastAsia="宋体" w:cs="宋体"/>
          <w:color w:val="auto"/>
          <w:spacing w:val="-10"/>
          <w:sz w:val="24"/>
          <w:szCs w:val="24"/>
          <w:highlight w:val="none"/>
        </w:rPr>
        <w:t>月</w:t>
      </w:r>
      <w:r>
        <w:rPr>
          <w:rFonts w:hint="eastAsia" w:ascii="宋体" w:hAnsi="宋体" w:eastAsia="宋体" w:cs="宋体"/>
          <w:color w:val="auto"/>
          <w:spacing w:val="-10"/>
          <w:sz w:val="24"/>
          <w:szCs w:val="24"/>
          <w:highlight w:val="none"/>
          <w:lang w:val="en-US" w:eastAsia="zh-CN"/>
        </w:rPr>
        <w:t xml:space="preserve">    </w:t>
      </w:r>
      <w:r>
        <w:rPr>
          <w:rFonts w:hint="eastAsia" w:ascii="宋体" w:hAnsi="宋体" w:eastAsia="宋体" w:cs="宋体"/>
          <w:color w:val="auto"/>
          <w:spacing w:val="-10"/>
          <w:sz w:val="24"/>
          <w:szCs w:val="24"/>
          <w:highlight w:val="none"/>
        </w:rPr>
        <w:t>日</w:t>
      </w:r>
    </w:p>
    <w:p w14:paraId="066FD850">
      <w:pPr>
        <w:pStyle w:val="8"/>
        <w:spacing w:before="18" w:line="240" w:lineRule="auto"/>
        <w:rPr>
          <w:rFonts w:hint="eastAsia" w:ascii="宋体" w:hAnsi="宋体" w:eastAsia="宋体" w:cs="宋体"/>
          <w:color w:val="auto"/>
          <w:sz w:val="24"/>
          <w:szCs w:val="24"/>
        </w:rPr>
      </w:pPr>
    </w:p>
    <w:p w14:paraId="5F16DEE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mc:AlternateContent>
          <mc:Choice Requires="wpg">
            <w:drawing>
              <wp:anchor distT="0" distB="0" distL="0" distR="0" simplePos="0" relativeHeight="251666432" behindDoc="1" locked="0" layoutInCell="1" allowOverlap="1">
                <wp:simplePos x="0" y="0"/>
                <wp:positionH relativeFrom="page">
                  <wp:posOffset>666750</wp:posOffset>
                </wp:positionH>
                <wp:positionV relativeFrom="paragraph">
                  <wp:posOffset>36830</wp:posOffset>
                </wp:positionV>
                <wp:extent cx="6219825" cy="7620"/>
                <wp:effectExtent l="0" t="0" r="0" b="0"/>
                <wp:wrapNone/>
                <wp:docPr id="9" name="Group 1"/>
                <wp:cNvGraphicFramePr/>
                <a:graphic xmlns:a="http://schemas.openxmlformats.org/drawingml/2006/main">
                  <a:graphicData uri="http://schemas.microsoft.com/office/word/2010/wordprocessingGroup">
                    <wpg:wgp>
                      <wpg:cNvGrpSpPr/>
                      <wpg:grpSpPr>
                        <a:xfrm>
                          <a:off x="0" y="0"/>
                          <a:ext cx="6219825" cy="7620"/>
                          <a:chOff x="0" y="0"/>
                          <a:chExt cx="6219825" cy="7620"/>
                        </a:xfrm>
                      </wpg:grpSpPr>
                      <wps:wsp>
                        <wps:cNvPr id="10" name="Graphic 2"/>
                        <wps:cNvSpPr/>
                        <wps:spPr>
                          <a:xfrm>
                            <a:off x="-8" y="6"/>
                            <a:ext cx="6219825" cy="7620"/>
                          </a:xfrm>
                          <a:custGeom>
                            <a:avLst/>
                            <a:gdLst/>
                            <a:ahLst/>
                            <a:cxnLst/>
                            <a:rect l="l" t="t" r="r" b="b"/>
                            <a:pathLst>
                              <a:path w="6219825" h="7620">
                                <a:moveTo>
                                  <a:pt x="7620" y="0"/>
                                </a:moveTo>
                                <a:lnTo>
                                  <a:pt x="0" y="0"/>
                                </a:lnTo>
                                <a:lnTo>
                                  <a:pt x="0" y="7620"/>
                                </a:lnTo>
                                <a:lnTo>
                                  <a:pt x="7620" y="7620"/>
                                </a:lnTo>
                                <a:lnTo>
                                  <a:pt x="7620" y="0"/>
                                </a:lnTo>
                                <a:close/>
                              </a:path>
                              <a:path w="6219825" h="7620">
                                <a:moveTo>
                                  <a:pt x="6219660" y="0"/>
                                </a:moveTo>
                                <a:lnTo>
                                  <a:pt x="6212040" y="0"/>
                                </a:lnTo>
                                <a:lnTo>
                                  <a:pt x="6212040" y="7620"/>
                                </a:lnTo>
                                <a:lnTo>
                                  <a:pt x="6219660" y="7620"/>
                                </a:lnTo>
                                <a:lnTo>
                                  <a:pt x="6219660" y="0"/>
                                </a:lnTo>
                                <a:close/>
                              </a:path>
                            </a:pathLst>
                          </a:custGeom>
                          <a:solidFill>
                            <a:srgbClr val="CCCCCC"/>
                          </a:solidFill>
                        </wps:spPr>
                        <wps:bodyPr wrap="square" lIns="0" tIns="0" rIns="0" bIns="0" rtlCol="0">
                          <a:noAutofit/>
                        </wps:bodyPr>
                      </wps:wsp>
                      <wps:wsp>
                        <wps:cNvPr id="11" name="Graphic 3"/>
                        <wps:cNvSpPr/>
                        <wps:spPr>
                          <a:xfrm>
                            <a:off x="7622" y="3811"/>
                            <a:ext cx="6204585" cy="1270"/>
                          </a:xfrm>
                          <a:custGeom>
                            <a:avLst/>
                            <a:gdLst/>
                            <a:ahLst/>
                            <a:cxnLst/>
                            <a:rect l="l" t="t" r="r" b="b"/>
                            <a:pathLst>
                              <a:path w="6204585">
                                <a:moveTo>
                                  <a:pt x="0" y="0"/>
                                </a:moveTo>
                                <a:lnTo>
                                  <a:pt x="6204410" y="0"/>
                                </a:lnTo>
                              </a:path>
                            </a:pathLst>
                          </a:custGeom>
                          <a:ln w="7622">
                            <a:solidFill>
                              <a:srgbClr val="CCCCCC"/>
                            </a:solidFill>
                            <a:prstDash val="dash"/>
                          </a:ln>
                        </wps:spPr>
                        <wps:bodyPr wrap="square" lIns="0" tIns="0" rIns="0" bIns="0" rtlCol="0">
                          <a:noAutofit/>
                        </wps:bodyPr>
                      </wps:wsp>
                    </wpg:wgp>
                  </a:graphicData>
                </a:graphic>
              </wp:anchor>
            </w:drawing>
          </mc:Choice>
          <mc:Fallback>
            <w:pict>
              <v:group id="Group 1" o:spid="_x0000_s1026" o:spt="203" style="position:absolute;left:0pt;margin-left:52.5pt;margin-top:2.9pt;height:0.6pt;width:489.75pt;mso-position-horizontal-relative:page;z-index:-251650048;mso-width-relative:page;mso-height-relative:page;" coordsize="6219825,7620" o:gfxdata="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">
                <o:lock v:ext="edit" aspectratio="f"/>
                <v:shape id="Graphic 2" o:spid="_x0000_s1026" o:spt="100" style="position:absolute;left:-8;top:6;height:7620;width:6219825;" fillcolor="#CCCCCC" filled="t" stroked="f" coordsize="6219825,7620" o:gfxdata="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EuA+L4A&#10;AADbAAAADwAAAAAAAAABACAAAAAiAAAAZHJzL2Rvd25yZXYueG1sUEsBAhQAFAAAAAgAh07iQDMv&#10;BZ47AAAAOQAAABAAAAAAAAAAAQAgAAAADQEAAGRycy9zaGFwZXhtbC54bWxQSwUGAAAAAAYABgBb&#10;AQAAtwMAAAAA&#10;" path="m7620,0l0,0,0,7620,7620,7620,7620,0xem6219660,0l6212040,0,6212040,7620,6219660,7620,6219660,0xe">
                  <v:fill on="t" focussize="0,0"/>
                  <v:stroke on="f"/>
                  <v:imagedata o:title=""/>
                  <o:lock v:ext="edit" aspectratio="f"/>
                  <v:textbox inset="0mm,0mm,0mm,0mm"/>
                </v:shape>
                <v:shape id="Graphic 3" o:spid="_x0000_s1026" o:spt="100" style="position:absolute;left:7622;top:3811;height:1270;width:6204585;" filled="f" stroked="t" coordsize="6204585,1" o:gfxdata="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7pO6YugAAANsA&#10;AAAPAAAAAAAAAAEAIAAAACIAAABkcnMvZG93bnJldi54bWxQSwECFAAUAAAACACHTuJAMy8FnjsA&#10;AAA5AAAAEAAAAAAAAAABACAAAAAJAQAAZHJzL3NoYXBleG1sLnhtbFBLBQYAAAAABgAGAFsBAACz&#10;AwAAAAA=&#10;" path="m0,0l6204410,0e">
                  <v:fill on="f" focussize="0,0"/>
                  <v:stroke weight="0.600157480314961pt" color="#CCCCCC" joinstyle="round" dashstyle="dash"/>
                  <v:imagedata o:title=""/>
                  <o:lock v:ext="edit" aspectratio="f"/>
                  <v:textbox inset="0mm,0mm,0mm,0mm"/>
                </v:shape>
              </v:group>
            </w:pict>
          </mc:Fallback>
        </mc:AlternateContent>
      </w:r>
      <w:r>
        <w:rPr>
          <w:rFonts w:hint="eastAsia" w:ascii="宋体" w:hAnsi="宋体" w:eastAsia="宋体" w:cs="宋体"/>
          <w:sz w:val="24"/>
          <w:szCs w:val="24"/>
        </w:rPr>
        <w:t>注：</w:t>
      </w:r>
    </w:p>
    <w:p w14:paraId="40B4985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供应商提供本国产品应符合《国务院办公厅关于在政府采购中实施本国产品标准及相关政策的通知》（国办发〔2025〕34号），如后续有更新的，则以更新后的⽂件为准。且在《本国产品说明》表格对应“本国产品”、“⾮本国产品”栏中勾选，按照《中国境内⽣产的组件成本核算基本规则》（⻅下附件1）提供该产品报价在产品总成本中占⽐。</w:t>
      </w:r>
    </w:p>
    <w:p w14:paraId="561F25D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供应商须同时出具《关于符合本国产品标准的声明函》或财政部会同有关部⻔规定的有关证明⽂件。出具符合要求的《声明函》或有关证明⽂件的，该产品视为本国产品。</w:t>
      </w:r>
    </w:p>
    <w:p w14:paraId="0D09BE9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附件1：</w:t>
      </w:r>
    </w:p>
    <w:p w14:paraId="487E0D0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中国境内⽣产的组件成本核算基本规则</w:t>
      </w:r>
    </w:p>
    <w:p w14:paraId="28D40FB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产品在中国境内⽣产的组件成本，⼀般按照其⼆级组件的相关成本进⾏核算。按照产品的⼀级组件进⾏成本核算能够满⾜中国境内⽣产的组件成本判定需求的，可以按照⼀级组件的相关成本进⾏核算。</w:t>
      </w:r>
    </w:p>
    <w:p w14:paraId="462E3C3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⼀、产品的⼀级组件是指直接组成产品的组件。产品的⼆级组件是指直接组成产品⼀级组件的组件。⼀级组件不可分解的，视同</w:t>
      </w:r>
    </w:p>
    <w:p w14:paraId="7D61B8A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⼆级组件。</w:t>
      </w:r>
    </w:p>
    <w:p w14:paraId="37817DF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⼆、⼆级组件在中国境内⽣产的，其全部成本计⼊中国境内⽣产的组件成本；⼆级组件不在中国境内⽣产的，其成本不计⼊中国境内⽣产的组件成本。</w:t>
      </w:r>
    </w:p>
    <w:p w14:paraId="5BBADA1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三、</w:t>
      </w:r>
      <w:r>
        <w:rPr>
          <w:rFonts w:hint="eastAsia" w:ascii="宋体" w:hAnsi="宋体" w:eastAsia="宋体" w:cs="宋体"/>
          <w:sz w:val="24"/>
          <w:szCs w:val="24"/>
        </w:rPr>
        <w:t>产品总成本和组件成本以相关会计核算数据、采购合同、进货记录等为基础进⾏计算。</w:t>
      </w:r>
    </w:p>
    <w:p w14:paraId="6AE6B59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四、</w:t>
      </w:r>
      <w:r>
        <w:rPr>
          <w:rFonts w:hint="eastAsia" w:ascii="宋体" w:hAnsi="宋体" w:eastAsia="宋体" w:cs="宋体"/>
          <w:sz w:val="24"/>
          <w:szCs w:val="24"/>
        </w:rPr>
        <w:t>需要对成本核算规则予以进⼀步明确的其他有关事项，由财政部会同有关部⻔另⾏规定。</w:t>
      </w:r>
    </w:p>
    <w:p w14:paraId="11C9F68E">
      <w:pPr>
        <w:rPr>
          <w:rFonts w:hint="eastAsia" w:ascii="宋体" w:hAnsi="宋体" w:eastAsia="宋体" w:cs="宋体"/>
          <w:color w:val="auto"/>
          <w:spacing w:val="-7"/>
          <w:sz w:val="24"/>
          <w:szCs w:val="24"/>
        </w:rPr>
      </w:pPr>
      <w:r>
        <w:rPr>
          <w:rFonts w:hint="eastAsia" w:ascii="宋体" w:hAnsi="宋体" w:eastAsia="宋体" w:cs="宋体"/>
          <w:color w:val="auto"/>
          <w:spacing w:val="-7"/>
          <w:sz w:val="24"/>
          <w:szCs w:val="24"/>
        </w:rPr>
        <w:br w:type="page"/>
      </w:r>
    </w:p>
    <w:p w14:paraId="7F357A9D">
      <w:pPr>
        <w:pStyle w:val="2"/>
        <w:bidi w:val="0"/>
        <w:jc w:val="center"/>
        <w:rPr>
          <w:rFonts w:hint="default"/>
          <w:highlight w:val="none"/>
          <w:lang w:val="en-US" w:eastAsia="zh-CN"/>
        </w:rPr>
      </w:pPr>
      <w:bookmarkStart w:id="207" w:name="_Toc8940"/>
      <w:r>
        <w:rPr>
          <w:rFonts w:hint="eastAsia"/>
          <w:highlight w:val="none"/>
          <w:lang w:eastAsia="zh-CN"/>
        </w:rPr>
        <w:t>附件</w:t>
      </w:r>
      <w:r>
        <w:rPr>
          <w:rFonts w:hint="eastAsia"/>
          <w:highlight w:val="none"/>
          <w:lang w:val="en-US" w:eastAsia="zh-CN"/>
        </w:rPr>
        <w:t>-呼和浩特海关三层会议室设备清单</w:t>
      </w:r>
      <w:bookmarkEnd w:id="207"/>
    </w:p>
    <w:tbl>
      <w:tblPr>
        <w:tblStyle w:val="22"/>
        <w:tblW w:w="98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4"/>
        <w:gridCol w:w="1011"/>
        <w:gridCol w:w="5864"/>
        <w:gridCol w:w="736"/>
        <w:gridCol w:w="109"/>
        <w:gridCol w:w="641"/>
        <w:gridCol w:w="13"/>
        <w:gridCol w:w="105"/>
        <w:gridCol w:w="759"/>
      </w:tblGrid>
      <w:tr w14:paraId="4CBE9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802" w:type="dxa"/>
            <w:gridSpan w:val="9"/>
            <w:vAlign w:val="center"/>
          </w:tcPr>
          <w:p w14:paraId="03897A4F">
            <w:pPr>
              <w:keepNext w:val="0"/>
              <w:keepLines w:val="0"/>
              <w:widowControl/>
              <w:suppressLineNumbers w:val="0"/>
              <w:jc w:val="center"/>
              <w:textAlignment w:val="center"/>
              <w:rPr>
                <w:rFonts w:hint="eastAsia"/>
                <w:b/>
                <w:bCs/>
                <w:highlight w:val="none"/>
                <w:vertAlign w:val="baseline"/>
                <w:lang w:eastAsia="zh-CN"/>
              </w:rPr>
            </w:pPr>
            <w:r>
              <w:rPr>
                <w:rFonts w:hint="eastAsia" w:ascii="宋体" w:hAnsi="宋体" w:eastAsia="宋体" w:cs="宋体"/>
                <w:b/>
                <w:bCs/>
                <w:i w:val="0"/>
                <w:iCs w:val="0"/>
                <w:color w:val="000000"/>
                <w:kern w:val="0"/>
                <w:sz w:val="40"/>
                <w:szCs w:val="40"/>
                <w:highlight w:val="none"/>
                <w:u w:val="none"/>
                <w:lang w:val="en-US" w:eastAsia="zh-CN" w:bidi="ar"/>
              </w:rPr>
              <w:t>会议系统报价清单表</w:t>
            </w:r>
          </w:p>
        </w:tc>
      </w:tr>
      <w:tr w14:paraId="1F935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564" w:type="dxa"/>
            <w:vAlign w:val="center"/>
          </w:tcPr>
          <w:p w14:paraId="1267F26B">
            <w:pPr>
              <w:keepNext w:val="0"/>
              <w:keepLines w:val="0"/>
              <w:widowControl/>
              <w:suppressLineNumbers w:val="0"/>
              <w:jc w:val="center"/>
              <w:textAlignment w:val="center"/>
              <w:rPr>
                <w:rFonts w:hint="eastAsia"/>
                <w:b/>
                <w:bCs/>
                <w:highlight w:val="none"/>
                <w:vertAlign w:val="baseline"/>
                <w:lang w:eastAsia="zh-CN"/>
              </w:rPr>
            </w:pPr>
            <w:r>
              <w:rPr>
                <w:rFonts w:hint="eastAsia" w:ascii="宋体" w:hAnsi="宋体" w:eastAsia="宋体" w:cs="宋体"/>
                <w:b/>
                <w:bCs/>
                <w:i w:val="0"/>
                <w:iCs w:val="0"/>
                <w:color w:val="000000"/>
                <w:kern w:val="0"/>
                <w:sz w:val="20"/>
                <w:szCs w:val="20"/>
                <w:highlight w:val="none"/>
                <w:u w:val="none"/>
                <w:lang w:val="en-US" w:eastAsia="zh-CN" w:bidi="ar"/>
              </w:rPr>
              <w:t>序号</w:t>
            </w:r>
          </w:p>
        </w:tc>
        <w:tc>
          <w:tcPr>
            <w:tcW w:w="1011" w:type="dxa"/>
            <w:vAlign w:val="center"/>
          </w:tcPr>
          <w:p w14:paraId="644A51F9">
            <w:pPr>
              <w:keepNext w:val="0"/>
              <w:keepLines w:val="0"/>
              <w:widowControl/>
              <w:suppressLineNumbers w:val="0"/>
              <w:jc w:val="center"/>
              <w:textAlignment w:val="center"/>
              <w:rPr>
                <w:highlight w:val="none"/>
              </w:rPr>
            </w:pPr>
            <w:r>
              <w:rPr>
                <w:rFonts w:hint="eastAsia" w:ascii="宋体" w:hAnsi="宋体" w:eastAsia="宋体" w:cs="宋体"/>
                <w:b/>
                <w:bCs/>
                <w:i w:val="0"/>
                <w:iCs w:val="0"/>
                <w:color w:val="000000"/>
                <w:kern w:val="0"/>
                <w:sz w:val="20"/>
                <w:szCs w:val="20"/>
                <w:highlight w:val="none"/>
                <w:u w:val="none"/>
                <w:lang w:val="en-US" w:eastAsia="zh-CN" w:bidi="ar"/>
              </w:rPr>
              <w:t>产品名称</w:t>
            </w:r>
          </w:p>
        </w:tc>
        <w:tc>
          <w:tcPr>
            <w:tcW w:w="5864" w:type="dxa"/>
            <w:vAlign w:val="center"/>
          </w:tcPr>
          <w:p w14:paraId="6E72D207">
            <w:pPr>
              <w:keepNext w:val="0"/>
              <w:keepLines w:val="0"/>
              <w:widowControl/>
              <w:suppressLineNumbers w:val="0"/>
              <w:jc w:val="center"/>
              <w:textAlignment w:val="center"/>
              <w:rPr>
                <w:highlight w:val="none"/>
              </w:rPr>
            </w:pPr>
            <w:r>
              <w:rPr>
                <w:rFonts w:hint="eastAsia" w:ascii="宋体" w:hAnsi="宋体" w:eastAsia="宋体" w:cs="宋体"/>
                <w:b/>
                <w:bCs/>
                <w:i w:val="0"/>
                <w:iCs w:val="0"/>
                <w:color w:val="000000"/>
                <w:kern w:val="0"/>
                <w:sz w:val="20"/>
                <w:szCs w:val="20"/>
                <w:highlight w:val="none"/>
                <w:u w:val="none"/>
                <w:lang w:val="en-US" w:eastAsia="zh-CN" w:bidi="ar"/>
              </w:rPr>
              <w:t>产品规格</w:t>
            </w:r>
          </w:p>
        </w:tc>
        <w:tc>
          <w:tcPr>
            <w:tcW w:w="736" w:type="dxa"/>
            <w:vAlign w:val="center"/>
          </w:tcPr>
          <w:p w14:paraId="538C7EDB">
            <w:pPr>
              <w:keepNext w:val="0"/>
              <w:keepLines w:val="0"/>
              <w:widowControl/>
              <w:suppressLineNumbers w:val="0"/>
              <w:jc w:val="center"/>
              <w:textAlignment w:val="center"/>
              <w:rPr>
                <w:highlight w:val="none"/>
              </w:rPr>
            </w:pPr>
            <w:r>
              <w:rPr>
                <w:rFonts w:hint="eastAsia" w:ascii="宋体" w:hAnsi="宋体" w:eastAsia="宋体" w:cs="宋体"/>
                <w:b/>
                <w:bCs/>
                <w:i w:val="0"/>
                <w:iCs w:val="0"/>
                <w:color w:val="000000"/>
                <w:kern w:val="0"/>
                <w:sz w:val="20"/>
                <w:szCs w:val="20"/>
                <w:highlight w:val="none"/>
                <w:u w:val="none"/>
                <w:lang w:val="en-US" w:eastAsia="zh-CN" w:bidi="ar"/>
              </w:rPr>
              <w:t>数量</w:t>
            </w:r>
          </w:p>
        </w:tc>
        <w:tc>
          <w:tcPr>
            <w:tcW w:w="750" w:type="dxa"/>
            <w:gridSpan w:val="2"/>
            <w:vAlign w:val="center"/>
          </w:tcPr>
          <w:p w14:paraId="59B821C1">
            <w:pPr>
              <w:keepNext w:val="0"/>
              <w:keepLines w:val="0"/>
              <w:widowControl/>
              <w:suppressLineNumbers w:val="0"/>
              <w:jc w:val="center"/>
              <w:textAlignment w:val="center"/>
              <w:rPr>
                <w:rFonts w:hint="eastAsia"/>
                <w:b/>
                <w:bCs/>
                <w:highlight w:val="none"/>
                <w:vertAlign w:val="baseline"/>
                <w:lang w:eastAsia="zh-CN"/>
              </w:rPr>
            </w:pPr>
            <w:r>
              <w:rPr>
                <w:rFonts w:hint="eastAsia" w:ascii="宋体" w:hAnsi="宋体" w:eastAsia="宋体" w:cs="宋体"/>
                <w:b/>
                <w:bCs/>
                <w:i w:val="0"/>
                <w:iCs w:val="0"/>
                <w:color w:val="000000"/>
                <w:kern w:val="0"/>
                <w:sz w:val="20"/>
                <w:szCs w:val="20"/>
                <w:highlight w:val="none"/>
                <w:u w:val="none"/>
                <w:lang w:val="en-US" w:eastAsia="zh-CN" w:bidi="ar"/>
              </w:rPr>
              <w:t>单位</w:t>
            </w:r>
          </w:p>
        </w:tc>
        <w:tc>
          <w:tcPr>
            <w:tcW w:w="877" w:type="dxa"/>
            <w:gridSpan w:val="3"/>
            <w:vAlign w:val="center"/>
          </w:tcPr>
          <w:p w14:paraId="49442E61">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highlight w:val="none"/>
                <w:u w:val="none"/>
                <w:lang w:val="en-US" w:eastAsia="zh-CN" w:bidi="ar"/>
              </w:rPr>
            </w:pPr>
            <w:r>
              <w:rPr>
                <w:rFonts w:hint="eastAsia" w:ascii="宋体" w:hAnsi="宋体" w:cs="宋体"/>
                <w:b/>
                <w:bCs/>
                <w:i w:val="0"/>
                <w:iCs w:val="0"/>
                <w:color w:val="auto"/>
                <w:kern w:val="0"/>
                <w:sz w:val="20"/>
                <w:szCs w:val="20"/>
                <w:highlight w:val="none"/>
                <w:u w:val="none"/>
                <w:lang w:val="en-US" w:eastAsia="zh-CN" w:bidi="ar"/>
              </w:rPr>
              <w:t>是否是核心产品</w:t>
            </w:r>
          </w:p>
        </w:tc>
      </w:tr>
      <w:tr w14:paraId="6F28B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9802" w:type="dxa"/>
            <w:gridSpan w:val="9"/>
            <w:vAlign w:val="center"/>
          </w:tcPr>
          <w:p w14:paraId="39773821">
            <w:pPr>
              <w:jc w:val="both"/>
              <w:rPr>
                <w:rFonts w:hint="eastAsia"/>
                <w:b/>
                <w:bCs/>
                <w:highlight w:val="none"/>
                <w:vertAlign w:val="baseline"/>
                <w:lang w:eastAsia="zh-CN"/>
              </w:rPr>
            </w:pPr>
            <w:r>
              <w:rPr>
                <w:rFonts w:hint="eastAsia"/>
                <w:b/>
                <w:bCs/>
                <w:highlight w:val="none"/>
                <w:vertAlign w:val="baseline"/>
                <w:lang w:eastAsia="zh-CN"/>
              </w:rPr>
              <w:t>一、业务分析研判室（面积约16.3*8.6=140.18平米）</w:t>
            </w:r>
          </w:p>
        </w:tc>
      </w:tr>
      <w:tr w14:paraId="753EE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9802" w:type="dxa"/>
            <w:gridSpan w:val="9"/>
            <w:vAlign w:val="center"/>
          </w:tcPr>
          <w:p w14:paraId="011CEE8A">
            <w:pPr>
              <w:jc w:val="both"/>
              <w:rPr>
                <w:rFonts w:hint="eastAsia"/>
                <w:b/>
                <w:bCs/>
                <w:highlight w:val="none"/>
                <w:vertAlign w:val="baseline"/>
                <w:lang w:eastAsia="zh-CN"/>
              </w:rPr>
            </w:pPr>
            <w:r>
              <w:rPr>
                <w:rFonts w:hint="eastAsia"/>
                <w:b/>
                <w:bCs/>
                <w:highlight w:val="none"/>
                <w:vertAlign w:val="baseline"/>
                <w:lang w:eastAsia="zh-CN"/>
              </w:rPr>
              <w:t>1、LED显示系统</w:t>
            </w:r>
          </w:p>
        </w:tc>
      </w:tr>
      <w:tr w14:paraId="75EB9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9802" w:type="dxa"/>
            <w:gridSpan w:val="9"/>
            <w:vAlign w:val="center"/>
          </w:tcPr>
          <w:p w14:paraId="470BB5B8">
            <w:pPr>
              <w:jc w:val="left"/>
              <w:rPr>
                <w:rFonts w:hint="eastAsia"/>
                <w:b/>
                <w:bCs/>
                <w:highlight w:val="none"/>
                <w:vertAlign w:val="baseline"/>
                <w:lang w:eastAsia="zh-CN"/>
              </w:rPr>
            </w:pPr>
            <w:r>
              <w:rPr>
                <w:rFonts w:hint="eastAsia"/>
                <w:b/>
                <w:bCs/>
                <w:highlight w:val="none"/>
                <w:vertAlign w:val="baseline"/>
                <w:lang w:eastAsia="zh-CN"/>
              </w:rPr>
              <w:t>1.1</w:t>
            </w:r>
            <w:r>
              <w:rPr>
                <w:rFonts w:hint="eastAsia"/>
                <w:b/>
                <w:bCs/>
                <w:highlight w:val="none"/>
                <w:vertAlign w:val="baseline"/>
                <w:lang w:val="en-US" w:eastAsia="zh-CN"/>
              </w:rPr>
              <w:t xml:space="preserve"> </w:t>
            </w:r>
            <w:r>
              <w:rPr>
                <w:rFonts w:hint="eastAsia"/>
                <w:b/>
                <w:bCs/>
                <w:highlight w:val="none"/>
                <w:vertAlign w:val="baseline"/>
                <w:lang w:eastAsia="zh-CN"/>
              </w:rPr>
              <w:t>LED显示屏系统(显示屏净尺寸4.2m*2.3625m=9.9225平米，屏体分辨率：3360*1890,大屏功耗：4KW）</w:t>
            </w:r>
          </w:p>
        </w:tc>
      </w:tr>
      <w:tr w14:paraId="4B7D4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4" w:type="dxa"/>
            <w:vAlign w:val="center"/>
          </w:tcPr>
          <w:p w14:paraId="0EA34876">
            <w:pPr>
              <w:keepNext w:val="0"/>
              <w:keepLines w:val="0"/>
              <w:widowControl/>
              <w:suppressLineNumbers w:val="0"/>
              <w:jc w:val="center"/>
              <w:textAlignment w:val="center"/>
              <w:rPr>
                <w:rFonts w:hint="eastAsia"/>
                <w:highlight w:val="none"/>
                <w:vertAlign w:val="baseline"/>
                <w:lang w:eastAsia="zh-CN"/>
              </w:rPr>
            </w:pPr>
            <w:r>
              <w:rPr>
                <w:rFonts w:hint="eastAsia" w:ascii="宋体" w:hAnsi="宋体" w:eastAsia="宋体" w:cs="宋体"/>
                <w:i w:val="0"/>
                <w:iCs w:val="0"/>
                <w:color w:val="000000"/>
                <w:kern w:val="0"/>
                <w:sz w:val="20"/>
                <w:szCs w:val="20"/>
                <w:highlight w:val="none"/>
                <w:u w:val="none"/>
                <w:lang w:val="en-US" w:eastAsia="zh-CN" w:bidi="ar"/>
              </w:rPr>
              <w:t>1</w:t>
            </w:r>
          </w:p>
        </w:tc>
        <w:tc>
          <w:tcPr>
            <w:tcW w:w="1011" w:type="dxa"/>
            <w:vAlign w:val="center"/>
          </w:tcPr>
          <w:p w14:paraId="0BBCC25D">
            <w:pPr>
              <w:keepNext w:val="0"/>
              <w:keepLines w:val="0"/>
              <w:widowControl/>
              <w:suppressLineNumbers w:val="0"/>
              <w:jc w:val="both"/>
              <w:textAlignment w:val="center"/>
              <w:rPr>
                <w:rFonts w:hint="eastAsia" w:ascii="宋体" w:hAnsi="宋体" w:cs="宋体"/>
                <w:b/>
                <w:bCs/>
                <w:i w:val="0"/>
                <w:iCs w:val="0"/>
                <w:color w:val="000000"/>
                <w:kern w:val="0"/>
                <w:sz w:val="20"/>
                <w:szCs w:val="20"/>
                <w:highlight w:val="none"/>
                <w:u w:val="none"/>
                <w:lang w:val="en-US" w:eastAsia="zh-CN" w:bidi="ar"/>
              </w:rPr>
            </w:pPr>
            <w:r>
              <w:rPr>
                <w:rFonts w:hint="eastAsia" w:ascii="宋体" w:hAnsi="宋体" w:cs="宋体"/>
                <w:b/>
                <w:bCs/>
                <w:i w:val="0"/>
                <w:iCs w:val="0"/>
                <w:color w:val="000000"/>
                <w:kern w:val="0"/>
                <w:sz w:val="20"/>
                <w:szCs w:val="20"/>
                <w:highlight w:val="none"/>
                <w:u w:val="none"/>
                <w:lang w:val="en-US" w:eastAsia="zh-CN" w:bidi="ar"/>
              </w:rPr>
              <w:t>户内全彩LED屏</w:t>
            </w:r>
          </w:p>
        </w:tc>
        <w:tc>
          <w:tcPr>
            <w:tcW w:w="5864" w:type="dxa"/>
            <w:vAlign w:val="center"/>
          </w:tcPr>
          <w:p w14:paraId="008A8ADA">
            <w:pPr>
              <w:keepNext w:val="0"/>
              <w:keepLines w:val="0"/>
              <w:widowControl/>
              <w:suppressLineNumbers w:val="0"/>
              <w:jc w:val="left"/>
              <w:textAlignment w:val="center"/>
              <w:rPr>
                <w:rFonts w:hint="eastAsia"/>
                <w:highlight w:val="none"/>
                <w:vertAlign w:val="baseline"/>
                <w:lang w:eastAsia="zh-CN"/>
              </w:rPr>
            </w:pPr>
            <w:r>
              <w:rPr>
                <w:rStyle w:val="40"/>
                <w:highlight w:val="none"/>
                <w:lang w:val="en-US" w:eastAsia="zh-CN" w:bidi="ar"/>
              </w:rPr>
              <w:t>1.采用集成三合一COB全倒装共阴封装；</w:t>
            </w:r>
            <w:r>
              <w:rPr>
                <w:rStyle w:val="41"/>
                <w:highlight w:val="none"/>
                <w:lang w:val="en-US" w:eastAsia="zh-CN" w:bidi="ar"/>
              </w:rPr>
              <w:br w:type="textWrapping"/>
            </w:r>
            <w:r>
              <w:rPr>
                <w:rStyle w:val="41"/>
                <w:highlight w:val="none"/>
                <w:lang w:val="en-US" w:eastAsia="zh-CN" w:bidi="ar"/>
              </w:rPr>
              <w:t>2.采用≤1.25mm点间距，像素点密度≥640000点/m²；</w:t>
            </w:r>
            <w:r>
              <w:rPr>
                <w:rStyle w:val="41"/>
                <w:highlight w:val="none"/>
                <w:lang w:val="en-US" w:eastAsia="zh-CN" w:bidi="ar"/>
              </w:rPr>
              <w:br w:type="textWrapping"/>
            </w:r>
            <w:r>
              <w:rPr>
                <w:rStyle w:val="41"/>
                <w:highlight w:val="none"/>
                <w:lang w:val="en-US" w:eastAsia="zh-CN" w:bidi="ar"/>
              </w:rPr>
              <w:t>3.采用CNC一体成型压铸铝箱体；</w:t>
            </w:r>
            <w:r>
              <w:rPr>
                <w:rStyle w:val="41"/>
                <w:highlight w:val="none"/>
                <w:lang w:val="en-US" w:eastAsia="zh-CN" w:bidi="ar"/>
              </w:rPr>
              <w:br w:type="textWrapping"/>
            </w:r>
            <w:r>
              <w:rPr>
                <w:rStyle w:val="41"/>
                <w:highlight w:val="none"/>
                <w:lang w:val="en-US" w:eastAsia="zh-CN" w:bidi="ar"/>
              </w:rPr>
              <w:t>4.箱体尺寸≥600mm（宽）×337.5mm（高）；</w:t>
            </w:r>
            <w:r>
              <w:rPr>
                <w:rStyle w:val="41"/>
                <w:highlight w:val="none"/>
                <w:lang w:val="en-US" w:eastAsia="zh-CN" w:bidi="ar"/>
              </w:rPr>
              <w:br w:type="textWrapping"/>
            </w:r>
            <w:r>
              <w:rPr>
                <w:rStyle w:val="41"/>
                <w:highlight w:val="none"/>
                <w:lang w:val="en-US" w:eastAsia="zh-CN" w:bidi="ar"/>
              </w:rPr>
              <w:t>5.LED显示屏模组采用无塑料底壳套件设计，压铸铝箱体与PCB直接接触，PCB边缘直接接触压铸箱四边接触面可提高导热性能，相比较带塑胶套件底壳产品能更好的解决色彩漂移及保证因导热影响屏体加速老化减少使用寿命等现象；</w:t>
            </w:r>
            <w:r>
              <w:rPr>
                <w:rStyle w:val="41"/>
                <w:highlight w:val="none"/>
                <w:lang w:val="en-US" w:eastAsia="zh-CN" w:bidi="ar"/>
              </w:rPr>
              <w:br w:type="textWrapping"/>
            </w:r>
            <w:r>
              <w:rPr>
                <w:rStyle w:val="41"/>
                <w:highlight w:val="none"/>
                <w:lang w:val="en-US" w:eastAsia="zh-CN" w:bidi="ar"/>
              </w:rPr>
              <w:t>6.采用非接触式磁悬浮前维护设计，可正面拆卸模组、接收卡、电源等低压器件多次热插拔测试后都能正常工作；</w:t>
            </w:r>
            <w:r>
              <w:rPr>
                <w:rStyle w:val="41"/>
                <w:highlight w:val="none"/>
                <w:lang w:val="en-US" w:eastAsia="zh-CN" w:bidi="ar"/>
              </w:rPr>
              <w:br w:type="textWrapping"/>
            </w:r>
            <w:r>
              <w:rPr>
                <w:rStyle w:val="41"/>
                <w:highlight w:val="none"/>
                <w:lang w:val="en-US" w:eastAsia="zh-CN" w:bidi="ar"/>
              </w:rPr>
              <w:t>7.亮度可达到≥200-600cd/m²（可调），可通过配套软件0-100%多级调节，设置亮度定时调节；</w:t>
            </w:r>
            <w:r>
              <w:rPr>
                <w:rStyle w:val="41"/>
                <w:highlight w:val="none"/>
                <w:lang w:val="en-US" w:eastAsia="zh-CN" w:bidi="ar"/>
              </w:rPr>
              <w:br w:type="textWrapping"/>
            </w:r>
            <w:r>
              <w:rPr>
                <w:rStyle w:val="41"/>
                <w:highlight w:val="none"/>
                <w:lang w:val="en-US" w:eastAsia="zh-CN" w:bidi="ar"/>
              </w:rPr>
              <w:t>8.刷新频率≥3840Hz；</w:t>
            </w:r>
            <w:r>
              <w:rPr>
                <w:rStyle w:val="41"/>
                <w:highlight w:val="none"/>
                <w:lang w:val="en-US" w:eastAsia="zh-CN" w:bidi="ar"/>
              </w:rPr>
              <w:br w:type="textWrapping"/>
            </w:r>
            <w:r>
              <w:rPr>
                <w:rStyle w:val="41"/>
                <w:highlight w:val="none"/>
                <w:lang w:val="en-US" w:eastAsia="zh-CN" w:bidi="ar"/>
              </w:rPr>
              <w:t>9.平均功耗：≤104W/m²；</w:t>
            </w:r>
            <w:r>
              <w:rPr>
                <w:rStyle w:val="41"/>
                <w:highlight w:val="none"/>
                <w:lang w:val="en-US" w:eastAsia="zh-CN" w:bidi="ar"/>
              </w:rPr>
              <w:br w:type="textWrapping"/>
            </w:r>
            <w:r>
              <w:rPr>
                <w:rStyle w:val="41"/>
                <w:highlight w:val="none"/>
                <w:lang w:val="en-US" w:eastAsia="zh-CN" w:bidi="ar"/>
              </w:rPr>
              <w:t>10.LED显示屏色温100K-20000K连续可调，可设冷色、暖色、标准等多档白场调节,色温为8500K时，100%、75%、50%、25%四档电平白场调节色温误差≤100K；</w:t>
            </w:r>
            <w:r>
              <w:rPr>
                <w:rStyle w:val="41"/>
                <w:highlight w:val="none"/>
                <w:lang w:val="en-US" w:eastAsia="zh-CN" w:bidi="ar"/>
              </w:rPr>
              <w:br w:type="textWrapping"/>
            </w:r>
            <w:r>
              <w:rPr>
                <w:rStyle w:val="41"/>
                <w:highlight w:val="none"/>
                <w:lang w:val="en-US" w:eastAsia="zh-CN" w:bidi="ar"/>
              </w:rPr>
              <w:t>11.具备LED显示屏开关机次数、使用时长记录，可形成数据保存周期≥100天，并支持对现场温湿度的监测，可在控制软件端实时显示数据，方便用户了解现场屏体、环境温湿度数据情况；</w:t>
            </w:r>
            <w:r>
              <w:rPr>
                <w:rStyle w:val="41"/>
                <w:highlight w:val="none"/>
                <w:lang w:val="en-US" w:eastAsia="zh-CN" w:bidi="ar"/>
              </w:rPr>
              <w:br w:type="textWrapping"/>
            </w:r>
            <w:r>
              <w:rPr>
                <w:rStyle w:val="41"/>
                <w:highlight w:val="none"/>
                <w:lang w:val="en-US" w:eastAsia="zh-CN" w:bidi="ar"/>
              </w:rPr>
              <w:t>12.LED显示屏具备FLASH智能存储电路，可以储存模组校正数据，更换模组可自动回读校正数据，存储容量≥1MB；</w:t>
            </w:r>
            <w:r>
              <w:rPr>
                <w:rStyle w:val="41"/>
                <w:highlight w:val="none"/>
                <w:lang w:val="en-US" w:eastAsia="zh-CN" w:bidi="ar"/>
              </w:rPr>
              <w:br w:type="textWrapping"/>
            </w:r>
            <w:r>
              <w:rPr>
                <w:rStyle w:val="41"/>
                <w:highlight w:val="none"/>
                <w:lang w:val="en-US" w:eastAsia="zh-CN" w:bidi="ar"/>
              </w:rPr>
              <w:t>13.LED显示屏具备低蓝光模式，可在控制软件中选择30%，40%，70%三挡调节显示屏蓝光输出，有效减少蓝光辐射对眼睛的伤害；</w:t>
            </w:r>
            <w:r>
              <w:rPr>
                <w:rStyle w:val="41"/>
                <w:highlight w:val="none"/>
                <w:lang w:val="en-US" w:eastAsia="zh-CN" w:bidi="ar"/>
              </w:rPr>
              <w:br w:type="textWrapping"/>
            </w:r>
            <w:r>
              <w:rPr>
                <w:rStyle w:val="41"/>
                <w:highlight w:val="none"/>
                <w:lang w:val="en-US" w:eastAsia="zh-CN" w:bidi="ar"/>
              </w:rPr>
              <w:t>▲14.为保证系统兼容性、一致性以及售后便捷性，LED屏、会议主机、音频处理器、无线话筒、智慧物联中控系统须同一品牌</w:t>
            </w:r>
          </w:p>
        </w:tc>
        <w:tc>
          <w:tcPr>
            <w:tcW w:w="845" w:type="dxa"/>
            <w:gridSpan w:val="2"/>
            <w:vAlign w:val="center"/>
          </w:tcPr>
          <w:p w14:paraId="09504D17">
            <w:pPr>
              <w:keepNext w:val="0"/>
              <w:keepLines w:val="0"/>
              <w:widowControl/>
              <w:suppressLineNumbers w:val="0"/>
              <w:jc w:val="center"/>
              <w:textAlignment w:val="center"/>
              <w:rPr>
                <w:rFonts w:hint="eastAsia"/>
                <w:highlight w:val="none"/>
                <w:vertAlign w:val="baseline"/>
                <w:lang w:eastAsia="zh-CN"/>
              </w:rPr>
            </w:pPr>
            <w:r>
              <w:rPr>
                <w:rFonts w:hint="eastAsia" w:ascii="宋体" w:hAnsi="宋体" w:eastAsia="宋体" w:cs="宋体"/>
                <w:i w:val="0"/>
                <w:iCs w:val="0"/>
                <w:color w:val="000000"/>
                <w:kern w:val="0"/>
                <w:sz w:val="20"/>
                <w:szCs w:val="20"/>
                <w:highlight w:val="none"/>
                <w:u w:val="none"/>
                <w:lang w:val="en-US" w:eastAsia="zh-CN" w:bidi="ar"/>
              </w:rPr>
              <w:t>9.9225</w:t>
            </w:r>
          </w:p>
        </w:tc>
        <w:tc>
          <w:tcPr>
            <w:tcW w:w="641" w:type="dxa"/>
            <w:vAlign w:val="center"/>
          </w:tcPr>
          <w:p w14:paraId="5D3CF5C8">
            <w:pPr>
              <w:keepNext w:val="0"/>
              <w:keepLines w:val="0"/>
              <w:widowControl/>
              <w:suppressLineNumbers w:val="0"/>
              <w:jc w:val="center"/>
              <w:textAlignment w:val="center"/>
              <w:rPr>
                <w:rFonts w:hint="eastAsia"/>
                <w:highlight w:val="none"/>
                <w:vertAlign w:val="baseline"/>
                <w:lang w:eastAsia="zh-CN"/>
              </w:rPr>
            </w:pPr>
            <w:r>
              <w:rPr>
                <w:rFonts w:hint="eastAsia" w:ascii="宋体" w:hAnsi="宋体" w:eastAsia="宋体" w:cs="宋体"/>
                <w:i w:val="0"/>
                <w:iCs w:val="0"/>
                <w:color w:val="000000"/>
                <w:kern w:val="0"/>
                <w:sz w:val="20"/>
                <w:szCs w:val="20"/>
                <w:highlight w:val="none"/>
                <w:u w:val="none"/>
                <w:lang w:val="en-US" w:eastAsia="zh-CN" w:bidi="ar"/>
              </w:rPr>
              <w:t>平方米</w:t>
            </w:r>
          </w:p>
        </w:tc>
        <w:tc>
          <w:tcPr>
            <w:tcW w:w="877" w:type="dxa"/>
            <w:gridSpan w:val="3"/>
            <w:vAlign w:val="center"/>
          </w:tcPr>
          <w:p w14:paraId="09AAB1A0">
            <w:pPr>
              <w:keepNext w:val="0"/>
              <w:keepLines w:val="0"/>
              <w:widowControl/>
              <w:suppressLineNumbers w:val="0"/>
              <w:jc w:val="center"/>
              <w:textAlignment w:val="center"/>
              <w:rPr>
                <w:rFonts w:hint="default" w:ascii="宋体" w:hAnsi="宋体" w:cs="宋体"/>
                <w:b/>
                <w:bCs/>
                <w:i w:val="0"/>
                <w:iCs w:val="0"/>
                <w:color w:val="000000"/>
                <w:kern w:val="0"/>
                <w:sz w:val="20"/>
                <w:szCs w:val="20"/>
                <w:highlight w:val="none"/>
                <w:u w:val="none"/>
                <w:lang w:val="en-US" w:eastAsia="zh-CN" w:bidi="ar"/>
              </w:rPr>
            </w:pPr>
            <w:r>
              <w:rPr>
                <w:rFonts w:hint="eastAsia" w:ascii="宋体" w:hAnsi="宋体" w:cs="宋体"/>
                <w:b/>
                <w:bCs/>
                <w:i w:val="0"/>
                <w:iCs w:val="0"/>
                <w:color w:val="000000"/>
                <w:kern w:val="0"/>
                <w:sz w:val="20"/>
                <w:szCs w:val="20"/>
                <w:highlight w:val="none"/>
                <w:u w:val="none"/>
                <w:lang w:val="en-US" w:eastAsia="zh-CN" w:bidi="ar"/>
              </w:rPr>
              <w:t>是</w:t>
            </w:r>
          </w:p>
        </w:tc>
      </w:tr>
      <w:tr w14:paraId="2F2D9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4" w:type="dxa"/>
            <w:vAlign w:val="center"/>
          </w:tcPr>
          <w:p w14:paraId="331EFC00">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w:t>
            </w:r>
          </w:p>
        </w:tc>
        <w:tc>
          <w:tcPr>
            <w:tcW w:w="1011" w:type="dxa"/>
            <w:vAlign w:val="center"/>
          </w:tcPr>
          <w:p w14:paraId="6AB959FA">
            <w:pPr>
              <w:keepNext w:val="0"/>
              <w:keepLines w:val="0"/>
              <w:widowControl/>
              <w:suppressLineNumbers w:val="0"/>
              <w:jc w:val="both"/>
              <w:textAlignment w:val="center"/>
              <w:rPr>
                <w:rFonts w:hint="eastAsia" w:ascii="宋体" w:hAnsi="宋体" w:cs="宋体"/>
                <w:b/>
                <w:bCs/>
                <w:i w:val="0"/>
                <w:iCs w:val="0"/>
                <w:color w:val="000000"/>
                <w:kern w:val="0"/>
                <w:sz w:val="20"/>
                <w:szCs w:val="20"/>
                <w:highlight w:val="none"/>
                <w:u w:val="none"/>
                <w:lang w:val="en-US" w:eastAsia="zh-CN" w:bidi="ar"/>
              </w:rPr>
            </w:pPr>
            <w:r>
              <w:rPr>
                <w:rFonts w:hint="eastAsia" w:ascii="宋体" w:hAnsi="宋体" w:cs="宋体"/>
                <w:b/>
                <w:bCs/>
                <w:i w:val="0"/>
                <w:iCs w:val="0"/>
                <w:color w:val="000000"/>
                <w:kern w:val="0"/>
                <w:sz w:val="20"/>
                <w:szCs w:val="20"/>
                <w:highlight w:val="none"/>
                <w:u w:val="none"/>
                <w:lang w:val="en-US" w:eastAsia="zh-CN" w:bidi="ar"/>
              </w:rPr>
              <w:t>视频处理器</w:t>
            </w:r>
          </w:p>
        </w:tc>
        <w:tc>
          <w:tcPr>
            <w:tcW w:w="5864" w:type="dxa"/>
            <w:vAlign w:val="top"/>
          </w:tcPr>
          <w:p w14:paraId="4533DFEB">
            <w:pPr>
              <w:keepNext w:val="0"/>
              <w:keepLines w:val="0"/>
              <w:widowControl/>
              <w:suppressLineNumbers w:val="0"/>
              <w:jc w:val="left"/>
              <w:textAlignment w:val="top"/>
              <w:rPr>
                <w:rStyle w:val="40"/>
                <w:highlight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1.具备带载面积≥780万像素，宽度≥10240点，高度≥8192点；</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2.具备3.5mm音频输入输出接口；</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3.具备≥256个自定义场景保存和调用；</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4.具备≥6个独立窗口，窗口大小和位置可单独调节；</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5.具备OSD功能，可实现文字OSD或图片OSD功能；</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6.具备个性化的画面缩放模式，包括点对点模式、全屏缩放、自定义缩放；</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7.具备一键全屏缩放；</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8.具备≥1路HDMI2.0输入接口，≥2路HDMI 1.3输入接口；</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9.具备≥12路网口输出，≥1路HDMI 1.3输出接口，用于预监输出显示；</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10.具备微信小程序快捷控制，包括亮度调节、输出画质调节、待机模式、画面冻结、场景切换、U盘播放功能；</w:t>
            </w:r>
          </w:p>
        </w:tc>
        <w:tc>
          <w:tcPr>
            <w:tcW w:w="845" w:type="dxa"/>
            <w:gridSpan w:val="2"/>
            <w:vAlign w:val="center"/>
          </w:tcPr>
          <w:p w14:paraId="7096797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w:t>
            </w:r>
          </w:p>
        </w:tc>
        <w:tc>
          <w:tcPr>
            <w:tcW w:w="641" w:type="dxa"/>
            <w:vAlign w:val="center"/>
          </w:tcPr>
          <w:p w14:paraId="4FA586F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台</w:t>
            </w:r>
          </w:p>
        </w:tc>
        <w:tc>
          <w:tcPr>
            <w:tcW w:w="877" w:type="dxa"/>
            <w:gridSpan w:val="3"/>
            <w:vAlign w:val="center"/>
          </w:tcPr>
          <w:p w14:paraId="7CA200DA">
            <w:pPr>
              <w:keepNext w:val="0"/>
              <w:keepLines w:val="0"/>
              <w:widowControl/>
              <w:suppressLineNumbers w:val="0"/>
              <w:jc w:val="center"/>
              <w:textAlignment w:val="center"/>
              <w:rPr>
                <w:rFonts w:hint="eastAsia" w:ascii="宋体" w:hAnsi="宋体" w:cs="宋体"/>
                <w:b/>
                <w:bCs/>
                <w:i w:val="0"/>
                <w:iCs w:val="0"/>
                <w:color w:val="000000"/>
                <w:kern w:val="0"/>
                <w:sz w:val="20"/>
                <w:szCs w:val="20"/>
                <w:highlight w:val="none"/>
                <w:u w:val="none"/>
                <w:lang w:val="en-US" w:eastAsia="zh-CN" w:bidi="ar"/>
              </w:rPr>
            </w:pPr>
            <w:r>
              <w:rPr>
                <w:rFonts w:hint="eastAsia" w:ascii="宋体" w:hAnsi="宋体" w:cs="宋体"/>
                <w:b w:val="0"/>
                <w:bCs w:val="0"/>
                <w:i w:val="0"/>
                <w:iCs w:val="0"/>
                <w:color w:val="000000"/>
                <w:kern w:val="0"/>
                <w:sz w:val="20"/>
                <w:szCs w:val="20"/>
                <w:highlight w:val="none"/>
                <w:u w:val="none"/>
                <w:lang w:val="en-US" w:eastAsia="zh-CN" w:bidi="ar"/>
              </w:rPr>
              <w:t>否</w:t>
            </w:r>
          </w:p>
        </w:tc>
      </w:tr>
      <w:tr w14:paraId="1AF8E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9802" w:type="dxa"/>
            <w:gridSpan w:val="9"/>
            <w:vAlign w:val="center"/>
          </w:tcPr>
          <w:p w14:paraId="06EACE82">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b/>
                <w:bCs/>
                <w:i w:val="0"/>
                <w:iCs w:val="0"/>
                <w:color w:val="000000"/>
                <w:kern w:val="0"/>
                <w:sz w:val="20"/>
                <w:szCs w:val="20"/>
                <w:highlight w:val="none"/>
                <w:u w:val="none"/>
                <w:lang w:val="en-US" w:eastAsia="zh-CN" w:bidi="ar"/>
              </w:rPr>
              <w:t>1.2 控制设备以及配套设备</w:t>
            </w:r>
          </w:p>
        </w:tc>
      </w:tr>
      <w:tr w14:paraId="645E1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4" w:type="dxa"/>
            <w:vAlign w:val="center"/>
          </w:tcPr>
          <w:p w14:paraId="2CB1EC2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w:t>
            </w:r>
          </w:p>
        </w:tc>
        <w:tc>
          <w:tcPr>
            <w:tcW w:w="1011" w:type="dxa"/>
            <w:vAlign w:val="center"/>
          </w:tcPr>
          <w:p w14:paraId="3BDF754F">
            <w:pPr>
              <w:keepNext w:val="0"/>
              <w:keepLines w:val="0"/>
              <w:widowControl/>
              <w:suppressLineNumbers w:val="0"/>
              <w:jc w:val="both"/>
              <w:textAlignment w:val="center"/>
              <w:rPr>
                <w:rFonts w:hint="eastAsia" w:ascii="宋体" w:hAnsi="宋体" w:cs="宋体"/>
                <w:b/>
                <w:bCs/>
                <w:i w:val="0"/>
                <w:iCs w:val="0"/>
                <w:color w:val="000000"/>
                <w:kern w:val="0"/>
                <w:sz w:val="20"/>
                <w:szCs w:val="20"/>
                <w:highlight w:val="none"/>
                <w:u w:val="none"/>
                <w:lang w:val="en-US" w:eastAsia="zh-CN" w:bidi="ar"/>
              </w:rPr>
            </w:pPr>
            <w:r>
              <w:rPr>
                <w:rFonts w:hint="eastAsia" w:ascii="宋体" w:hAnsi="宋体" w:cs="宋体"/>
                <w:b/>
                <w:bCs/>
                <w:i w:val="0"/>
                <w:iCs w:val="0"/>
                <w:color w:val="000000"/>
                <w:kern w:val="0"/>
                <w:sz w:val="20"/>
                <w:szCs w:val="20"/>
                <w:highlight w:val="none"/>
                <w:u w:val="none"/>
                <w:lang w:val="en-US" w:eastAsia="zh-CN" w:bidi="ar"/>
              </w:rPr>
              <w:t>台式电脑</w:t>
            </w:r>
          </w:p>
        </w:tc>
        <w:tc>
          <w:tcPr>
            <w:tcW w:w="5864" w:type="dxa"/>
            <w:vAlign w:val="top"/>
          </w:tcPr>
          <w:p w14:paraId="74FAC93A">
            <w:pPr>
              <w:keepNext w:val="0"/>
              <w:keepLines w:val="0"/>
              <w:widowControl/>
              <w:suppressLineNumbers w:val="0"/>
              <w:jc w:val="left"/>
              <w:textAlignment w:val="top"/>
              <w:rPr>
                <w:rStyle w:val="40"/>
                <w:highlight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处理器配置不低于英特尔i7 处理器，内存不低于16G，硬盘不低于1TB，套装带显示器、windows操作系统。</w:t>
            </w:r>
          </w:p>
        </w:tc>
        <w:tc>
          <w:tcPr>
            <w:tcW w:w="845" w:type="dxa"/>
            <w:gridSpan w:val="2"/>
            <w:vAlign w:val="center"/>
          </w:tcPr>
          <w:p w14:paraId="19DDF17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w:t>
            </w:r>
          </w:p>
        </w:tc>
        <w:tc>
          <w:tcPr>
            <w:tcW w:w="654" w:type="dxa"/>
            <w:gridSpan w:val="2"/>
            <w:vAlign w:val="center"/>
          </w:tcPr>
          <w:p w14:paraId="094A94A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台</w:t>
            </w:r>
          </w:p>
        </w:tc>
        <w:tc>
          <w:tcPr>
            <w:tcW w:w="864" w:type="dxa"/>
            <w:gridSpan w:val="2"/>
            <w:vAlign w:val="center"/>
          </w:tcPr>
          <w:p w14:paraId="17573C5A">
            <w:pPr>
              <w:keepNext w:val="0"/>
              <w:keepLines w:val="0"/>
              <w:widowControl/>
              <w:suppressLineNumbers w:val="0"/>
              <w:jc w:val="center"/>
              <w:textAlignment w:val="center"/>
              <w:rPr>
                <w:rFonts w:hint="eastAsia" w:ascii="宋体" w:hAnsi="宋体" w:cs="宋体"/>
                <w:b w:val="0"/>
                <w:bCs w:val="0"/>
                <w:i w:val="0"/>
                <w:iCs w:val="0"/>
                <w:color w:val="000000"/>
                <w:kern w:val="0"/>
                <w:sz w:val="20"/>
                <w:szCs w:val="20"/>
                <w:highlight w:val="none"/>
                <w:u w:val="none"/>
                <w:lang w:val="en-US" w:eastAsia="zh-CN" w:bidi="ar"/>
              </w:rPr>
            </w:pPr>
            <w:r>
              <w:rPr>
                <w:rFonts w:hint="eastAsia" w:ascii="宋体" w:hAnsi="宋体" w:cs="宋体"/>
                <w:b w:val="0"/>
                <w:bCs w:val="0"/>
                <w:i w:val="0"/>
                <w:iCs w:val="0"/>
                <w:color w:val="000000"/>
                <w:kern w:val="0"/>
                <w:sz w:val="20"/>
                <w:szCs w:val="20"/>
                <w:highlight w:val="none"/>
                <w:u w:val="none"/>
                <w:lang w:val="en-US" w:eastAsia="zh-CN" w:bidi="ar"/>
              </w:rPr>
              <w:t>否</w:t>
            </w:r>
          </w:p>
        </w:tc>
      </w:tr>
      <w:tr w14:paraId="4DF5F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4" w:type="dxa"/>
            <w:vAlign w:val="center"/>
          </w:tcPr>
          <w:p w14:paraId="6768D3B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w:t>
            </w:r>
          </w:p>
        </w:tc>
        <w:tc>
          <w:tcPr>
            <w:tcW w:w="1011" w:type="dxa"/>
            <w:vAlign w:val="center"/>
          </w:tcPr>
          <w:p w14:paraId="1B03EBBE">
            <w:pPr>
              <w:keepNext w:val="0"/>
              <w:keepLines w:val="0"/>
              <w:widowControl/>
              <w:suppressLineNumbers w:val="0"/>
              <w:jc w:val="both"/>
              <w:textAlignment w:val="center"/>
              <w:rPr>
                <w:rFonts w:hint="eastAsia" w:ascii="宋体" w:hAnsi="宋体" w:cs="宋体"/>
                <w:b/>
                <w:bCs/>
                <w:i w:val="0"/>
                <w:iCs w:val="0"/>
                <w:color w:val="000000"/>
                <w:kern w:val="0"/>
                <w:sz w:val="20"/>
                <w:szCs w:val="20"/>
                <w:highlight w:val="none"/>
                <w:u w:val="none"/>
                <w:lang w:val="en-US" w:eastAsia="zh-CN" w:bidi="ar"/>
              </w:rPr>
            </w:pPr>
            <w:r>
              <w:rPr>
                <w:rFonts w:hint="eastAsia" w:ascii="宋体" w:hAnsi="宋体" w:cs="宋体"/>
                <w:b/>
                <w:bCs/>
                <w:i w:val="0"/>
                <w:iCs w:val="0"/>
                <w:color w:val="000000"/>
                <w:kern w:val="0"/>
                <w:sz w:val="20"/>
                <w:szCs w:val="20"/>
                <w:highlight w:val="none"/>
                <w:u w:val="none"/>
                <w:lang w:val="en-US" w:eastAsia="zh-CN" w:bidi="ar"/>
              </w:rPr>
              <w:t>配电柜</w:t>
            </w:r>
          </w:p>
        </w:tc>
        <w:tc>
          <w:tcPr>
            <w:tcW w:w="5864" w:type="dxa"/>
            <w:vAlign w:val="top"/>
          </w:tcPr>
          <w:p w14:paraId="29FA61FF">
            <w:pPr>
              <w:keepNext w:val="0"/>
              <w:keepLines w:val="0"/>
              <w:widowControl/>
              <w:suppressLineNumbers w:val="0"/>
              <w:jc w:val="left"/>
              <w:textAlignment w:val="top"/>
              <w:rPr>
                <w:rStyle w:val="40"/>
                <w:highlight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1.额定功率：≥10kW，输出路数：≥3路；</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2.输入电压：三相五线制AC380V±10%，频率50Hz±5%；</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3.输出电压：单相220VAC；</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4.具备过压、欠压、过流、短路、断路、过载、浪涌电气保护措施；</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5.具备电子按键、手持遥控器、电脑远控多种控制方式；</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6.具备单台、集群管理功能，采用RS485有线以太网远程通信端口，在局域网内任意一台电脑进行控制；</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7.具备设置≥4组开关时间，支持每天定时通电和断电功能；</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8.具备通过PLC软件实现实时温度、湿度、过压、欠压、过流、缺相监测，实时高温低温、高湿自动断电；</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9.具备触发告警后，电脑自动强制弹屏提示，PLC蜂鸣器告警、软件弹屏告警方式；</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10.具备继电器回路整体上下电，也可通过PLC软件单独控制每个接触器的上下电；</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11.内置避雷器，具有避雷防雷功能；</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12.内置10A-16A备用三孔万能插座；</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13.PLC软件具备多国语言切换界面，可运行于银河麒麟、统信国产操作系统；</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14.PLC软件具备自动保存所有操作记录、告警记录、温湿度运行数据，支持历史记录查询，导出Excel文档；</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15.具备配电系统中对线路起隔离、过载、短路及过压、欠压保护及自动恢复功能，同时可实现远程控制自动分闸，及自动重合闸功能，发生故障时也可切换手动维修合闸；</w:t>
            </w:r>
          </w:p>
        </w:tc>
        <w:tc>
          <w:tcPr>
            <w:tcW w:w="845" w:type="dxa"/>
            <w:gridSpan w:val="2"/>
            <w:vAlign w:val="center"/>
          </w:tcPr>
          <w:p w14:paraId="46845E5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w:t>
            </w:r>
          </w:p>
        </w:tc>
        <w:tc>
          <w:tcPr>
            <w:tcW w:w="654" w:type="dxa"/>
            <w:gridSpan w:val="2"/>
            <w:vAlign w:val="center"/>
          </w:tcPr>
          <w:p w14:paraId="4AA351A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台</w:t>
            </w:r>
          </w:p>
        </w:tc>
        <w:tc>
          <w:tcPr>
            <w:tcW w:w="864" w:type="dxa"/>
            <w:gridSpan w:val="2"/>
            <w:vAlign w:val="center"/>
          </w:tcPr>
          <w:p w14:paraId="26D08B3A">
            <w:pPr>
              <w:keepNext w:val="0"/>
              <w:keepLines w:val="0"/>
              <w:widowControl/>
              <w:suppressLineNumbers w:val="0"/>
              <w:jc w:val="center"/>
              <w:textAlignment w:val="center"/>
              <w:rPr>
                <w:rFonts w:hint="eastAsia" w:ascii="宋体" w:hAnsi="宋体" w:cs="宋体"/>
                <w:b w:val="0"/>
                <w:bCs w:val="0"/>
                <w:i w:val="0"/>
                <w:iCs w:val="0"/>
                <w:color w:val="000000"/>
                <w:kern w:val="0"/>
                <w:sz w:val="20"/>
                <w:szCs w:val="20"/>
                <w:highlight w:val="none"/>
                <w:u w:val="none"/>
                <w:lang w:val="en-US" w:eastAsia="zh-CN" w:bidi="ar"/>
              </w:rPr>
            </w:pPr>
            <w:r>
              <w:rPr>
                <w:rFonts w:hint="eastAsia" w:ascii="宋体" w:hAnsi="宋体" w:cs="宋体"/>
                <w:b w:val="0"/>
                <w:bCs w:val="0"/>
                <w:i w:val="0"/>
                <w:iCs w:val="0"/>
                <w:color w:val="000000"/>
                <w:kern w:val="0"/>
                <w:sz w:val="20"/>
                <w:szCs w:val="20"/>
                <w:highlight w:val="none"/>
                <w:u w:val="none"/>
                <w:lang w:val="en-US" w:eastAsia="zh-CN" w:bidi="ar"/>
              </w:rPr>
              <w:t>否</w:t>
            </w:r>
          </w:p>
        </w:tc>
      </w:tr>
      <w:tr w14:paraId="5E716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9802" w:type="dxa"/>
            <w:gridSpan w:val="9"/>
            <w:vAlign w:val="center"/>
          </w:tcPr>
          <w:p w14:paraId="30010D70">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b/>
                <w:bCs/>
                <w:i w:val="0"/>
                <w:iCs w:val="0"/>
                <w:color w:val="000000"/>
                <w:kern w:val="0"/>
                <w:sz w:val="20"/>
                <w:szCs w:val="20"/>
                <w:highlight w:val="none"/>
                <w:u w:val="none"/>
                <w:lang w:val="en-US" w:eastAsia="zh-CN" w:bidi="ar"/>
              </w:rPr>
              <w:t>1.3 技术服务费</w:t>
            </w:r>
          </w:p>
        </w:tc>
      </w:tr>
      <w:tr w14:paraId="6966B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4" w:type="dxa"/>
            <w:vAlign w:val="center"/>
          </w:tcPr>
          <w:p w14:paraId="5708978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w:t>
            </w:r>
          </w:p>
        </w:tc>
        <w:tc>
          <w:tcPr>
            <w:tcW w:w="1011" w:type="dxa"/>
            <w:vAlign w:val="center"/>
          </w:tcPr>
          <w:p w14:paraId="1DFD5C37">
            <w:pPr>
              <w:keepNext w:val="0"/>
              <w:keepLines w:val="0"/>
              <w:widowControl/>
              <w:suppressLineNumbers w:val="0"/>
              <w:jc w:val="both"/>
              <w:textAlignment w:val="center"/>
              <w:rPr>
                <w:rFonts w:hint="eastAsia" w:ascii="宋体" w:hAnsi="宋体" w:cs="宋体"/>
                <w:b/>
                <w:bCs/>
                <w:i w:val="0"/>
                <w:iCs w:val="0"/>
                <w:color w:val="000000"/>
                <w:kern w:val="0"/>
                <w:sz w:val="20"/>
                <w:szCs w:val="20"/>
                <w:highlight w:val="none"/>
                <w:u w:val="none"/>
                <w:lang w:val="en-US" w:eastAsia="zh-CN" w:bidi="ar"/>
              </w:rPr>
            </w:pPr>
            <w:r>
              <w:rPr>
                <w:rFonts w:hint="eastAsia" w:ascii="宋体" w:hAnsi="宋体" w:cs="宋体"/>
                <w:b/>
                <w:bCs/>
                <w:i w:val="0"/>
                <w:iCs w:val="0"/>
                <w:color w:val="000000"/>
                <w:kern w:val="0"/>
                <w:sz w:val="20"/>
                <w:szCs w:val="20"/>
                <w:highlight w:val="none"/>
                <w:u w:val="none"/>
                <w:lang w:val="en-US" w:eastAsia="zh-CN" w:bidi="ar"/>
              </w:rPr>
              <w:t>技术服务费</w:t>
            </w:r>
          </w:p>
        </w:tc>
        <w:tc>
          <w:tcPr>
            <w:tcW w:w="5864" w:type="dxa"/>
            <w:vAlign w:val="center"/>
          </w:tcPr>
          <w:p w14:paraId="6F69A416">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845" w:type="dxa"/>
            <w:gridSpan w:val="2"/>
            <w:vAlign w:val="center"/>
          </w:tcPr>
          <w:p w14:paraId="451582A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w:t>
            </w:r>
          </w:p>
        </w:tc>
        <w:tc>
          <w:tcPr>
            <w:tcW w:w="759" w:type="dxa"/>
            <w:gridSpan w:val="3"/>
            <w:vAlign w:val="center"/>
          </w:tcPr>
          <w:p w14:paraId="01401386">
            <w:pPr>
              <w:keepNext w:val="0"/>
              <w:keepLines w:val="0"/>
              <w:widowControl/>
              <w:suppressLineNumbers w:val="0"/>
              <w:jc w:val="center"/>
              <w:textAlignment w:val="center"/>
              <w:rPr>
                <w:rFonts w:hint="eastAsia" w:ascii="宋体" w:hAnsi="宋体" w:cs="宋体"/>
                <w:b/>
                <w:bCs/>
                <w:i w:val="0"/>
                <w:iCs w:val="0"/>
                <w:color w:val="000000"/>
                <w:kern w:val="0"/>
                <w:sz w:val="20"/>
                <w:szCs w:val="20"/>
                <w:highlight w:val="none"/>
                <w:u w:val="none"/>
                <w:lang w:val="en-US" w:eastAsia="zh-CN" w:bidi="ar"/>
              </w:rPr>
            </w:pPr>
            <w:r>
              <w:rPr>
                <w:rFonts w:hint="eastAsia" w:ascii="宋体" w:hAnsi="宋体" w:cs="宋体"/>
                <w:b w:val="0"/>
                <w:bCs w:val="0"/>
                <w:i w:val="0"/>
                <w:iCs w:val="0"/>
                <w:color w:val="000000"/>
                <w:kern w:val="0"/>
                <w:sz w:val="20"/>
                <w:szCs w:val="20"/>
                <w:highlight w:val="none"/>
                <w:u w:val="none"/>
                <w:lang w:val="en-US" w:eastAsia="zh-CN" w:bidi="ar"/>
              </w:rPr>
              <w:t>项</w:t>
            </w:r>
          </w:p>
        </w:tc>
        <w:tc>
          <w:tcPr>
            <w:tcW w:w="759" w:type="dxa"/>
            <w:vAlign w:val="center"/>
          </w:tcPr>
          <w:p w14:paraId="471F0DBE">
            <w:pPr>
              <w:keepNext w:val="0"/>
              <w:keepLines w:val="0"/>
              <w:widowControl/>
              <w:suppressLineNumbers w:val="0"/>
              <w:jc w:val="center"/>
              <w:textAlignment w:val="center"/>
              <w:rPr>
                <w:rFonts w:hint="eastAsia" w:ascii="宋体" w:hAnsi="宋体" w:cs="宋体"/>
                <w:b/>
                <w:bCs/>
                <w:i w:val="0"/>
                <w:iCs w:val="0"/>
                <w:color w:val="000000"/>
                <w:kern w:val="0"/>
                <w:sz w:val="20"/>
                <w:szCs w:val="20"/>
                <w:highlight w:val="none"/>
                <w:u w:val="none"/>
                <w:lang w:val="en-US" w:eastAsia="zh-CN" w:bidi="ar"/>
              </w:rPr>
            </w:pPr>
            <w:r>
              <w:rPr>
                <w:rFonts w:hint="eastAsia" w:ascii="宋体" w:hAnsi="宋体" w:cs="宋体"/>
                <w:b w:val="0"/>
                <w:bCs w:val="0"/>
                <w:i w:val="0"/>
                <w:iCs w:val="0"/>
                <w:color w:val="000000"/>
                <w:kern w:val="0"/>
                <w:sz w:val="20"/>
                <w:szCs w:val="20"/>
                <w:highlight w:val="none"/>
                <w:u w:val="none"/>
                <w:lang w:val="en-US" w:eastAsia="zh-CN" w:bidi="ar"/>
              </w:rPr>
              <w:t>否</w:t>
            </w:r>
          </w:p>
        </w:tc>
      </w:tr>
      <w:tr w14:paraId="1FA76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564" w:type="dxa"/>
            <w:vAlign w:val="center"/>
          </w:tcPr>
          <w:p w14:paraId="07ED000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w:t>
            </w:r>
          </w:p>
        </w:tc>
        <w:tc>
          <w:tcPr>
            <w:tcW w:w="1011" w:type="dxa"/>
            <w:vAlign w:val="center"/>
          </w:tcPr>
          <w:p w14:paraId="792D5EC7">
            <w:pPr>
              <w:keepNext w:val="0"/>
              <w:keepLines w:val="0"/>
              <w:widowControl/>
              <w:suppressLineNumbers w:val="0"/>
              <w:jc w:val="both"/>
              <w:textAlignment w:val="center"/>
              <w:rPr>
                <w:rFonts w:hint="eastAsia" w:ascii="宋体" w:hAnsi="宋体" w:cs="宋体"/>
                <w:b/>
                <w:bCs/>
                <w:i w:val="0"/>
                <w:iCs w:val="0"/>
                <w:color w:val="000000"/>
                <w:kern w:val="0"/>
                <w:sz w:val="20"/>
                <w:szCs w:val="20"/>
                <w:highlight w:val="none"/>
                <w:u w:val="none"/>
                <w:lang w:val="en-US" w:eastAsia="zh-CN" w:bidi="ar"/>
              </w:rPr>
            </w:pPr>
            <w:r>
              <w:rPr>
                <w:rFonts w:hint="eastAsia" w:ascii="宋体" w:hAnsi="宋体" w:cs="宋体"/>
                <w:b/>
                <w:bCs/>
                <w:i w:val="0"/>
                <w:iCs w:val="0"/>
                <w:color w:val="000000"/>
                <w:kern w:val="0"/>
                <w:sz w:val="20"/>
                <w:szCs w:val="20"/>
                <w:highlight w:val="none"/>
                <w:u w:val="none"/>
                <w:lang w:val="en-US" w:eastAsia="zh-CN" w:bidi="ar"/>
              </w:rPr>
              <w:t>包装材料</w:t>
            </w:r>
          </w:p>
        </w:tc>
        <w:tc>
          <w:tcPr>
            <w:tcW w:w="5864" w:type="dxa"/>
            <w:vAlign w:val="center"/>
          </w:tcPr>
          <w:p w14:paraId="55B07BE1">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8mm胶合免熏蒸木箱</w:t>
            </w:r>
          </w:p>
        </w:tc>
        <w:tc>
          <w:tcPr>
            <w:tcW w:w="845" w:type="dxa"/>
            <w:gridSpan w:val="2"/>
            <w:vAlign w:val="center"/>
          </w:tcPr>
          <w:p w14:paraId="17F0F0A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7.9872</w:t>
            </w:r>
          </w:p>
        </w:tc>
        <w:tc>
          <w:tcPr>
            <w:tcW w:w="654" w:type="dxa"/>
            <w:gridSpan w:val="2"/>
            <w:vAlign w:val="center"/>
          </w:tcPr>
          <w:p w14:paraId="0481063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平方米</w:t>
            </w:r>
          </w:p>
        </w:tc>
        <w:tc>
          <w:tcPr>
            <w:tcW w:w="864" w:type="dxa"/>
            <w:gridSpan w:val="2"/>
            <w:vAlign w:val="center"/>
          </w:tcPr>
          <w:p w14:paraId="20B50776">
            <w:pPr>
              <w:keepNext w:val="0"/>
              <w:keepLines w:val="0"/>
              <w:widowControl/>
              <w:suppressLineNumbers w:val="0"/>
              <w:jc w:val="center"/>
              <w:textAlignment w:val="center"/>
              <w:rPr>
                <w:rFonts w:hint="eastAsia" w:ascii="宋体" w:hAnsi="宋体" w:cs="宋体"/>
                <w:b/>
                <w:bCs/>
                <w:i w:val="0"/>
                <w:iCs w:val="0"/>
                <w:color w:val="000000"/>
                <w:kern w:val="0"/>
                <w:sz w:val="20"/>
                <w:szCs w:val="20"/>
                <w:highlight w:val="none"/>
                <w:u w:val="none"/>
                <w:lang w:val="en-US" w:eastAsia="zh-CN" w:bidi="ar"/>
              </w:rPr>
            </w:pPr>
            <w:r>
              <w:rPr>
                <w:rFonts w:hint="eastAsia" w:ascii="宋体" w:hAnsi="宋体" w:cs="宋体"/>
                <w:b w:val="0"/>
                <w:bCs w:val="0"/>
                <w:i w:val="0"/>
                <w:iCs w:val="0"/>
                <w:color w:val="000000"/>
                <w:kern w:val="0"/>
                <w:sz w:val="20"/>
                <w:szCs w:val="20"/>
                <w:highlight w:val="none"/>
                <w:u w:val="none"/>
                <w:lang w:val="en-US" w:eastAsia="zh-CN" w:bidi="ar"/>
              </w:rPr>
              <w:t>否</w:t>
            </w:r>
          </w:p>
        </w:tc>
      </w:tr>
      <w:tr w14:paraId="3A4E9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9802" w:type="dxa"/>
            <w:gridSpan w:val="9"/>
            <w:vAlign w:val="center"/>
          </w:tcPr>
          <w:p w14:paraId="0FC2CF89">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b/>
                <w:bCs/>
                <w:i w:val="0"/>
                <w:iCs w:val="0"/>
                <w:color w:val="000000"/>
                <w:kern w:val="0"/>
                <w:sz w:val="20"/>
                <w:szCs w:val="20"/>
                <w:highlight w:val="none"/>
                <w:u w:val="none"/>
                <w:lang w:val="en-US" w:eastAsia="zh-CN" w:bidi="ar"/>
              </w:rPr>
              <w:t>2、智慧一体机显示系统</w:t>
            </w:r>
          </w:p>
        </w:tc>
      </w:tr>
      <w:tr w14:paraId="0F6B5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4" w:type="dxa"/>
            <w:vAlign w:val="center"/>
          </w:tcPr>
          <w:p w14:paraId="0E6C170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w:t>
            </w:r>
          </w:p>
        </w:tc>
        <w:tc>
          <w:tcPr>
            <w:tcW w:w="1011" w:type="dxa"/>
            <w:vAlign w:val="center"/>
          </w:tcPr>
          <w:p w14:paraId="009F1A19">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b/>
                <w:bCs/>
                <w:i w:val="0"/>
                <w:iCs w:val="0"/>
                <w:color w:val="000000"/>
                <w:kern w:val="0"/>
                <w:sz w:val="20"/>
                <w:szCs w:val="20"/>
                <w:highlight w:val="none"/>
                <w:u w:val="none"/>
                <w:lang w:val="en-US" w:eastAsia="zh-CN" w:bidi="ar"/>
              </w:rPr>
              <w:t>AI智慧会议平板</w:t>
            </w:r>
          </w:p>
        </w:tc>
        <w:tc>
          <w:tcPr>
            <w:tcW w:w="5864" w:type="dxa"/>
            <w:vAlign w:val="top"/>
          </w:tcPr>
          <w:p w14:paraId="4A9F82A0">
            <w:pPr>
              <w:keepNext w:val="0"/>
              <w:keepLines w:val="0"/>
              <w:widowControl/>
              <w:suppressLineNumbers w:val="0"/>
              <w:jc w:val="both"/>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1.整机内置非独立外扩展的电脑模块，所有会议功能均运行在电脑模块中，系统版本优于或等同于Windows 10 IoT正版已激活操作系统。</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2.采用国密SM2、SM3加密算法对数据文件进行加密处理，并在传输过程中保持加密状态，确保数据传输和存储的安全性与可靠性；符合国家安全标准，增强整体信息安全防护能力。</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3.整机屏幕采用≥98英寸DLED液晶屏，显示比例16:9，屏幕图像分辨率≥3840*2160，色彩度≥10bit ,色域≥85%NTSC；可视角度≥178°，支持全高清4K系统图标显示；CPU等同或优于11代i3，内存≥8G、存储≥128G。</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4.具有≥4800W高清摄像头，视场角≥118°，≥8个阵列麦克风，拾音距离≥12米。摄像头和麦克风为可拆卸模组，采用≥12个pogo pin磁吸接口设计，无需额外接线，通过物理防护达到防止会议信息外泄；摄像头具有智能取景、发言人跟踪多种摄像模式。</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输入接口：LAN≥1；TOUCH≥1；HDMI-IN≥1；DP-IN≥1；VIDEO-IN（USB-C+反控）≥1；LINE-IN≥1；MIC-IN≥1；USB-A(3.0)≥4；USB-C≥1；RS232≥1；IO≥2；RELAY≥2；输出接口：HDMI-OUT≥1；LINE-OUT≥1。（提供产品接口图佐证）（提供第三方检测机构出具的具有CMA或CNAS标志的检测报告扫描件并加盖制造商公章）</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6.产品采用≥2.1声道设计，具有≥3个音腔：≥1×32W（低音）+≥2×20W（中高音）缝隙发声扬声器；具备≥5种音效选择（可选标准或会议或人声或音乐或影院），满足不同场景需求。</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7.产品具有智能按钮，内置红外传感器、温湿度传感器、光感传感器，具有实时监测和显示温度与湿度功能，并能根据环境光照自动调节亮度；具有≥1×RS232、≥2×IO、≥2×RELAY物联中控控制接口，方便与其他设备集成与管理，实现智能化的环境控制，提升使用体验与舒适度。</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8.内置储配电池，支持异常断电保护功能，在异常断电后启用内部电池，自动保存会议资料及会议进程，通电后可继续使用。</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9.支持多种唤醒方式，息屏状态下可通过保持注视、提笔唤醒、双击触屏、按钮方式唤醒设备亮屏，注视唤醒方式可自定义设置注视时间，提笔唤醒可快捷使用白板和批注功能。</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10.具有文档无边框设计，用户打开文档自动进入文档演示模式，文档内容会全屏显示，在文档演示的过程中，可以进行批注、视频播放、分屏白板，可插入图片素材，图片叠层无限制，随页批注之后可以保存为PDF，满足展示更多文档内容的需求。</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11.具有快速会议、保密会议会议模式；开启保密会议后会中资料不可下载，会后会议资料自动焚毁；会议过程中使用的资料，临时缓存的文件自动加密，会议结束后无法打开；具有界面水印，覆盖会议全程，防止拍照录频，泄露会议信息。（提供第三方检测机构出具的具有CMA或CNAS标志的检测报告扫描件并加盖制造商公章）</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12.支持混合分屏，会中可同时展现白板、动态视频、音频、文档、批注等页面，可全屏展示任意分屏或对比不同方案，支持≥8个分屏。</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13.产品具有智慧会议管理平台（无需单独配置云端平台），平台采用B/S架构，支持Windows、Linux、MacOS、Android、IOS操作系统登入控制软件；平台具有普通用户、管理员不同账号权限；平台具有后台数据看板功能，支持查看会议室使用情况、设备状态，可按月、周、日统计每日与会人员、每日会议时长、每日会议数、每日活跃用户数等，便于统计分析，统一管理；可查看单位会议、历史会议，历史会议名称、会议预订人、会议号、会议开始时间、是否录制视频，可查看/导出会前签到和投票表决结果、会议录制视频。（提供截图证明佐证）（提供第三方检测机构出具的具有CMA或CNAS标志的检测报告扫描件并加盖制造商公章）</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14.内置视频会议软件，支持ITU-T H.323通信协议，会议速率支持128Kbps~8Mbps；支持H.264 Baseline Profile、H264 High Profile视频协议，可支持全高清优于或等同于1080p/30的视频会议；集成通信录，通话记录模块。</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15.视频会议软件支持会议签到、电子白板、电子投票、文件共享等数据会议功能，满足远程会议、培训等场景应用需求；支持多画面布局，单屏支持≥25路画面同时显示。</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16.支持设备检测功能，可检测主板硬件完整性和外接设备功能是否正常。</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17.支持设备管理功能，可批量操作设备开关机、设备巡视、远程控制等。</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▲为保证产品的质量和用户的使用安全，投标产品需通过低蓝光认证（蓝光比率≤25%）。（提供产品通过低蓝光认证证书复印件佐证并加盖制造商公章）</w:t>
            </w:r>
          </w:p>
        </w:tc>
        <w:tc>
          <w:tcPr>
            <w:tcW w:w="845" w:type="dxa"/>
            <w:gridSpan w:val="2"/>
            <w:vAlign w:val="center"/>
          </w:tcPr>
          <w:p w14:paraId="1661A46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w:t>
            </w:r>
          </w:p>
        </w:tc>
        <w:tc>
          <w:tcPr>
            <w:tcW w:w="759" w:type="dxa"/>
            <w:gridSpan w:val="3"/>
            <w:vAlign w:val="center"/>
          </w:tcPr>
          <w:p w14:paraId="311D6F8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台</w:t>
            </w:r>
          </w:p>
        </w:tc>
        <w:tc>
          <w:tcPr>
            <w:tcW w:w="759" w:type="dxa"/>
            <w:vAlign w:val="center"/>
          </w:tcPr>
          <w:p w14:paraId="0306812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b/>
                <w:bCs/>
                <w:i w:val="0"/>
                <w:iCs w:val="0"/>
                <w:color w:val="000000"/>
                <w:kern w:val="0"/>
                <w:sz w:val="20"/>
                <w:szCs w:val="20"/>
                <w:highlight w:val="none"/>
                <w:u w:val="none"/>
                <w:lang w:val="en-US" w:eastAsia="zh-CN" w:bidi="ar"/>
              </w:rPr>
              <w:t>是</w:t>
            </w:r>
          </w:p>
        </w:tc>
      </w:tr>
      <w:tr w14:paraId="28EF8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4" w:type="dxa"/>
            <w:vAlign w:val="center"/>
          </w:tcPr>
          <w:p w14:paraId="195BDF4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w:t>
            </w:r>
          </w:p>
        </w:tc>
        <w:tc>
          <w:tcPr>
            <w:tcW w:w="1011" w:type="dxa"/>
            <w:vAlign w:val="center"/>
          </w:tcPr>
          <w:p w14:paraId="0C320180">
            <w:pPr>
              <w:keepNext w:val="0"/>
              <w:keepLines w:val="0"/>
              <w:widowControl/>
              <w:suppressLineNumbers w:val="0"/>
              <w:jc w:val="both"/>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b/>
                <w:bCs/>
                <w:i w:val="0"/>
                <w:iCs w:val="0"/>
                <w:color w:val="000000"/>
                <w:kern w:val="0"/>
                <w:sz w:val="20"/>
                <w:szCs w:val="20"/>
                <w:highlight w:val="none"/>
                <w:u w:val="none"/>
                <w:lang w:val="en-US" w:eastAsia="zh-CN" w:bidi="ar"/>
              </w:rPr>
              <w:t>移动支架</w:t>
            </w:r>
          </w:p>
        </w:tc>
        <w:tc>
          <w:tcPr>
            <w:tcW w:w="5864" w:type="dxa"/>
            <w:vAlign w:val="top"/>
          </w:tcPr>
          <w:p w14:paraId="0FA3879D">
            <w:pPr>
              <w:keepNext w:val="0"/>
              <w:keepLines w:val="0"/>
              <w:widowControl/>
              <w:suppressLineNumbers w:val="0"/>
              <w:jc w:val="left"/>
              <w:textAlignment w:val="top"/>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1.材质：SPCC高强度钢（主体），PA6+PU（脚轮）</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2.高度调节行程：0-100mm</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3.高度调节方式：螺丝锁定调整</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4.适用一体机尺寸：86英寸-110英寸</w:t>
            </w:r>
          </w:p>
        </w:tc>
        <w:tc>
          <w:tcPr>
            <w:tcW w:w="845" w:type="dxa"/>
            <w:gridSpan w:val="2"/>
            <w:vAlign w:val="center"/>
          </w:tcPr>
          <w:p w14:paraId="6F1B8AF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w:t>
            </w:r>
          </w:p>
        </w:tc>
        <w:tc>
          <w:tcPr>
            <w:tcW w:w="759" w:type="dxa"/>
            <w:gridSpan w:val="3"/>
            <w:vAlign w:val="center"/>
          </w:tcPr>
          <w:p w14:paraId="094C713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台</w:t>
            </w:r>
          </w:p>
        </w:tc>
        <w:tc>
          <w:tcPr>
            <w:tcW w:w="759" w:type="dxa"/>
            <w:vAlign w:val="center"/>
          </w:tcPr>
          <w:p w14:paraId="1CD7E7E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否</w:t>
            </w:r>
          </w:p>
        </w:tc>
      </w:tr>
      <w:tr w14:paraId="23512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9802" w:type="dxa"/>
            <w:gridSpan w:val="9"/>
            <w:vAlign w:val="center"/>
          </w:tcPr>
          <w:p w14:paraId="6109C507">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b/>
                <w:bCs/>
                <w:i w:val="0"/>
                <w:iCs w:val="0"/>
                <w:color w:val="000000"/>
                <w:kern w:val="0"/>
                <w:sz w:val="20"/>
                <w:szCs w:val="20"/>
                <w:highlight w:val="none"/>
                <w:u w:val="none"/>
                <w:lang w:val="en-US" w:eastAsia="zh-CN" w:bidi="ar"/>
              </w:rPr>
              <w:t>二、数字会议系统（话筒单元手拉手连接，会讨单元由会议主机供电；支持四种话筒管理模式：FIFO/ NORMAL/VOICE(声控)/APPLY；根据不同的需求选择不同的话筒单元）</w:t>
            </w:r>
          </w:p>
        </w:tc>
      </w:tr>
      <w:tr w14:paraId="58CC1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4" w:type="dxa"/>
            <w:vAlign w:val="center"/>
          </w:tcPr>
          <w:p w14:paraId="0A521DA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w:t>
            </w:r>
          </w:p>
        </w:tc>
        <w:tc>
          <w:tcPr>
            <w:tcW w:w="1011" w:type="dxa"/>
            <w:vAlign w:val="center"/>
          </w:tcPr>
          <w:p w14:paraId="5208322B">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b/>
                <w:bCs/>
                <w:i w:val="0"/>
                <w:iCs w:val="0"/>
                <w:color w:val="000000"/>
                <w:kern w:val="0"/>
                <w:sz w:val="20"/>
                <w:szCs w:val="20"/>
                <w:highlight w:val="none"/>
                <w:u w:val="none"/>
                <w:lang w:val="en-US" w:eastAsia="zh-CN" w:bidi="ar"/>
              </w:rPr>
              <w:t>AI会议主机</w:t>
            </w:r>
          </w:p>
        </w:tc>
        <w:tc>
          <w:tcPr>
            <w:tcW w:w="5864" w:type="dxa"/>
            <w:vAlign w:val="top"/>
          </w:tcPr>
          <w:p w14:paraId="49562F7A">
            <w:pPr>
              <w:keepNext w:val="0"/>
              <w:keepLines w:val="0"/>
              <w:widowControl/>
              <w:suppressLineNumbers w:val="0"/>
              <w:jc w:val="left"/>
              <w:textAlignment w:val="top"/>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1.支持≥4096台有线会议单元和≥300台无线会议单元同时接入管理使用；支持≥4396台会议单元同时参与会议议程（签到、表决、服务）以及发言控制。</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▲2.采用全国产研发核心芯片与元器件，实现100%国产化，同时支持国产操作系统的连接与控制。（提供第三方检测机构出具的具有CMA标志的检测报告扫描件印件并加盖制造商公章）</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3.系统采用高性能DSP处理器，音频采样率≥48kHz，频率响应等同或宽于80Hz~16KHz；采用超五类屏蔽线，确保会议信息长距离传输。</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集成专业DSP处理功能，具有智能混音、音频矩阵调节、自动增益、反馈抑制、≥31段输出图示均衡（≥8段输出参量均衡）、≥10段输入图示均衡（≥5段输入参量均衡）、闪避器、分频器、音量调节、反相功能。（提供第三方检测机构出具的具有CMA标志的检测报告扫描件印件并加盖制造商公章）</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5.通讯接口包括有≥3路航空接口，≥2路RS-232接口、≥1路RS-485接口、≥3路RJ45网络通信接口、≥1路RJ45内部调试接口、≥1路USB2.0接口；音频输入接口包括有≥1路LINE IN,音频输出接口有≥1路LINE OUT、≥两路SPK OUT。</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6.设备具有会议发言录音功能；搭配会议话筒可以录制话筒混音输出音频；支持通过主机U盘录音。</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7.系统支持≥24只话筒同时发言，其中支持≥16只有线话筒和≥8只无线话筒同时发言；有线话筒发言人数范围可设置为等同或宽于1至16之间的任意数量，无线话筒发言人数范围可设置为等同或宽于1至8之间的任意数量。（提供第三方检测机构出具的具有CMA标志的检测报告扫描件印件并加盖制造商公章）</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8.具有≥3种备份机制；支持主机双机热备功能，可设置一台设备为主机，另一台设置为从机，当主机出现故障时，可自动切换至从机运行，实现双备份功能；支持环形双链路功能，确保在其中的一条网线断开或者单元出问题时，会议能继续正常进行；支持T型链路备份功能，链路中即使多台会议单元出现故障，其他会议单元不受影响，保障会议正常进行。</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9.兼容C/S架构，采用兆芯处理器搭配银河麒麟操作系统，兼容windows操作系统或国产操作系统或macOS系统或Ubuntu桌面版操作系统。（提供第三方检测机构出具的具有CMA标志的检测报告扫描件印件并加盖制造商公章）</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10.具有消防报警联动触发接口，触发后火灾报警信息可同步至话筒界面和主机界面，第一时间提醒会场人员紧急撤离，确保参会人员安全。</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▲11.满足GB/T 35770-2022（提供第三方认证机构颁发的在有效期内的佐证资料并加盖制造商公章）</w:t>
            </w:r>
          </w:p>
        </w:tc>
        <w:tc>
          <w:tcPr>
            <w:tcW w:w="845" w:type="dxa"/>
            <w:gridSpan w:val="2"/>
            <w:vAlign w:val="center"/>
          </w:tcPr>
          <w:p w14:paraId="550A31C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w:t>
            </w:r>
          </w:p>
        </w:tc>
        <w:tc>
          <w:tcPr>
            <w:tcW w:w="759" w:type="dxa"/>
            <w:gridSpan w:val="3"/>
            <w:vAlign w:val="center"/>
          </w:tcPr>
          <w:p w14:paraId="68FB856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台</w:t>
            </w:r>
          </w:p>
        </w:tc>
        <w:tc>
          <w:tcPr>
            <w:tcW w:w="759" w:type="dxa"/>
            <w:vAlign w:val="center"/>
          </w:tcPr>
          <w:p w14:paraId="75E3825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否</w:t>
            </w:r>
          </w:p>
        </w:tc>
      </w:tr>
      <w:tr w14:paraId="76546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4" w:type="dxa"/>
            <w:vAlign w:val="center"/>
          </w:tcPr>
          <w:p w14:paraId="4D45CEB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w:t>
            </w:r>
          </w:p>
        </w:tc>
        <w:tc>
          <w:tcPr>
            <w:tcW w:w="1011" w:type="dxa"/>
            <w:vAlign w:val="center"/>
          </w:tcPr>
          <w:p w14:paraId="0ED2E4CA">
            <w:pPr>
              <w:keepNext w:val="0"/>
              <w:keepLines w:val="0"/>
              <w:widowControl/>
              <w:suppressLineNumbers w:val="0"/>
              <w:jc w:val="both"/>
              <w:textAlignment w:val="center"/>
              <w:rPr>
                <w:rFonts w:hint="eastAsia" w:ascii="宋体" w:hAnsi="宋体" w:cs="宋体"/>
                <w:b/>
                <w:bCs/>
                <w:i w:val="0"/>
                <w:iCs w:val="0"/>
                <w:color w:val="000000"/>
                <w:kern w:val="0"/>
                <w:sz w:val="20"/>
                <w:szCs w:val="20"/>
                <w:highlight w:val="none"/>
                <w:u w:val="none"/>
                <w:lang w:val="en-US" w:eastAsia="zh-CN" w:bidi="ar"/>
              </w:rPr>
            </w:pPr>
            <w:r>
              <w:rPr>
                <w:rFonts w:hint="eastAsia" w:ascii="宋体" w:hAnsi="宋体" w:cs="宋体"/>
                <w:b/>
                <w:bCs/>
                <w:i w:val="0"/>
                <w:iCs w:val="0"/>
                <w:color w:val="000000"/>
                <w:kern w:val="0"/>
                <w:sz w:val="20"/>
                <w:szCs w:val="20"/>
                <w:highlight w:val="none"/>
                <w:u w:val="none"/>
                <w:lang w:val="en-US" w:eastAsia="zh-CN" w:bidi="ar"/>
              </w:rPr>
              <w:t>国产会议主机内嵌软件</w:t>
            </w:r>
          </w:p>
        </w:tc>
        <w:tc>
          <w:tcPr>
            <w:tcW w:w="5864" w:type="dxa"/>
            <w:vAlign w:val="top"/>
          </w:tcPr>
          <w:p w14:paraId="0B526334">
            <w:pPr>
              <w:keepNext w:val="0"/>
              <w:keepLines w:val="0"/>
              <w:widowControl/>
              <w:suppressLineNumbers w:val="0"/>
              <w:jc w:val="left"/>
              <w:textAlignment w:val="top"/>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技术参数：</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1.软件内嵌于会议系统主机设备，应用于对全数字会议系统音频传输软件的管理或控制。</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2.内置DSP音频处理技术，支持EQ均衡调节音频处理能力。</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3.支持话筒管理能力，通过不同的模式限制话筒发言数量，保障会场发言秩序。</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4.软件支持根据话筒ID提供不同的代码编号给中控系统，与中控系统对接后，可实现摄像自动跟踪功能。</w:t>
            </w:r>
          </w:p>
        </w:tc>
        <w:tc>
          <w:tcPr>
            <w:tcW w:w="845" w:type="dxa"/>
            <w:gridSpan w:val="2"/>
            <w:vAlign w:val="center"/>
          </w:tcPr>
          <w:p w14:paraId="7D2346B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w:t>
            </w:r>
          </w:p>
        </w:tc>
        <w:tc>
          <w:tcPr>
            <w:tcW w:w="759" w:type="dxa"/>
            <w:gridSpan w:val="3"/>
            <w:vAlign w:val="center"/>
          </w:tcPr>
          <w:p w14:paraId="3D71CAB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套</w:t>
            </w:r>
          </w:p>
        </w:tc>
        <w:tc>
          <w:tcPr>
            <w:tcW w:w="759" w:type="dxa"/>
            <w:vAlign w:val="center"/>
          </w:tcPr>
          <w:p w14:paraId="65A6F5A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否</w:t>
            </w:r>
          </w:p>
        </w:tc>
      </w:tr>
      <w:tr w14:paraId="2DB2A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4" w:type="dxa"/>
            <w:vAlign w:val="center"/>
          </w:tcPr>
          <w:p w14:paraId="4734B6F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w:t>
            </w:r>
          </w:p>
        </w:tc>
        <w:tc>
          <w:tcPr>
            <w:tcW w:w="1011" w:type="dxa"/>
            <w:vAlign w:val="center"/>
          </w:tcPr>
          <w:p w14:paraId="38CC20AC">
            <w:pPr>
              <w:keepNext w:val="0"/>
              <w:keepLines w:val="0"/>
              <w:widowControl/>
              <w:suppressLineNumbers w:val="0"/>
              <w:jc w:val="both"/>
              <w:textAlignment w:val="center"/>
              <w:rPr>
                <w:rFonts w:hint="eastAsia" w:ascii="宋体" w:hAnsi="宋体" w:cs="宋体"/>
                <w:b/>
                <w:bCs/>
                <w:i w:val="0"/>
                <w:iCs w:val="0"/>
                <w:color w:val="000000"/>
                <w:kern w:val="0"/>
                <w:sz w:val="20"/>
                <w:szCs w:val="20"/>
                <w:highlight w:val="none"/>
                <w:u w:val="none"/>
                <w:lang w:val="en-US" w:eastAsia="zh-CN" w:bidi="ar"/>
              </w:rPr>
            </w:pPr>
            <w:r>
              <w:rPr>
                <w:rFonts w:hint="eastAsia" w:ascii="宋体" w:hAnsi="宋体" w:cs="宋体"/>
                <w:b/>
                <w:bCs/>
                <w:i w:val="0"/>
                <w:iCs w:val="0"/>
                <w:color w:val="000000"/>
                <w:kern w:val="0"/>
                <w:sz w:val="20"/>
                <w:szCs w:val="20"/>
                <w:highlight w:val="none"/>
                <w:u w:val="none"/>
                <w:lang w:val="en-US" w:eastAsia="zh-CN" w:bidi="ar"/>
              </w:rPr>
              <w:t>会议话筒</w:t>
            </w:r>
          </w:p>
        </w:tc>
        <w:tc>
          <w:tcPr>
            <w:tcW w:w="5864" w:type="dxa"/>
            <w:vAlign w:val="top"/>
          </w:tcPr>
          <w:p w14:paraId="49E88AB0">
            <w:pPr>
              <w:keepNext w:val="0"/>
              <w:keepLines w:val="0"/>
              <w:widowControl/>
              <w:suppressLineNumbers w:val="0"/>
              <w:jc w:val="left"/>
              <w:textAlignment w:val="top"/>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1.话筒采用≥48kHz采样率。</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2.采用芯片架构及算法，话筒开机连接时间≤5秒。</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▲3.具有智能检测故障功能，提示用户AP故障、主机通信故障、信号强度过低等情况。（提供第三方检测机构出具的具有CMA或CNAS标志的检测报告扫描件印件并加盖制造商公章）</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4.支持通过Type-C口充电，支持≥18W快充，具有智能指标状态。</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▲5.可通过UI设置SSID。（提供第三方检测机构出具的具有CMA或CNAS标志的检测报告扫描件印件并加盖制造商公章）</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6.具有中英文切换显示功能，通过PC软件统一设置。</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7.具有发言计时和定时发言功能。</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8.具有声控功能。通过软件调节声控灵敏度及设置关闭时间。</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9.支持签到功能，通过PC软件设置并发起。</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10.支持会议投票功能、支持五键选举、三键表决功能。</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11.采用≥128位AES加密技术，支持 WPA/WPA2 无线安全技术。</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12.主席具备优先权功能，可关闭正在发言的所有代表话筒。</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▲13.采用全彩触屏，咪杆长度≤240mm。（提供第三方检测机构出具的具有CMA或CNAS标志的检测报告扫描件印件并加盖制造商公章）</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14.具备≥3.5mm耳机孔，可连接外置麦克风。</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15.内置锂电池，电池容量支持≥14小时持续发言。</w:t>
            </w:r>
          </w:p>
        </w:tc>
        <w:tc>
          <w:tcPr>
            <w:tcW w:w="845" w:type="dxa"/>
            <w:gridSpan w:val="2"/>
            <w:vAlign w:val="center"/>
          </w:tcPr>
          <w:p w14:paraId="640ACE0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w:t>
            </w:r>
          </w:p>
        </w:tc>
        <w:tc>
          <w:tcPr>
            <w:tcW w:w="759" w:type="dxa"/>
            <w:gridSpan w:val="3"/>
            <w:vAlign w:val="center"/>
          </w:tcPr>
          <w:p w14:paraId="4E39AEC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台</w:t>
            </w:r>
          </w:p>
        </w:tc>
        <w:tc>
          <w:tcPr>
            <w:tcW w:w="759" w:type="dxa"/>
            <w:vAlign w:val="center"/>
          </w:tcPr>
          <w:p w14:paraId="4994387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否</w:t>
            </w:r>
          </w:p>
        </w:tc>
      </w:tr>
      <w:tr w14:paraId="0AC3F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4" w:type="dxa"/>
            <w:vAlign w:val="center"/>
          </w:tcPr>
          <w:p w14:paraId="7E290ED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w:t>
            </w:r>
          </w:p>
        </w:tc>
        <w:tc>
          <w:tcPr>
            <w:tcW w:w="1011" w:type="dxa"/>
            <w:vAlign w:val="center"/>
          </w:tcPr>
          <w:p w14:paraId="796F2B4B">
            <w:pPr>
              <w:keepNext w:val="0"/>
              <w:keepLines w:val="0"/>
              <w:widowControl/>
              <w:suppressLineNumbers w:val="0"/>
              <w:jc w:val="both"/>
              <w:textAlignment w:val="center"/>
              <w:rPr>
                <w:rFonts w:hint="eastAsia" w:ascii="宋体" w:hAnsi="宋体" w:cs="宋体"/>
                <w:b/>
                <w:bCs/>
                <w:i w:val="0"/>
                <w:iCs w:val="0"/>
                <w:color w:val="000000"/>
                <w:kern w:val="0"/>
                <w:sz w:val="20"/>
                <w:szCs w:val="20"/>
                <w:highlight w:val="none"/>
                <w:u w:val="none"/>
                <w:lang w:val="en-US" w:eastAsia="zh-CN" w:bidi="ar"/>
              </w:rPr>
            </w:pPr>
            <w:r>
              <w:rPr>
                <w:rFonts w:hint="eastAsia" w:ascii="宋体" w:hAnsi="宋体" w:cs="宋体"/>
                <w:b/>
                <w:bCs/>
                <w:i w:val="0"/>
                <w:iCs w:val="0"/>
                <w:color w:val="000000"/>
                <w:kern w:val="0"/>
                <w:sz w:val="20"/>
                <w:szCs w:val="20"/>
                <w:highlight w:val="none"/>
                <w:u w:val="none"/>
                <w:lang w:val="en-US" w:eastAsia="zh-CN" w:bidi="ar"/>
              </w:rPr>
              <w:t>全数字会议系统音频传输内嵌软件</w:t>
            </w:r>
          </w:p>
        </w:tc>
        <w:tc>
          <w:tcPr>
            <w:tcW w:w="5864" w:type="dxa"/>
            <w:vAlign w:val="top"/>
          </w:tcPr>
          <w:p w14:paraId="3A906189">
            <w:pPr>
              <w:keepNext w:val="0"/>
              <w:keepLines w:val="0"/>
              <w:widowControl/>
              <w:suppressLineNumbers w:val="0"/>
              <w:jc w:val="left"/>
              <w:textAlignment w:val="top"/>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1.软件内嵌于会议单元设备，应用于对全数字会议系统音频传输软件的管理或控制。</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2.支持中英文语言管理界面。</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3.支持≥48KHz采样率音频处理能力。</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4.支持电池管理功能，可显示电量/信号等信息</w:t>
            </w:r>
          </w:p>
        </w:tc>
        <w:tc>
          <w:tcPr>
            <w:tcW w:w="845" w:type="dxa"/>
            <w:gridSpan w:val="2"/>
            <w:vAlign w:val="center"/>
          </w:tcPr>
          <w:p w14:paraId="6EB3592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w:t>
            </w:r>
          </w:p>
        </w:tc>
        <w:tc>
          <w:tcPr>
            <w:tcW w:w="759" w:type="dxa"/>
            <w:gridSpan w:val="3"/>
            <w:vAlign w:val="center"/>
          </w:tcPr>
          <w:p w14:paraId="0A674D4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套</w:t>
            </w:r>
          </w:p>
        </w:tc>
        <w:tc>
          <w:tcPr>
            <w:tcW w:w="759" w:type="dxa"/>
            <w:vAlign w:val="center"/>
          </w:tcPr>
          <w:p w14:paraId="5C5D31E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否</w:t>
            </w:r>
          </w:p>
        </w:tc>
      </w:tr>
      <w:tr w14:paraId="1F51E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4" w:type="dxa"/>
            <w:vAlign w:val="center"/>
          </w:tcPr>
          <w:p w14:paraId="74D03DF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5</w:t>
            </w:r>
          </w:p>
        </w:tc>
        <w:tc>
          <w:tcPr>
            <w:tcW w:w="1011" w:type="dxa"/>
            <w:vAlign w:val="center"/>
          </w:tcPr>
          <w:p w14:paraId="406D9574">
            <w:pPr>
              <w:keepNext w:val="0"/>
              <w:keepLines w:val="0"/>
              <w:widowControl/>
              <w:suppressLineNumbers w:val="0"/>
              <w:jc w:val="both"/>
              <w:textAlignment w:val="center"/>
              <w:rPr>
                <w:rFonts w:hint="eastAsia" w:ascii="宋体" w:hAnsi="宋体" w:cs="宋体"/>
                <w:b/>
                <w:bCs/>
                <w:i w:val="0"/>
                <w:iCs w:val="0"/>
                <w:color w:val="000000"/>
                <w:kern w:val="0"/>
                <w:sz w:val="20"/>
                <w:szCs w:val="20"/>
                <w:highlight w:val="none"/>
                <w:u w:val="none"/>
                <w:lang w:val="en-US" w:eastAsia="zh-CN" w:bidi="ar"/>
              </w:rPr>
            </w:pPr>
            <w:r>
              <w:rPr>
                <w:rFonts w:hint="eastAsia" w:ascii="宋体" w:hAnsi="宋体" w:cs="宋体"/>
                <w:b/>
                <w:bCs/>
                <w:i w:val="0"/>
                <w:iCs w:val="0"/>
                <w:color w:val="000000"/>
                <w:kern w:val="0"/>
                <w:sz w:val="20"/>
                <w:szCs w:val="20"/>
                <w:highlight w:val="none"/>
                <w:u w:val="none"/>
                <w:lang w:val="en-US" w:eastAsia="zh-CN" w:bidi="ar"/>
              </w:rPr>
              <w:t>会议话筒</w:t>
            </w:r>
          </w:p>
        </w:tc>
        <w:tc>
          <w:tcPr>
            <w:tcW w:w="5864" w:type="dxa"/>
            <w:vAlign w:val="top"/>
          </w:tcPr>
          <w:p w14:paraId="4F98463C">
            <w:pPr>
              <w:keepNext w:val="0"/>
              <w:keepLines w:val="0"/>
              <w:widowControl/>
              <w:suppressLineNumbers w:val="0"/>
              <w:jc w:val="left"/>
              <w:textAlignment w:val="top"/>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1.话筒采用≥48kHz采样率。</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2.采用芯片架构及算法，话筒开机连接时间≤5秒。</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▲3.具有智能检测故障功能，提示用户AP故障、主机通信故障、信号强度过低等情况。（提供第三方检测机构出具的具有CMA或CNAS标志的检测报告扫描件印件并加盖制造商公章）</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4.支持通过Type-C口充电，支持≥18W快充，具有智能指标状态。</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▲5.可通过UI设置SSID。（提供第三方检测机构出具的具有CMA或CNAS标志的检测报告扫描件印件并加盖制造商公章）</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6.具有中英文切换显示功能，通过PC软件统一设置。</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7.具有发言计时和定时发言功能。</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8.具有声控功能。通过软件调节声控灵敏度及设置关闭时间。</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9.支持签到功能，通过PC软件设置并发起。</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10.支持会议投票功能、支持五键选举、三键表决功能。</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11.采用≥128位AES加密技术，支持 WPA/WPA2 无线安全技术。</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12.代表机具有申请发言功能，通过主席机批准申请人发言。</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▲13.采用全彩触屏，咪杆长度≤240mm。（提供第三方检测机构出具的具有CMA或CNAS标志的检测报告扫描件印件并加盖制造商公章）</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14.具备≥3.5mm耳机孔，可连接外置麦克风。</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15.内置锂电池，电池容量支持≥14小时持续发言。</w:t>
            </w:r>
          </w:p>
        </w:tc>
        <w:tc>
          <w:tcPr>
            <w:tcW w:w="845" w:type="dxa"/>
            <w:gridSpan w:val="2"/>
            <w:vAlign w:val="center"/>
          </w:tcPr>
          <w:p w14:paraId="4A79A04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14</w:t>
            </w:r>
          </w:p>
        </w:tc>
        <w:tc>
          <w:tcPr>
            <w:tcW w:w="759" w:type="dxa"/>
            <w:gridSpan w:val="3"/>
            <w:vAlign w:val="center"/>
          </w:tcPr>
          <w:p w14:paraId="227F884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台</w:t>
            </w:r>
          </w:p>
        </w:tc>
        <w:tc>
          <w:tcPr>
            <w:tcW w:w="759" w:type="dxa"/>
            <w:vAlign w:val="center"/>
          </w:tcPr>
          <w:p w14:paraId="5A725C8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否</w:t>
            </w:r>
          </w:p>
        </w:tc>
      </w:tr>
      <w:tr w14:paraId="4CF8B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4" w:type="dxa"/>
            <w:vAlign w:val="center"/>
          </w:tcPr>
          <w:p w14:paraId="0528259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6</w:t>
            </w:r>
          </w:p>
        </w:tc>
        <w:tc>
          <w:tcPr>
            <w:tcW w:w="1011" w:type="dxa"/>
            <w:vAlign w:val="center"/>
          </w:tcPr>
          <w:p w14:paraId="42B172C4">
            <w:pPr>
              <w:keepNext w:val="0"/>
              <w:keepLines w:val="0"/>
              <w:widowControl/>
              <w:suppressLineNumbers w:val="0"/>
              <w:jc w:val="both"/>
              <w:textAlignment w:val="center"/>
              <w:rPr>
                <w:rFonts w:hint="eastAsia" w:ascii="宋体" w:hAnsi="宋体" w:cs="宋体"/>
                <w:b/>
                <w:bCs/>
                <w:i w:val="0"/>
                <w:iCs w:val="0"/>
                <w:color w:val="000000"/>
                <w:kern w:val="0"/>
                <w:sz w:val="20"/>
                <w:szCs w:val="20"/>
                <w:highlight w:val="none"/>
                <w:u w:val="none"/>
                <w:lang w:val="en-US" w:eastAsia="zh-CN" w:bidi="ar"/>
              </w:rPr>
            </w:pPr>
            <w:r>
              <w:rPr>
                <w:rFonts w:hint="eastAsia" w:ascii="宋体" w:hAnsi="宋体" w:cs="宋体"/>
                <w:b/>
                <w:bCs/>
                <w:i w:val="0"/>
                <w:iCs w:val="0"/>
                <w:color w:val="000000"/>
                <w:kern w:val="0"/>
                <w:sz w:val="20"/>
                <w:szCs w:val="20"/>
                <w:highlight w:val="none"/>
                <w:u w:val="none"/>
                <w:lang w:val="en-US" w:eastAsia="zh-CN" w:bidi="ar"/>
              </w:rPr>
              <w:t>全数字会议系统音频传输内嵌软件</w:t>
            </w:r>
          </w:p>
        </w:tc>
        <w:tc>
          <w:tcPr>
            <w:tcW w:w="5864" w:type="dxa"/>
            <w:vAlign w:val="top"/>
          </w:tcPr>
          <w:p w14:paraId="5EDF0E21">
            <w:pPr>
              <w:keepNext w:val="0"/>
              <w:keepLines w:val="0"/>
              <w:widowControl/>
              <w:suppressLineNumbers w:val="0"/>
              <w:jc w:val="left"/>
              <w:textAlignment w:val="top"/>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1.软件内嵌于会议单元设备，应用于对全数字会议系统音频传输软件的管理或控制。</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2.支持中英文语言管理界面。</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3.支持≥48KHz采样率音频处理能力。</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4.支持电池管理功能，可显示电量/信号等信息</w:t>
            </w:r>
          </w:p>
        </w:tc>
        <w:tc>
          <w:tcPr>
            <w:tcW w:w="845" w:type="dxa"/>
            <w:gridSpan w:val="2"/>
            <w:vAlign w:val="center"/>
          </w:tcPr>
          <w:p w14:paraId="2FE7545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14</w:t>
            </w:r>
          </w:p>
        </w:tc>
        <w:tc>
          <w:tcPr>
            <w:tcW w:w="759" w:type="dxa"/>
            <w:gridSpan w:val="3"/>
            <w:vAlign w:val="center"/>
          </w:tcPr>
          <w:p w14:paraId="674E54C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套</w:t>
            </w:r>
          </w:p>
        </w:tc>
        <w:tc>
          <w:tcPr>
            <w:tcW w:w="759" w:type="dxa"/>
            <w:vAlign w:val="center"/>
          </w:tcPr>
          <w:p w14:paraId="7D106E2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否</w:t>
            </w:r>
          </w:p>
        </w:tc>
      </w:tr>
      <w:tr w14:paraId="66E8B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4" w:type="dxa"/>
            <w:vAlign w:val="center"/>
          </w:tcPr>
          <w:p w14:paraId="299BB36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7</w:t>
            </w:r>
          </w:p>
        </w:tc>
        <w:tc>
          <w:tcPr>
            <w:tcW w:w="1011" w:type="dxa"/>
            <w:vAlign w:val="center"/>
          </w:tcPr>
          <w:p w14:paraId="4512DA75">
            <w:pPr>
              <w:keepNext w:val="0"/>
              <w:keepLines w:val="0"/>
              <w:widowControl/>
              <w:suppressLineNumbers w:val="0"/>
              <w:jc w:val="both"/>
              <w:textAlignment w:val="center"/>
              <w:rPr>
                <w:rFonts w:hint="eastAsia" w:ascii="宋体" w:hAnsi="宋体" w:cs="宋体"/>
                <w:b/>
                <w:bCs/>
                <w:i w:val="0"/>
                <w:iCs w:val="0"/>
                <w:color w:val="000000"/>
                <w:kern w:val="0"/>
                <w:sz w:val="20"/>
                <w:szCs w:val="20"/>
                <w:highlight w:val="none"/>
                <w:u w:val="none"/>
                <w:lang w:val="en-US" w:eastAsia="zh-CN" w:bidi="ar"/>
              </w:rPr>
            </w:pPr>
            <w:r>
              <w:rPr>
                <w:rFonts w:hint="eastAsia" w:ascii="宋体" w:hAnsi="宋体" w:cs="宋体"/>
                <w:b/>
                <w:bCs/>
                <w:i w:val="0"/>
                <w:iCs w:val="0"/>
                <w:color w:val="000000"/>
                <w:kern w:val="0"/>
                <w:sz w:val="20"/>
                <w:szCs w:val="20"/>
                <w:highlight w:val="none"/>
                <w:u w:val="none"/>
                <w:lang w:val="en-US" w:eastAsia="zh-CN" w:bidi="ar"/>
              </w:rPr>
              <w:t>发射器</w:t>
            </w:r>
          </w:p>
        </w:tc>
        <w:tc>
          <w:tcPr>
            <w:tcW w:w="5864" w:type="dxa"/>
            <w:vAlign w:val="top"/>
          </w:tcPr>
          <w:p w14:paraId="7189E91E">
            <w:pPr>
              <w:keepNext w:val="0"/>
              <w:keepLines w:val="0"/>
              <w:widowControl/>
              <w:suppressLineNumbers w:val="0"/>
              <w:jc w:val="left"/>
              <w:textAlignment w:val="top"/>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1.遵从Wi-Fi 6协议标准（IEEE 802.11ax），向下兼容802.11a/b/g/n/ac/Wave2，支持MU-MIMO，允许AP同时接收多个终端发送数据，整机最大传输速率可达1.601Gbps</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2.支持OFDMA空间复用技术和1024QAM调制解调算法。</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3.支持中文SSID，可指定最长包含≥31个字符的SSID，也可以使用中英文混合的SSID</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4.支持WPA3安全协议。</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5.支持等同或优于80/160MHz的高带宽频段。</w:t>
            </w:r>
          </w:p>
        </w:tc>
        <w:tc>
          <w:tcPr>
            <w:tcW w:w="845" w:type="dxa"/>
            <w:gridSpan w:val="2"/>
            <w:vAlign w:val="center"/>
          </w:tcPr>
          <w:p w14:paraId="6CF16F1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w:t>
            </w:r>
          </w:p>
        </w:tc>
        <w:tc>
          <w:tcPr>
            <w:tcW w:w="759" w:type="dxa"/>
            <w:gridSpan w:val="3"/>
            <w:vAlign w:val="center"/>
          </w:tcPr>
          <w:p w14:paraId="4283520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台</w:t>
            </w:r>
          </w:p>
        </w:tc>
        <w:tc>
          <w:tcPr>
            <w:tcW w:w="759" w:type="dxa"/>
            <w:vAlign w:val="center"/>
          </w:tcPr>
          <w:p w14:paraId="06D138A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否</w:t>
            </w:r>
          </w:p>
        </w:tc>
      </w:tr>
      <w:tr w14:paraId="32935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4" w:type="dxa"/>
            <w:vAlign w:val="center"/>
          </w:tcPr>
          <w:p w14:paraId="703D6D2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w:t>
            </w:r>
          </w:p>
        </w:tc>
        <w:tc>
          <w:tcPr>
            <w:tcW w:w="1011" w:type="dxa"/>
            <w:vAlign w:val="center"/>
          </w:tcPr>
          <w:p w14:paraId="5386846A">
            <w:pPr>
              <w:keepNext w:val="0"/>
              <w:keepLines w:val="0"/>
              <w:widowControl/>
              <w:suppressLineNumbers w:val="0"/>
              <w:jc w:val="both"/>
              <w:textAlignment w:val="center"/>
              <w:rPr>
                <w:rFonts w:hint="eastAsia" w:ascii="宋体" w:hAnsi="宋体" w:cs="宋体"/>
                <w:b/>
                <w:bCs/>
                <w:i w:val="0"/>
                <w:iCs w:val="0"/>
                <w:color w:val="000000"/>
                <w:kern w:val="0"/>
                <w:sz w:val="20"/>
                <w:szCs w:val="20"/>
                <w:highlight w:val="none"/>
                <w:u w:val="none"/>
                <w:lang w:val="en-US" w:eastAsia="zh-CN" w:bidi="ar"/>
              </w:rPr>
            </w:pPr>
            <w:r>
              <w:rPr>
                <w:rFonts w:hint="eastAsia" w:ascii="宋体" w:hAnsi="宋体" w:cs="宋体"/>
                <w:b/>
                <w:bCs/>
                <w:i w:val="0"/>
                <w:iCs w:val="0"/>
                <w:color w:val="000000"/>
                <w:kern w:val="0"/>
                <w:sz w:val="20"/>
                <w:szCs w:val="20"/>
                <w:highlight w:val="none"/>
                <w:u w:val="none"/>
                <w:lang w:val="en-US" w:eastAsia="zh-CN" w:bidi="ar"/>
              </w:rPr>
              <w:t>充电箱</w:t>
            </w:r>
          </w:p>
        </w:tc>
        <w:tc>
          <w:tcPr>
            <w:tcW w:w="5864" w:type="dxa"/>
            <w:vAlign w:val="top"/>
          </w:tcPr>
          <w:p w14:paraId="6A0A6E43">
            <w:pPr>
              <w:keepNext w:val="0"/>
              <w:keepLines w:val="0"/>
              <w:widowControl/>
              <w:suppressLineNumbers w:val="0"/>
              <w:jc w:val="left"/>
              <w:textAlignment w:val="top"/>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1.充电箱具有≥10个USB接口，支持使用USB线充电，提供5V/9V供电。一端连接充电器一端连接会议单元,支持≥18W快充。支持同时插满所有USB接口。</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2.根据设备的耐受电流大小充电器会自动匹配合适的电流大小给设备充电，同时有过流保护功能。</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3.智能自动电路保护，所有USB插口均具有短路保护功能和自恢复功能。</w:t>
            </w:r>
          </w:p>
        </w:tc>
        <w:tc>
          <w:tcPr>
            <w:tcW w:w="845" w:type="dxa"/>
            <w:gridSpan w:val="2"/>
            <w:vAlign w:val="center"/>
          </w:tcPr>
          <w:p w14:paraId="25B69FC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w:t>
            </w:r>
          </w:p>
        </w:tc>
        <w:tc>
          <w:tcPr>
            <w:tcW w:w="759" w:type="dxa"/>
            <w:gridSpan w:val="3"/>
            <w:vAlign w:val="center"/>
          </w:tcPr>
          <w:p w14:paraId="45B74EA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台</w:t>
            </w:r>
          </w:p>
        </w:tc>
        <w:tc>
          <w:tcPr>
            <w:tcW w:w="759" w:type="dxa"/>
            <w:vAlign w:val="center"/>
          </w:tcPr>
          <w:p w14:paraId="223473E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否</w:t>
            </w:r>
          </w:p>
        </w:tc>
      </w:tr>
      <w:tr w14:paraId="2CB8C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4" w:type="dxa"/>
            <w:vAlign w:val="center"/>
          </w:tcPr>
          <w:p w14:paraId="6CAA08B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9</w:t>
            </w:r>
          </w:p>
        </w:tc>
        <w:tc>
          <w:tcPr>
            <w:tcW w:w="1011" w:type="dxa"/>
            <w:vAlign w:val="center"/>
          </w:tcPr>
          <w:p w14:paraId="4EB8DC97">
            <w:pPr>
              <w:keepNext w:val="0"/>
              <w:keepLines w:val="0"/>
              <w:widowControl/>
              <w:suppressLineNumbers w:val="0"/>
              <w:jc w:val="both"/>
              <w:textAlignment w:val="center"/>
              <w:rPr>
                <w:rFonts w:hint="eastAsia" w:ascii="宋体" w:hAnsi="宋体" w:cs="宋体"/>
                <w:b/>
                <w:bCs/>
                <w:i w:val="0"/>
                <w:iCs w:val="0"/>
                <w:color w:val="000000"/>
                <w:kern w:val="0"/>
                <w:sz w:val="20"/>
                <w:szCs w:val="20"/>
                <w:highlight w:val="none"/>
                <w:u w:val="none"/>
                <w:lang w:val="en-US" w:eastAsia="zh-CN" w:bidi="ar"/>
              </w:rPr>
            </w:pPr>
            <w:r>
              <w:rPr>
                <w:rFonts w:hint="eastAsia" w:ascii="宋体" w:hAnsi="宋体" w:cs="宋体"/>
                <w:b/>
                <w:bCs/>
                <w:i w:val="0"/>
                <w:iCs w:val="0"/>
                <w:color w:val="000000"/>
                <w:kern w:val="0"/>
                <w:sz w:val="20"/>
                <w:szCs w:val="20"/>
                <w:highlight w:val="none"/>
                <w:u w:val="none"/>
                <w:lang w:val="en-US" w:eastAsia="zh-CN" w:bidi="ar"/>
              </w:rPr>
              <w:t>网络连接设备</w:t>
            </w:r>
          </w:p>
        </w:tc>
        <w:tc>
          <w:tcPr>
            <w:tcW w:w="5864" w:type="dxa"/>
            <w:vAlign w:val="top"/>
          </w:tcPr>
          <w:p w14:paraId="75D2DAB2">
            <w:pPr>
              <w:keepNext w:val="0"/>
              <w:keepLines w:val="0"/>
              <w:widowControl/>
              <w:suppressLineNumbers w:val="0"/>
              <w:jc w:val="left"/>
              <w:textAlignment w:val="top"/>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1.≥9个10/100/1000Base-T RJ45端口，≥1个千兆SFP光⼝；</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2.1〜8号千兆RJ45端⼝⽀持IEEE 802.3af/at标准PoE供电；</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3.⽀持智能开局、异常告警、快速排障；</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4.⽀持802.1Q VLAN、Port VLAN、QoS、带宽控制、⻛暴抑制；</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5.⽀持端口汇聚、端口流量统计、端口监控、线缆检测、环回保护。</w:t>
            </w:r>
          </w:p>
        </w:tc>
        <w:tc>
          <w:tcPr>
            <w:tcW w:w="845" w:type="dxa"/>
            <w:gridSpan w:val="2"/>
            <w:vAlign w:val="center"/>
          </w:tcPr>
          <w:p w14:paraId="5900A12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w:t>
            </w:r>
          </w:p>
        </w:tc>
        <w:tc>
          <w:tcPr>
            <w:tcW w:w="759" w:type="dxa"/>
            <w:gridSpan w:val="3"/>
            <w:vAlign w:val="center"/>
          </w:tcPr>
          <w:p w14:paraId="2659757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台</w:t>
            </w:r>
          </w:p>
        </w:tc>
        <w:tc>
          <w:tcPr>
            <w:tcW w:w="759" w:type="dxa"/>
            <w:vAlign w:val="center"/>
          </w:tcPr>
          <w:p w14:paraId="72B18ED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否</w:t>
            </w:r>
          </w:p>
        </w:tc>
      </w:tr>
      <w:tr w14:paraId="3D969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4" w:type="dxa"/>
            <w:vAlign w:val="center"/>
          </w:tcPr>
          <w:p w14:paraId="00F2C0F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w:t>
            </w:r>
          </w:p>
        </w:tc>
        <w:tc>
          <w:tcPr>
            <w:tcW w:w="1011" w:type="dxa"/>
            <w:vAlign w:val="center"/>
          </w:tcPr>
          <w:p w14:paraId="110DDCF2">
            <w:pPr>
              <w:keepNext w:val="0"/>
              <w:keepLines w:val="0"/>
              <w:widowControl/>
              <w:suppressLineNumbers w:val="0"/>
              <w:jc w:val="both"/>
              <w:textAlignment w:val="center"/>
              <w:rPr>
                <w:rFonts w:hint="eastAsia" w:ascii="宋体" w:hAnsi="宋体" w:cs="宋体"/>
                <w:b/>
                <w:bCs/>
                <w:i w:val="0"/>
                <w:iCs w:val="0"/>
                <w:color w:val="000000"/>
                <w:kern w:val="0"/>
                <w:sz w:val="20"/>
                <w:szCs w:val="20"/>
                <w:highlight w:val="none"/>
                <w:u w:val="none"/>
                <w:lang w:val="en-US" w:eastAsia="zh-CN" w:bidi="ar"/>
              </w:rPr>
            </w:pPr>
            <w:r>
              <w:rPr>
                <w:rFonts w:hint="eastAsia" w:ascii="宋体" w:hAnsi="宋体" w:cs="宋体"/>
                <w:b/>
                <w:bCs/>
                <w:i w:val="0"/>
                <w:iCs w:val="0"/>
                <w:color w:val="000000"/>
                <w:kern w:val="0"/>
                <w:sz w:val="20"/>
                <w:szCs w:val="20"/>
                <w:highlight w:val="none"/>
                <w:u w:val="none"/>
                <w:lang w:val="en-US" w:eastAsia="zh-CN" w:bidi="ar"/>
              </w:rPr>
              <w:t>连接线</w:t>
            </w:r>
          </w:p>
        </w:tc>
        <w:tc>
          <w:tcPr>
            <w:tcW w:w="5864" w:type="dxa"/>
            <w:vAlign w:val="top"/>
          </w:tcPr>
          <w:p w14:paraId="77905691">
            <w:pPr>
              <w:keepNext w:val="0"/>
              <w:keepLines w:val="0"/>
              <w:widowControl/>
              <w:suppressLineNumbers w:val="0"/>
              <w:jc w:val="left"/>
              <w:textAlignment w:val="top"/>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≥30米延长线（一公一母）</w:t>
            </w:r>
          </w:p>
        </w:tc>
        <w:tc>
          <w:tcPr>
            <w:tcW w:w="845" w:type="dxa"/>
            <w:gridSpan w:val="2"/>
            <w:vAlign w:val="center"/>
          </w:tcPr>
          <w:p w14:paraId="3FCD344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w:t>
            </w:r>
          </w:p>
        </w:tc>
        <w:tc>
          <w:tcPr>
            <w:tcW w:w="759" w:type="dxa"/>
            <w:gridSpan w:val="3"/>
            <w:vAlign w:val="center"/>
          </w:tcPr>
          <w:p w14:paraId="6ED8CC0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根</w:t>
            </w:r>
          </w:p>
        </w:tc>
        <w:tc>
          <w:tcPr>
            <w:tcW w:w="759" w:type="dxa"/>
            <w:vAlign w:val="center"/>
          </w:tcPr>
          <w:p w14:paraId="20CE8E7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否</w:t>
            </w:r>
          </w:p>
        </w:tc>
      </w:tr>
      <w:tr w14:paraId="617EB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4" w:type="dxa"/>
            <w:vAlign w:val="center"/>
          </w:tcPr>
          <w:p w14:paraId="48AD20F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11</w:t>
            </w:r>
          </w:p>
        </w:tc>
        <w:tc>
          <w:tcPr>
            <w:tcW w:w="1011" w:type="dxa"/>
            <w:vAlign w:val="center"/>
          </w:tcPr>
          <w:p w14:paraId="372F2C4F">
            <w:pPr>
              <w:keepNext w:val="0"/>
              <w:keepLines w:val="0"/>
              <w:widowControl/>
              <w:suppressLineNumbers w:val="0"/>
              <w:jc w:val="both"/>
              <w:textAlignment w:val="center"/>
              <w:rPr>
                <w:rFonts w:hint="eastAsia" w:ascii="宋体" w:hAnsi="宋体" w:cs="宋体"/>
                <w:b/>
                <w:bCs/>
                <w:i w:val="0"/>
                <w:iCs w:val="0"/>
                <w:color w:val="000000"/>
                <w:kern w:val="0"/>
                <w:sz w:val="20"/>
                <w:szCs w:val="20"/>
                <w:highlight w:val="none"/>
                <w:u w:val="none"/>
                <w:lang w:val="en-US" w:eastAsia="zh-CN" w:bidi="ar"/>
              </w:rPr>
            </w:pPr>
            <w:r>
              <w:rPr>
                <w:rFonts w:hint="eastAsia" w:ascii="宋体" w:hAnsi="宋体" w:cs="宋体"/>
                <w:b/>
                <w:bCs/>
                <w:i w:val="0"/>
                <w:iCs w:val="0"/>
                <w:color w:val="000000"/>
                <w:kern w:val="0"/>
                <w:sz w:val="20"/>
                <w:szCs w:val="20"/>
                <w:highlight w:val="none"/>
                <w:u w:val="none"/>
                <w:lang w:val="en-US" w:eastAsia="zh-CN" w:bidi="ar"/>
              </w:rPr>
              <w:t>插座</w:t>
            </w:r>
          </w:p>
        </w:tc>
        <w:tc>
          <w:tcPr>
            <w:tcW w:w="5864" w:type="dxa"/>
            <w:vAlign w:val="top"/>
          </w:tcPr>
          <w:p w14:paraId="5A255B3F">
            <w:pPr>
              <w:keepNext w:val="0"/>
              <w:keepLines w:val="0"/>
              <w:widowControl/>
              <w:suppressLineNumbers w:val="0"/>
              <w:jc w:val="left"/>
              <w:textAlignment w:val="top"/>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1.一进三出连接单元</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2.采用 ≥100M/10M 自适应网络传输，可以实现手拉手级联。</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3.每个六芯航空接口支持IEEE802.3、IEEE802.3u、 IEEE802.3x规范。</w:t>
            </w:r>
          </w:p>
        </w:tc>
        <w:tc>
          <w:tcPr>
            <w:tcW w:w="845" w:type="dxa"/>
            <w:gridSpan w:val="2"/>
            <w:vAlign w:val="center"/>
          </w:tcPr>
          <w:p w14:paraId="284CDBA0">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w:t>
            </w:r>
          </w:p>
        </w:tc>
        <w:tc>
          <w:tcPr>
            <w:tcW w:w="759" w:type="dxa"/>
            <w:gridSpan w:val="3"/>
            <w:vAlign w:val="center"/>
          </w:tcPr>
          <w:p w14:paraId="72E7EAB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个</w:t>
            </w:r>
          </w:p>
        </w:tc>
        <w:tc>
          <w:tcPr>
            <w:tcW w:w="759" w:type="dxa"/>
            <w:vAlign w:val="center"/>
          </w:tcPr>
          <w:p w14:paraId="3591CD3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否</w:t>
            </w:r>
          </w:p>
        </w:tc>
      </w:tr>
      <w:tr w14:paraId="5B038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9802" w:type="dxa"/>
            <w:gridSpan w:val="9"/>
            <w:vAlign w:val="center"/>
          </w:tcPr>
          <w:p w14:paraId="0B307160">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b/>
                <w:bCs/>
                <w:i w:val="0"/>
                <w:iCs w:val="0"/>
                <w:color w:val="000000"/>
                <w:kern w:val="0"/>
                <w:sz w:val="20"/>
                <w:szCs w:val="20"/>
                <w:highlight w:val="none"/>
                <w:u w:val="none"/>
                <w:lang w:val="en-US" w:eastAsia="zh-CN" w:bidi="ar"/>
              </w:rPr>
              <w:t>三、扩声系统（满足会场的扩声声压级需求，保证会场声音清晰、高保真；确保无电流声、无飞麦等不良现象）</w:t>
            </w:r>
          </w:p>
        </w:tc>
      </w:tr>
      <w:tr w14:paraId="54BFB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4" w:type="dxa"/>
            <w:vAlign w:val="center"/>
          </w:tcPr>
          <w:p w14:paraId="5D468DA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w:t>
            </w:r>
          </w:p>
        </w:tc>
        <w:tc>
          <w:tcPr>
            <w:tcW w:w="1011" w:type="dxa"/>
            <w:vAlign w:val="center"/>
          </w:tcPr>
          <w:p w14:paraId="61B5AE64">
            <w:pPr>
              <w:keepNext w:val="0"/>
              <w:keepLines w:val="0"/>
              <w:widowControl/>
              <w:suppressLineNumbers w:val="0"/>
              <w:jc w:val="both"/>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b/>
                <w:bCs/>
                <w:i w:val="0"/>
                <w:iCs w:val="0"/>
                <w:color w:val="000000"/>
                <w:kern w:val="0"/>
                <w:sz w:val="20"/>
                <w:szCs w:val="20"/>
                <w:highlight w:val="none"/>
                <w:u w:val="none"/>
                <w:lang w:val="en-US" w:eastAsia="zh-CN" w:bidi="ar"/>
              </w:rPr>
              <w:t>专业功放</w:t>
            </w:r>
          </w:p>
        </w:tc>
        <w:tc>
          <w:tcPr>
            <w:tcW w:w="5864" w:type="dxa"/>
            <w:vAlign w:val="top"/>
          </w:tcPr>
          <w:p w14:paraId="11B1C420">
            <w:pPr>
              <w:keepNext w:val="0"/>
              <w:keepLines w:val="0"/>
              <w:widowControl/>
              <w:suppressLineNumbers w:val="0"/>
              <w:jc w:val="left"/>
              <w:textAlignment w:val="top"/>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1.采用高效功率放大电路，输出可桥接8欧。</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2.电源采用开关电源供电，具有过压保护功能。</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3.功放具有压限，过温保护，过流保护，输出直流保护，输出短路保护功能。</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4.支持XLR平衡式输入，SPEAKON音响插座输出。</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5.MONO/STEREO/BRIDGE三种模式可选择切换。</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6.常规带载8Ω，最低带载4Ω。</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7.输出功率：立体声8Ω ：≥200W×4；立体声4Ω：≥380W×4；桥接8Ω：≥760W×2</w:t>
            </w:r>
          </w:p>
        </w:tc>
        <w:tc>
          <w:tcPr>
            <w:tcW w:w="845" w:type="dxa"/>
            <w:gridSpan w:val="2"/>
            <w:vAlign w:val="center"/>
          </w:tcPr>
          <w:p w14:paraId="50CCF08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w:t>
            </w:r>
          </w:p>
        </w:tc>
        <w:tc>
          <w:tcPr>
            <w:tcW w:w="759" w:type="dxa"/>
            <w:gridSpan w:val="3"/>
            <w:vAlign w:val="center"/>
          </w:tcPr>
          <w:p w14:paraId="3268DEF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台</w:t>
            </w:r>
          </w:p>
        </w:tc>
        <w:tc>
          <w:tcPr>
            <w:tcW w:w="759" w:type="dxa"/>
            <w:vAlign w:val="center"/>
          </w:tcPr>
          <w:p w14:paraId="35CE879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否</w:t>
            </w:r>
          </w:p>
        </w:tc>
      </w:tr>
      <w:tr w14:paraId="2DA24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4" w:type="dxa"/>
            <w:vAlign w:val="center"/>
          </w:tcPr>
          <w:p w14:paraId="28600DB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w:t>
            </w:r>
          </w:p>
        </w:tc>
        <w:tc>
          <w:tcPr>
            <w:tcW w:w="1011" w:type="dxa"/>
            <w:vAlign w:val="center"/>
          </w:tcPr>
          <w:p w14:paraId="41FD05CD">
            <w:pPr>
              <w:keepNext w:val="0"/>
              <w:keepLines w:val="0"/>
              <w:widowControl/>
              <w:suppressLineNumbers w:val="0"/>
              <w:jc w:val="both"/>
              <w:textAlignment w:val="center"/>
              <w:rPr>
                <w:rFonts w:hint="eastAsia" w:ascii="宋体" w:hAnsi="宋体" w:cs="宋体"/>
                <w:b/>
                <w:bCs/>
                <w:i w:val="0"/>
                <w:iCs w:val="0"/>
                <w:color w:val="000000"/>
                <w:kern w:val="0"/>
                <w:sz w:val="20"/>
                <w:szCs w:val="20"/>
                <w:highlight w:val="none"/>
                <w:u w:val="none"/>
                <w:lang w:val="en-US" w:eastAsia="zh-CN" w:bidi="ar"/>
              </w:rPr>
            </w:pPr>
            <w:r>
              <w:rPr>
                <w:rFonts w:hint="eastAsia" w:ascii="宋体" w:hAnsi="宋体" w:cs="宋体"/>
                <w:b/>
                <w:bCs/>
                <w:i w:val="0"/>
                <w:iCs w:val="0"/>
                <w:color w:val="000000"/>
                <w:kern w:val="0"/>
                <w:sz w:val="20"/>
                <w:szCs w:val="20"/>
                <w:highlight w:val="none"/>
                <w:u w:val="none"/>
                <w:lang w:val="en-US" w:eastAsia="zh-CN" w:bidi="ar"/>
              </w:rPr>
              <w:t>天花喇叭</w:t>
            </w:r>
          </w:p>
        </w:tc>
        <w:tc>
          <w:tcPr>
            <w:tcW w:w="5864" w:type="dxa"/>
            <w:vAlign w:val="top"/>
          </w:tcPr>
          <w:p w14:paraId="343CDC50">
            <w:pPr>
              <w:keepNext w:val="0"/>
              <w:keepLines w:val="0"/>
              <w:widowControl/>
              <w:suppressLineNumbers w:val="0"/>
              <w:jc w:val="left"/>
              <w:textAlignment w:val="top"/>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1.采用≥1只6.5寸中低音喇叭单元和≥1只1.5"球顶高音单元的同轴设计方案；</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2.采用吸顶安装方式，采用铁质网罩内贴防尘网棉。</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3.分频器优化功率响应及人声部分的中频表现力。</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4.额定功率≥100W</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5.阻抗：≤8Ω</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6.频率响应(-10dB)等同或优于60Hz-20KHz</w:t>
            </w:r>
          </w:p>
        </w:tc>
        <w:tc>
          <w:tcPr>
            <w:tcW w:w="845" w:type="dxa"/>
            <w:gridSpan w:val="2"/>
            <w:vAlign w:val="center"/>
          </w:tcPr>
          <w:p w14:paraId="2BA01FA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w:t>
            </w:r>
          </w:p>
        </w:tc>
        <w:tc>
          <w:tcPr>
            <w:tcW w:w="759" w:type="dxa"/>
            <w:gridSpan w:val="3"/>
            <w:vAlign w:val="center"/>
          </w:tcPr>
          <w:p w14:paraId="3B32E7E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只</w:t>
            </w:r>
          </w:p>
        </w:tc>
        <w:tc>
          <w:tcPr>
            <w:tcW w:w="759" w:type="dxa"/>
            <w:vAlign w:val="center"/>
          </w:tcPr>
          <w:p w14:paraId="29378DE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否</w:t>
            </w:r>
          </w:p>
        </w:tc>
      </w:tr>
      <w:tr w14:paraId="31D7F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4" w:type="dxa"/>
            <w:vAlign w:val="center"/>
          </w:tcPr>
          <w:p w14:paraId="061C0D10">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w:t>
            </w:r>
          </w:p>
        </w:tc>
        <w:tc>
          <w:tcPr>
            <w:tcW w:w="1011" w:type="dxa"/>
            <w:vAlign w:val="center"/>
          </w:tcPr>
          <w:p w14:paraId="2346F759">
            <w:pPr>
              <w:keepNext w:val="0"/>
              <w:keepLines w:val="0"/>
              <w:widowControl/>
              <w:suppressLineNumbers w:val="0"/>
              <w:jc w:val="both"/>
              <w:textAlignment w:val="center"/>
              <w:rPr>
                <w:rFonts w:hint="eastAsia" w:ascii="宋体" w:hAnsi="宋体" w:cs="宋体"/>
                <w:b/>
                <w:bCs/>
                <w:i w:val="0"/>
                <w:iCs w:val="0"/>
                <w:color w:val="000000"/>
                <w:kern w:val="0"/>
                <w:sz w:val="20"/>
                <w:szCs w:val="20"/>
                <w:highlight w:val="none"/>
                <w:u w:val="none"/>
                <w:lang w:val="en-US" w:eastAsia="zh-CN" w:bidi="ar"/>
              </w:rPr>
            </w:pPr>
            <w:r>
              <w:rPr>
                <w:rFonts w:hint="eastAsia" w:ascii="宋体" w:hAnsi="宋体" w:cs="宋体"/>
                <w:b/>
                <w:bCs/>
                <w:i w:val="0"/>
                <w:iCs w:val="0"/>
                <w:color w:val="000000"/>
                <w:kern w:val="0"/>
                <w:sz w:val="20"/>
                <w:szCs w:val="20"/>
                <w:highlight w:val="none"/>
                <w:u w:val="none"/>
                <w:lang w:val="en-US" w:eastAsia="zh-CN" w:bidi="ar"/>
              </w:rPr>
              <w:t>无线话筒</w:t>
            </w:r>
          </w:p>
        </w:tc>
        <w:tc>
          <w:tcPr>
            <w:tcW w:w="5864" w:type="dxa"/>
            <w:vAlign w:val="top"/>
          </w:tcPr>
          <w:p w14:paraId="15335CC0">
            <w:pPr>
              <w:keepNext w:val="0"/>
              <w:keepLines w:val="0"/>
              <w:widowControl/>
              <w:suppressLineNumbers w:val="0"/>
              <w:jc w:val="left"/>
              <w:textAlignment w:val="top"/>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1.基于数字U段的传输技术，pi/4-DQPSK调制方式；传输距离≥80米，接收机具有≥2路平衡输出、≥1路非平衡混音输出；具有混响、均衡、智能静音、音频加密、功率调节功能。</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2.具有≥1台接收主机、≥2只手持发射机；频率范围等同或宽于540MHz-590MHz、640MHz-690MHz两个频段使用。</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接收机前面板具有≥2个显示屏、≥2个编码旋钮、≥2个频率扫描实体按键、≥2个红外对频实体按键、≥1个电源开关按键、≥1个二合一指示灯（红外发射管+对频指示灯）；后面板具有≥1个LINE-OUT接口、≥2个XLR-OUT接口、≥2个BNC接口、≥1个DC接口。发射机具有≥1个OLED 显示屏、≥1个开关机/静音按键、≥1个工作状态指示灯、≥1×Type-C充电接口。（提供第三方检测机构出具的具有CMA或CNAS标志的检测报告扫描件并加盖制造商公章）</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具有自动静音功能，麦克风跌落、抛掷时，毫秒级自动静音，避免冲击声；实时监测设备姿态，静置≥5秒静音，≥8分钟关机，无需手动干预。（提供第三方检测机构出具的具有CMA或CNAS标志的检测报告扫描件并加盖制造商公章）</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5.具有多档位混响调节功能，混响效果≥15625个，效果占比、回响延时、混响幅度调节，三种音效各具有≥25档调节方式。</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6.具有多频段均衡调节功能，均衡调节≥2197种，麦克风均衡器调节功能，具有高、中、低音三种调节档位，每种效果支持≥13档调节。</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7.具有长时间续航，发射机使用时长≥10小时。</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8.具有ID码防串扰功能，采用32位唯一ID码，用于接收和发射配对，收发ID码必须相同才能对码，能够有效防止相同频率的信号相互串台。</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9.发射机能够显示频率信息、音频加密状态、功率挡位、静音状态、电量格数信息；供电方式支持Type-C直充、充电底座充电及5号电池（兼容镍氢/碱性/锂电池）供电。（提供第三方检测机构出具的具有CMA或CNAS标志的检测报告扫描件并加盖制造商公章）</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▲10.符合GB/T30146-2023（提供第三方认证机构颁发的在有效期内的佐证资料并加盖制造商公章）</w:t>
            </w:r>
          </w:p>
        </w:tc>
        <w:tc>
          <w:tcPr>
            <w:tcW w:w="845" w:type="dxa"/>
            <w:gridSpan w:val="2"/>
            <w:vAlign w:val="center"/>
          </w:tcPr>
          <w:p w14:paraId="6C0D712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w:t>
            </w:r>
          </w:p>
        </w:tc>
        <w:tc>
          <w:tcPr>
            <w:tcW w:w="759" w:type="dxa"/>
            <w:gridSpan w:val="3"/>
            <w:vAlign w:val="center"/>
          </w:tcPr>
          <w:p w14:paraId="1BF74AD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套</w:t>
            </w:r>
          </w:p>
        </w:tc>
        <w:tc>
          <w:tcPr>
            <w:tcW w:w="759" w:type="dxa"/>
            <w:vAlign w:val="center"/>
          </w:tcPr>
          <w:p w14:paraId="4F76133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否</w:t>
            </w:r>
          </w:p>
        </w:tc>
      </w:tr>
      <w:tr w14:paraId="138A8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4" w:type="dxa"/>
            <w:vAlign w:val="center"/>
          </w:tcPr>
          <w:p w14:paraId="6B0D5B3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w:t>
            </w:r>
          </w:p>
        </w:tc>
        <w:tc>
          <w:tcPr>
            <w:tcW w:w="1011" w:type="dxa"/>
            <w:vAlign w:val="center"/>
          </w:tcPr>
          <w:p w14:paraId="06B1BCC4">
            <w:pPr>
              <w:keepNext w:val="0"/>
              <w:keepLines w:val="0"/>
              <w:widowControl/>
              <w:suppressLineNumbers w:val="0"/>
              <w:jc w:val="both"/>
              <w:textAlignment w:val="center"/>
              <w:rPr>
                <w:rFonts w:hint="eastAsia" w:ascii="宋体" w:hAnsi="宋体" w:cs="宋体"/>
                <w:b/>
                <w:bCs/>
                <w:i w:val="0"/>
                <w:iCs w:val="0"/>
                <w:color w:val="000000"/>
                <w:kern w:val="0"/>
                <w:sz w:val="20"/>
                <w:szCs w:val="20"/>
                <w:highlight w:val="none"/>
                <w:u w:val="none"/>
                <w:lang w:val="en-US" w:eastAsia="zh-CN" w:bidi="ar"/>
              </w:rPr>
            </w:pPr>
            <w:r>
              <w:rPr>
                <w:rFonts w:hint="eastAsia" w:ascii="宋体" w:hAnsi="宋体" w:cs="宋体"/>
                <w:b/>
                <w:bCs/>
                <w:i w:val="0"/>
                <w:iCs w:val="0"/>
                <w:color w:val="000000"/>
                <w:kern w:val="0"/>
                <w:sz w:val="20"/>
                <w:szCs w:val="20"/>
                <w:highlight w:val="none"/>
                <w:u w:val="none"/>
                <w:lang w:val="en-US" w:eastAsia="zh-CN" w:bidi="ar"/>
              </w:rPr>
              <w:t>话筒呼叫控制嵌入软件</w:t>
            </w:r>
          </w:p>
        </w:tc>
        <w:tc>
          <w:tcPr>
            <w:tcW w:w="5864" w:type="dxa"/>
            <w:vAlign w:val="top"/>
          </w:tcPr>
          <w:p w14:paraId="77A80DE0">
            <w:pPr>
              <w:keepNext w:val="0"/>
              <w:keepLines w:val="0"/>
              <w:widowControl/>
              <w:suppressLineNumbers w:val="0"/>
              <w:jc w:val="left"/>
              <w:textAlignment w:val="top"/>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1.软件内嵌于无线话筒系统设备，话筒呼叫控制功能。</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2.采用UHF超高频段双真分集接收，并采用PLL锁相环多信道频率合成技术。</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3.支持自动选讯接收方式。</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4.支持信道选择、频率可调、可设置主机与话筒配对。</w:t>
            </w:r>
          </w:p>
        </w:tc>
        <w:tc>
          <w:tcPr>
            <w:tcW w:w="845" w:type="dxa"/>
            <w:gridSpan w:val="2"/>
            <w:vAlign w:val="center"/>
          </w:tcPr>
          <w:p w14:paraId="721E7B6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w:t>
            </w:r>
          </w:p>
        </w:tc>
        <w:tc>
          <w:tcPr>
            <w:tcW w:w="759" w:type="dxa"/>
            <w:gridSpan w:val="3"/>
            <w:vAlign w:val="center"/>
          </w:tcPr>
          <w:p w14:paraId="518F4CA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套</w:t>
            </w:r>
          </w:p>
        </w:tc>
        <w:tc>
          <w:tcPr>
            <w:tcW w:w="759" w:type="dxa"/>
            <w:vAlign w:val="center"/>
          </w:tcPr>
          <w:p w14:paraId="3171BFD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否</w:t>
            </w:r>
          </w:p>
        </w:tc>
      </w:tr>
      <w:tr w14:paraId="70D28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4" w:type="dxa"/>
            <w:vAlign w:val="center"/>
          </w:tcPr>
          <w:p w14:paraId="0FD6038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5</w:t>
            </w:r>
          </w:p>
        </w:tc>
        <w:tc>
          <w:tcPr>
            <w:tcW w:w="1011" w:type="dxa"/>
            <w:vAlign w:val="center"/>
          </w:tcPr>
          <w:p w14:paraId="3FB7E471">
            <w:pPr>
              <w:keepNext w:val="0"/>
              <w:keepLines w:val="0"/>
              <w:widowControl/>
              <w:suppressLineNumbers w:val="0"/>
              <w:jc w:val="both"/>
              <w:textAlignment w:val="center"/>
              <w:rPr>
                <w:rFonts w:hint="eastAsia" w:ascii="宋体" w:hAnsi="宋体" w:cs="宋体"/>
                <w:b/>
                <w:bCs/>
                <w:i w:val="0"/>
                <w:iCs w:val="0"/>
                <w:color w:val="000000"/>
                <w:kern w:val="0"/>
                <w:sz w:val="20"/>
                <w:szCs w:val="20"/>
                <w:highlight w:val="none"/>
                <w:u w:val="none"/>
                <w:lang w:val="en-US" w:eastAsia="zh-CN" w:bidi="ar"/>
              </w:rPr>
            </w:pPr>
            <w:r>
              <w:rPr>
                <w:rFonts w:hint="eastAsia" w:ascii="宋体" w:hAnsi="宋体" w:cs="宋体"/>
                <w:b/>
                <w:bCs/>
                <w:i w:val="0"/>
                <w:iCs w:val="0"/>
                <w:color w:val="000000"/>
                <w:kern w:val="0"/>
                <w:sz w:val="20"/>
                <w:szCs w:val="20"/>
                <w:highlight w:val="none"/>
                <w:u w:val="none"/>
                <w:lang w:val="en-US" w:eastAsia="zh-CN" w:bidi="ar"/>
              </w:rPr>
              <w:t>话筒天线</w:t>
            </w:r>
          </w:p>
        </w:tc>
        <w:tc>
          <w:tcPr>
            <w:tcW w:w="5864" w:type="dxa"/>
            <w:vAlign w:val="top"/>
          </w:tcPr>
          <w:p w14:paraId="53E3B00D">
            <w:pPr>
              <w:keepNext w:val="0"/>
              <w:keepLines w:val="0"/>
              <w:widowControl/>
              <w:suppressLineNumbers w:val="0"/>
              <w:jc w:val="left"/>
              <w:textAlignment w:val="top"/>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1.射频频率范围等同或优于470～950MHz</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2.驻波比：≤2.0</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3.输入阻抗：≤50Ω</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4.指向性：≥180度指向</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5.放大器增益：五档可调：无源(0dB)、有源(+3dB/+6dB/+10dB/+16dB)</w:t>
            </w:r>
          </w:p>
        </w:tc>
        <w:tc>
          <w:tcPr>
            <w:tcW w:w="845" w:type="dxa"/>
            <w:gridSpan w:val="2"/>
            <w:vAlign w:val="center"/>
          </w:tcPr>
          <w:p w14:paraId="2D5BED5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w:t>
            </w:r>
          </w:p>
        </w:tc>
        <w:tc>
          <w:tcPr>
            <w:tcW w:w="759" w:type="dxa"/>
            <w:gridSpan w:val="3"/>
            <w:vAlign w:val="center"/>
          </w:tcPr>
          <w:p w14:paraId="607EBFD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套</w:t>
            </w:r>
          </w:p>
        </w:tc>
        <w:tc>
          <w:tcPr>
            <w:tcW w:w="759" w:type="dxa"/>
            <w:vAlign w:val="center"/>
          </w:tcPr>
          <w:p w14:paraId="0F9C296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否</w:t>
            </w:r>
          </w:p>
        </w:tc>
      </w:tr>
      <w:tr w14:paraId="2A3B2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4" w:type="dxa"/>
            <w:vAlign w:val="center"/>
          </w:tcPr>
          <w:p w14:paraId="21A1B8F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6</w:t>
            </w:r>
          </w:p>
        </w:tc>
        <w:tc>
          <w:tcPr>
            <w:tcW w:w="1011" w:type="dxa"/>
            <w:vAlign w:val="center"/>
          </w:tcPr>
          <w:p w14:paraId="4651B1F5">
            <w:pPr>
              <w:keepNext w:val="0"/>
              <w:keepLines w:val="0"/>
              <w:widowControl/>
              <w:suppressLineNumbers w:val="0"/>
              <w:jc w:val="both"/>
              <w:textAlignment w:val="center"/>
              <w:rPr>
                <w:rFonts w:hint="eastAsia" w:ascii="宋体" w:hAnsi="宋体" w:cs="宋体"/>
                <w:b/>
                <w:bCs/>
                <w:i w:val="0"/>
                <w:iCs w:val="0"/>
                <w:color w:val="000000"/>
                <w:kern w:val="0"/>
                <w:sz w:val="20"/>
                <w:szCs w:val="20"/>
                <w:highlight w:val="none"/>
                <w:u w:val="none"/>
                <w:lang w:val="en-US" w:eastAsia="zh-CN" w:bidi="ar"/>
              </w:rPr>
            </w:pPr>
            <w:r>
              <w:rPr>
                <w:rFonts w:hint="eastAsia" w:ascii="宋体" w:hAnsi="宋体" w:cs="宋体"/>
                <w:b/>
                <w:bCs/>
                <w:i w:val="0"/>
                <w:iCs w:val="0"/>
                <w:color w:val="000000"/>
                <w:kern w:val="0"/>
                <w:sz w:val="20"/>
                <w:szCs w:val="20"/>
                <w:highlight w:val="none"/>
                <w:u w:val="none"/>
                <w:lang w:val="en-US" w:eastAsia="zh-CN" w:bidi="ar"/>
              </w:rPr>
              <w:t>数字调音台</w:t>
            </w:r>
          </w:p>
        </w:tc>
        <w:tc>
          <w:tcPr>
            <w:tcW w:w="5864" w:type="dxa"/>
            <w:vAlign w:val="top"/>
          </w:tcPr>
          <w:p w14:paraId="3D58636F">
            <w:pPr>
              <w:keepNext w:val="0"/>
              <w:keepLines w:val="0"/>
              <w:widowControl/>
              <w:suppressLineNumbers w:val="0"/>
              <w:jc w:val="left"/>
              <w:textAlignment w:val="top"/>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1.具有≥14路平衡XLR输入接口、≥16路TRS输入接口、≥1路OPTICAL接口、≥1路S/PDIF接口、≥1路USB2.0输入声卡。</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2.具有≥100组场景预设功能，可导出、导入USB存储器，便于数据备份；≥32个PEQ模式存储。</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3.具有≥8个推子编组、≥3个快速静音组按键。</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4.具有≥2个内置效果器，设备自带有经典混响、大房间混响等效果模块。</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5.具有≥1个10.1英寸高清触摸屏，支持≥1280×800分辨率。</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6.具有≥13个100mm电动推子，电动推子可操控所有的通道和主输出:≥1个LR主声道推子、≥12个通道推子以及≥2个推子层。</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7.具有面板锁定按键，防止误操作。</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8.支持中英文界面切换，且无需重启。</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▲9.每个输入通道具有≥4段参数均衡、噪声门、高低通、压缩、反相。（提供功能界面截图佐证并加盖制造商公章）</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▲10.每个输出通道具有≥8段参数均衡、高低通、压缩、反相、1800亳秒延时器。（提供功能界面截图佐证并加盖制造商公章）</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11.输入带有独立的反馈抑制器，支持增益共享型自动混音，带有≥2个DCA编组。</w:t>
            </w:r>
          </w:p>
        </w:tc>
        <w:tc>
          <w:tcPr>
            <w:tcW w:w="845" w:type="dxa"/>
            <w:gridSpan w:val="2"/>
            <w:vAlign w:val="center"/>
          </w:tcPr>
          <w:p w14:paraId="6D8B1D5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w:t>
            </w:r>
          </w:p>
        </w:tc>
        <w:tc>
          <w:tcPr>
            <w:tcW w:w="759" w:type="dxa"/>
            <w:gridSpan w:val="3"/>
            <w:vAlign w:val="center"/>
          </w:tcPr>
          <w:p w14:paraId="58DE7F3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台</w:t>
            </w:r>
          </w:p>
        </w:tc>
        <w:tc>
          <w:tcPr>
            <w:tcW w:w="759" w:type="dxa"/>
            <w:vAlign w:val="center"/>
          </w:tcPr>
          <w:p w14:paraId="0729CF6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否</w:t>
            </w:r>
          </w:p>
        </w:tc>
      </w:tr>
      <w:tr w14:paraId="359A1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4" w:type="dxa"/>
            <w:vAlign w:val="center"/>
          </w:tcPr>
          <w:p w14:paraId="427CB6B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7</w:t>
            </w:r>
          </w:p>
        </w:tc>
        <w:tc>
          <w:tcPr>
            <w:tcW w:w="1011" w:type="dxa"/>
            <w:vAlign w:val="center"/>
          </w:tcPr>
          <w:p w14:paraId="7621515A">
            <w:pPr>
              <w:keepNext w:val="0"/>
              <w:keepLines w:val="0"/>
              <w:widowControl/>
              <w:suppressLineNumbers w:val="0"/>
              <w:jc w:val="both"/>
              <w:textAlignment w:val="center"/>
              <w:rPr>
                <w:rFonts w:hint="eastAsia" w:ascii="宋体" w:hAnsi="宋体" w:cs="宋体"/>
                <w:b/>
                <w:bCs/>
                <w:i w:val="0"/>
                <w:iCs w:val="0"/>
                <w:color w:val="000000"/>
                <w:kern w:val="0"/>
                <w:sz w:val="20"/>
                <w:szCs w:val="20"/>
                <w:highlight w:val="none"/>
                <w:u w:val="none"/>
                <w:lang w:val="en-US" w:eastAsia="zh-CN" w:bidi="ar"/>
              </w:rPr>
            </w:pPr>
            <w:r>
              <w:rPr>
                <w:rFonts w:hint="eastAsia" w:ascii="宋体" w:hAnsi="宋体" w:cs="宋体"/>
                <w:b/>
                <w:bCs/>
                <w:i w:val="0"/>
                <w:iCs w:val="0"/>
                <w:color w:val="000000"/>
                <w:kern w:val="0"/>
                <w:sz w:val="20"/>
                <w:szCs w:val="20"/>
                <w:highlight w:val="none"/>
                <w:u w:val="none"/>
                <w:lang w:val="en-US" w:eastAsia="zh-CN" w:bidi="ar"/>
              </w:rPr>
              <w:t>AI音频处理器</w:t>
            </w:r>
          </w:p>
        </w:tc>
        <w:tc>
          <w:tcPr>
            <w:tcW w:w="5864" w:type="dxa"/>
            <w:vAlign w:val="top"/>
          </w:tcPr>
          <w:p w14:paraId="28C3C45C">
            <w:pPr>
              <w:keepNext w:val="0"/>
              <w:keepLines w:val="0"/>
              <w:widowControl/>
              <w:suppressLineNumbers w:val="0"/>
              <w:jc w:val="left"/>
              <w:textAlignment w:val="top"/>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1.处理器≥4核，主频≥2.0GHz。</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后面板具有≥8路线路音频凤凰端子平衡输入接口（具有48V幻象供电）、≥8路线路音频凤凰端子平衡输出接口、≥1个拨码开关、≥1个RJ45接口、≥1个RS232接口、≥1个RS485接口、≥8个可编程GPIO控制接口、≥1个接地柱；前面板具有≥2.0英寸 IPS 真彩显示屏、≥1个编码旋钮、≥1个USB存储设备接口。</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输入通道支持前级放大、信号发生器、扩展器、压缩器、均衡器（≥12段参量均衡、可选10/15/31段图示均衡器可调，图示均衡器可用于单独调节带宽）、闪避器、AGC自动增益、AM自动混音功能（门限式、增益共享式）、AFC自适应反馈消除、AEC回声消除、ANC噪声消除、音频矩阵；输出通道支持均衡器（≥16段参量均衡、可选10/15/31段图示均衡器可调，图示均衡器可用于单独调节带宽）、延时器、分频器、高低通滤波器、限幅器；基于啸叫检测门限更新法，具有移频+陷波组合反馈抑制，可以使用≥24个可编程陷波点，可自由分配动态/静态点，自动/手动切换。（提供功能截图佐证）（提供第三方检测机构出具的具有CMA或CNAS标志的检测报告扫描件并加盖制造商公章）</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4.具有矩阵增益调节功能，每个输入通道参与混音的增益可调，增益调节范围等同或优于-72dB到12dB。</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音频处理器具有跨平台软件，可运行于windows操作系统或国产操作系统或macOS系统或Ubuntu桌面版操作系统。（提供功能截图佐证）（提供第三方检测机构出具的具有CMA或CNAS标志的检测报告扫描件并加盖制造商公章）</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6.产品具有PC客户端、手机移动端、安卓平板端、IOS手机移动端、IOS平板端不同控制方式，可以同时登入APP软件、PC客户端同时连接设备，并实现多端数据的同步。</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7.设备具有编码旋钮和IPS屏幕，可用于控制和配置设备静音，增益，场景；IPS屏幕能够显示IP地址，输入和输出通道的实时电平。</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8.具有设备定位功能，客户端一键定位局域网内同类设备，被定位的设备会显示定位信息。</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9.设备具有统一集中控制功能，支持≥65535台设备通过软件集中控制。</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10.音频处理器软件可融入会议音频综合管理平台实现音频设备统一管理，平台可扫描数字会议主机、音频处理器、混音器、抑制器、功放类产品在线情况，同款产品多台在线设备也可扫描，并显示设备硬件名称、硬件IP地址、在线、离线状态信息；具备一键上传配置信息至云端或保存本地进行备份和一键还原配置信息功能。（提供功能截图佐证）（提供第三方检测机构出具的具有CMA或CNAS标志的检测报告扫描件并加盖制造商公章）</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11.支持双机热备份；当主机出现故障时，备用主机自动承担服务，切换时间≤2s。</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12.采用AI人工智能宽度学习算法进行噪声抑制，根据不同使用场景提供≥三个AI语音降噪档位可调整，有效降低甚至消除语言扩声系统中非人声类噪音信号，如拍掌、敲击桌子等非稳态噪声以及空调声、风扇声等稳态噪声，确保语音清晰度和可懂度（降噪能力≥40dB）。（提供第三方检测机构出具的具有CMA或CNAS标志的检测报告扫描件并加盖制造商公章）</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▲13.符合GB/T 24405.2-2010（提供第三方认证机构颁发的在有效期内的佐证资料并加盖制造商公章）</w:t>
            </w:r>
          </w:p>
        </w:tc>
        <w:tc>
          <w:tcPr>
            <w:tcW w:w="845" w:type="dxa"/>
            <w:gridSpan w:val="2"/>
            <w:vAlign w:val="center"/>
          </w:tcPr>
          <w:p w14:paraId="4FB2240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w:t>
            </w:r>
          </w:p>
        </w:tc>
        <w:tc>
          <w:tcPr>
            <w:tcW w:w="759" w:type="dxa"/>
            <w:gridSpan w:val="3"/>
            <w:vAlign w:val="center"/>
          </w:tcPr>
          <w:p w14:paraId="14D62CE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台</w:t>
            </w:r>
          </w:p>
        </w:tc>
        <w:tc>
          <w:tcPr>
            <w:tcW w:w="759" w:type="dxa"/>
            <w:vAlign w:val="center"/>
          </w:tcPr>
          <w:p w14:paraId="5210D840">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否</w:t>
            </w:r>
          </w:p>
        </w:tc>
      </w:tr>
      <w:tr w14:paraId="7EC16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4" w:type="dxa"/>
            <w:vAlign w:val="center"/>
          </w:tcPr>
          <w:p w14:paraId="75A8368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w:t>
            </w:r>
          </w:p>
        </w:tc>
        <w:tc>
          <w:tcPr>
            <w:tcW w:w="1011" w:type="dxa"/>
            <w:vAlign w:val="center"/>
          </w:tcPr>
          <w:p w14:paraId="3574CB9E">
            <w:pPr>
              <w:keepNext w:val="0"/>
              <w:keepLines w:val="0"/>
              <w:widowControl/>
              <w:suppressLineNumbers w:val="0"/>
              <w:jc w:val="both"/>
              <w:textAlignment w:val="center"/>
              <w:rPr>
                <w:rFonts w:hint="eastAsia" w:ascii="宋体" w:hAnsi="宋体" w:cs="宋体"/>
                <w:b/>
                <w:bCs/>
                <w:i w:val="0"/>
                <w:iCs w:val="0"/>
                <w:color w:val="000000"/>
                <w:kern w:val="0"/>
                <w:sz w:val="20"/>
                <w:szCs w:val="20"/>
                <w:highlight w:val="none"/>
                <w:u w:val="none"/>
                <w:lang w:val="en-US" w:eastAsia="zh-CN" w:bidi="ar"/>
              </w:rPr>
            </w:pPr>
            <w:r>
              <w:rPr>
                <w:rFonts w:hint="eastAsia" w:ascii="宋体" w:hAnsi="宋体" w:cs="宋体"/>
                <w:b/>
                <w:bCs/>
                <w:i w:val="0"/>
                <w:iCs w:val="0"/>
                <w:color w:val="000000"/>
                <w:kern w:val="0"/>
                <w:sz w:val="20"/>
                <w:szCs w:val="20"/>
                <w:highlight w:val="none"/>
                <w:u w:val="none"/>
                <w:lang w:val="en-US" w:eastAsia="zh-CN" w:bidi="ar"/>
              </w:rPr>
              <w:t>移动端管理服务端软件</w:t>
            </w:r>
          </w:p>
        </w:tc>
        <w:tc>
          <w:tcPr>
            <w:tcW w:w="5864" w:type="dxa"/>
            <w:vAlign w:val="top"/>
          </w:tcPr>
          <w:p w14:paraId="7E630D62">
            <w:pPr>
              <w:keepNext w:val="0"/>
              <w:keepLines w:val="0"/>
              <w:widowControl/>
              <w:suppressLineNumbers w:val="0"/>
              <w:jc w:val="left"/>
              <w:textAlignment w:val="top"/>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1.支持对输入通道信号增益可视化调节，支持等同或优于-72dB~+12dB增益范围调节。</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2.支持对输出通道信号增益可视化调节，支持等同或优于-72dB~+12dB增益范围调节。</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3.显示每个通道的电平和增益，支持对每个通道的快速静音/开启按钮。</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4.支持预设≥100个场景，可快速切换设置场景。</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5.带有混音器设置，根据音频输入输出任意调整，支持输入通道信号经过处理后给到任意输出通道信号。</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6.可根据全系列音频处理器设备及现场调试情况调整输入输出通道显示与隐藏。</w:t>
            </w:r>
          </w:p>
        </w:tc>
        <w:tc>
          <w:tcPr>
            <w:tcW w:w="845" w:type="dxa"/>
            <w:gridSpan w:val="2"/>
            <w:vAlign w:val="center"/>
          </w:tcPr>
          <w:p w14:paraId="30DA6A60">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w:t>
            </w:r>
          </w:p>
        </w:tc>
        <w:tc>
          <w:tcPr>
            <w:tcW w:w="759" w:type="dxa"/>
            <w:gridSpan w:val="3"/>
            <w:vAlign w:val="center"/>
          </w:tcPr>
          <w:p w14:paraId="4BD4CC5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套</w:t>
            </w:r>
          </w:p>
        </w:tc>
        <w:tc>
          <w:tcPr>
            <w:tcW w:w="759" w:type="dxa"/>
            <w:vAlign w:val="center"/>
          </w:tcPr>
          <w:p w14:paraId="288319E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否</w:t>
            </w:r>
          </w:p>
        </w:tc>
      </w:tr>
      <w:tr w14:paraId="166A9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jc w:val="center"/>
        </w:trPr>
        <w:tc>
          <w:tcPr>
            <w:tcW w:w="9802" w:type="dxa"/>
            <w:gridSpan w:val="9"/>
            <w:vAlign w:val="center"/>
          </w:tcPr>
          <w:p w14:paraId="0C0DDB18">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b/>
                <w:bCs/>
                <w:i w:val="0"/>
                <w:iCs w:val="0"/>
                <w:color w:val="000000"/>
                <w:kern w:val="0"/>
                <w:sz w:val="20"/>
                <w:szCs w:val="20"/>
                <w:highlight w:val="none"/>
                <w:u w:val="none"/>
                <w:lang w:val="en-US" w:eastAsia="zh-CN" w:bidi="ar"/>
              </w:rPr>
              <w:t>四、摄像跟踪以及录播系统（跟中控、数字会议系统搭配使用，谁讲话特写谁；录播主机可以录制现场画面，并可以直播、点播）</w:t>
            </w:r>
          </w:p>
        </w:tc>
      </w:tr>
      <w:tr w14:paraId="450E9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4" w:type="dxa"/>
            <w:vAlign w:val="center"/>
          </w:tcPr>
          <w:p w14:paraId="24FCFBC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w:t>
            </w:r>
          </w:p>
        </w:tc>
        <w:tc>
          <w:tcPr>
            <w:tcW w:w="1011" w:type="dxa"/>
            <w:vAlign w:val="center"/>
          </w:tcPr>
          <w:p w14:paraId="38DA71D7">
            <w:pPr>
              <w:keepNext w:val="0"/>
              <w:keepLines w:val="0"/>
              <w:widowControl/>
              <w:suppressLineNumbers w:val="0"/>
              <w:jc w:val="both"/>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b/>
                <w:bCs/>
                <w:i w:val="0"/>
                <w:iCs w:val="0"/>
                <w:color w:val="000000"/>
                <w:kern w:val="0"/>
                <w:sz w:val="20"/>
                <w:szCs w:val="20"/>
                <w:highlight w:val="none"/>
                <w:u w:val="none"/>
                <w:lang w:val="en-US" w:eastAsia="zh-CN" w:bidi="ar"/>
              </w:rPr>
              <w:t>摄像机</w:t>
            </w:r>
          </w:p>
        </w:tc>
        <w:tc>
          <w:tcPr>
            <w:tcW w:w="5864" w:type="dxa"/>
            <w:vAlign w:val="top"/>
          </w:tcPr>
          <w:p w14:paraId="3B1A7BB1">
            <w:pPr>
              <w:keepNext w:val="0"/>
              <w:keepLines w:val="0"/>
              <w:widowControl/>
              <w:suppressLineNumbers w:val="0"/>
              <w:jc w:val="left"/>
              <w:textAlignment w:val="top"/>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1.高清摄像机具备≥30倍光学变倍镜头，并支持≥16倍数字变焦；采用1/2.8英寸、≥207万有效像素的HD CMOS传感器。</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2.镜头焦距 f4.42mm ~ 132.6mm, F1.8 ~ F2.8。</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3.支持1080P60，1080P59.94，1080P50，1080I60，1080I59.94，1080I50，1080P30，1080P29.97，1080P25，720P60，720P59.94，720P50分辨率，支持输出帧率≥60帧/秒。</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4.支持HDMI、SDI、USB、网络四路视频同时输出。</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5.支持RS232和RS485串口，可对摄像机进行控制；支持预置位数量≥255个，预置位精度：≤0.1°。</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6.水平视场角：60.7°~2.28°；支持水平转动范围：-170°～+170°，垂直转动范围：-30°～+90°，水平转动速度范围：水平：1.7° ~ 100°/s，俯仰：1.7° ~ 69.9°/s。</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7.支持2D、3D降噪技术。</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8.内置AI技术和行人重识别技术，实现自动识别目标人形并跟踪，自动框选。</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9.支持AAC音频编码。</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10.支持PoE供电。</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11.具备≥1路HDMI输出接口、≥1路3G-SDI输出接口、≥1路USB3.0输出接口，具备≥1路3.5mm音频输入接口和≥1路3.5mm音频输出接口。</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由于内嵌软件决定着本产品功能的完整性，要求设备内嵌软件具备《计算机软件著作权登记证书》，提供相关证书复印件并加盖制造商公章以及在中国版权保护中心官网的查询结果截图。软件名称要求是“高清视频会议专用摄像头内嵌软件”或相近的软件。</w:t>
            </w:r>
          </w:p>
        </w:tc>
        <w:tc>
          <w:tcPr>
            <w:tcW w:w="845" w:type="dxa"/>
            <w:gridSpan w:val="2"/>
            <w:vAlign w:val="center"/>
          </w:tcPr>
          <w:p w14:paraId="1A94858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w:t>
            </w:r>
          </w:p>
        </w:tc>
        <w:tc>
          <w:tcPr>
            <w:tcW w:w="759" w:type="dxa"/>
            <w:gridSpan w:val="3"/>
            <w:vAlign w:val="center"/>
          </w:tcPr>
          <w:p w14:paraId="1EF8D2B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台</w:t>
            </w:r>
          </w:p>
        </w:tc>
        <w:tc>
          <w:tcPr>
            <w:tcW w:w="759" w:type="dxa"/>
            <w:vAlign w:val="center"/>
          </w:tcPr>
          <w:p w14:paraId="66EC3B2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否</w:t>
            </w:r>
          </w:p>
        </w:tc>
      </w:tr>
      <w:tr w14:paraId="671FC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4" w:type="dxa"/>
            <w:vAlign w:val="center"/>
          </w:tcPr>
          <w:p w14:paraId="331EDF9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w:t>
            </w:r>
          </w:p>
        </w:tc>
        <w:tc>
          <w:tcPr>
            <w:tcW w:w="1011" w:type="dxa"/>
            <w:vAlign w:val="center"/>
          </w:tcPr>
          <w:p w14:paraId="34B72564">
            <w:pPr>
              <w:keepNext w:val="0"/>
              <w:keepLines w:val="0"/>
              <w:widowControl/>
              <w:suppressLineNumbers w:val="0"/>
              <w:jc w:val="both"/>
              <w:textAlignment w:val="center"/>
              <w:rPr>
                <w:rFonts w:hint="eastAsia" w:ascii="宋体" w:hAnsi="宋体" w:cs="宋体"/>
                <w:b/>
                <w:bCs/>
                <w:i w:val="0"/>
                <w:iCs w:val="0"/>
                <w:color w:val="000000"/>
                <w:kern w:val="0"/>
                <w:sz w:val="20"/>
                <w:szCs w:val="20"/>
                <w:highlight w:val="none"/>
                <w:u w:val="none"/>
                <w:lang w:val="en-US" w:eastAsia="zh-CN" w:bidi="ar"/>
              </w:rPr>
            </w:pPr>
            <w:r>
              <w:rPr>
                <w:rFonts w:hint="eastAsia" w:ascii="宋体" w:hAnsi="宋体" w:cs="宋体"/>
                <w:b/>
                <w:bCs/>
                <w:i w:val="0"/>
                <w:iCs w:val="0"/>
                <w:color w:val="000000"/>
                <w:kern w:val="0"/>
                <w:sz w:val="20"/>
                <w:szCs w:val="20"/>
                <w:highlight w:val="none"/>
                <w:u w:val="none"/>
                <w:lang w:val="en-US" w:eastAsia="zh-CN" w:bidi="ar"/>
              </w:rPr>
              <w:t>高清视频会议专用摄像头内嵌软件</w:t>
            </w:r>
          </w:p>
        </w:tc>
        <w:tc>
          <w:tcPr>
            <w:tcW w:w="5864" w:type="dxa"/>
            <w:vAlign w:val="top"/>
          </w:tcPr>
          <w:p w14:paraId="10F664D0">
            <w:pPr>
              <w:keepNext w:val="0"/>
              <w:keepLines w:val="0"/>
              <w:widowControl/>
              <w:suppressLineNumbers w:val="0"/>
              <w:jc w:val="left"/>
              <w:textAlignment w:val="top"/>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1.软件内嵌于高清视频会议专用摄像头，实现高清视频拍摄采集处理功能。</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2.支持高清≥1080P/60帧视频处理能力。</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3.支持对高清视频信号HDMI/DVI的处理、传输；支持H.264视频编解码技术能力。</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4.支持光学变焦处理能力，支持通过串口实现远程控制。</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5.支持2D、3D降噪技术。</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6.支持预置位设定及调用功能。</w:t>
            </w:r>
          </w:p>
        </w:tc>
        <w:tc>
          <w:tcPr>
            <w:tcW w:w="845" w:type="dxa"/>
            <w:gridSpan w:val="2"/>
            <w:vAlign w:val="center"/>
          </w:tcPr>
          <w:p w14:paraId="1BB5153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w:t>
            </w:r>
          </w:p>
        </w:tc>
        <w:tc>
          <w:tcPr>
            <w:tcW w:w="759" w:type="dxa"/>
            <w:gridSpan w:val="3"/>
            <w:vAlign w:val="center"/>
          </w:tcPr>
          <w:p w14:paraId="0A5B846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套</w:t>
            </w:r>
          </w:p>
        </w:tc>
        <w:tc>
          <w:tcPr>
            <w:tcW w:w="759" w:type="dxa"/>
            <w:vAlign w:val="center"/>
          </w:tcPr>
          <w:p w14:paraId="7E7FA99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否</w:t>
            </w:r>
          </w:p>
        </w:tc>
      </w:tr>
      <w:tr w14:paraId="466B2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4" w:type="dxa"/>
            <w:vAlign w:val="center"/>
          </w:tcPr>
          <w:p w14:paraId="7F98FAC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w:t>
            </w:r>
          </w:p>
        </w:tc>
        <w:tc>
          <w:tcPr>
            <w:tcW w:w="1011" w:type="dxa"/>
            <w:vAlign w:val="center"/>
          </w:tcPr>
          <w:p w14:paraId="7D6129B3">
            <w:pPr>
              <w:keepNext w:val="0"/>
              <w:keepLines w:val="0"/>
              <w:widowControl/>
              <w:suppressLineNumbers w:val="0"/>
              <w:jc w:val="both"/>
              <w:textAlignment w:val="center"/>
              <w:rPr>
                <w:rFonts w:hint="eastAsia" w:ascii="宋体" w:hAnsi="宋体" w:cs="宋体"/>
                <w:b/>
                <w:bCs/>
                <w:i w:val="0"/>
                <w:iCs w:val="0"/>
                <w:color w:val="000000"/>
                <w:kern w:val="0"/>
                <w:sz w:val="20"/>
                <w:szCs w:val="20"/>
                <w:highlight w:val="none"/>
                <w:u w:val="none"/>
                <w:lang w:val="en-US" w:eastAsia="zh-CN" w:bidi="ar"/>
              </w:rPr>
            </w:pPr>
            <w:r>
              <w:rPr>
                <w:rFonts w:hint="eastAsia" w:ascii="宋体" w:hAnsi="宋体" w:cs="宋体"/>
                <w:b/>
                <w:bCs/>
                <w:i w:val="0"/>
                <w:iCs w:val="0"/>
                <w:color w:val="000000"/>
                <w:kern w:val="0"/>
                <w:sz w:val="20"/>
                <w:szCs w:val="20"/>
                <w:highlight w:val="none"/>
                <w:u w:val="none"/>
                <w:lang w:val="en-US" w:eastAsia="zh-CN" w:bidi="ar"/>
              </w:rPr>
              <w:t>支架</w:t>
            </w:r>
          </w:p>
        </w:tc>
        <w:tc>
          <w:tcPr>
            <w:tcW w:w="5864" w:type="dxa"/>
            <w:vAlign w:val="top"/>
          </w:tcPr>
          <w:p w14:paraId="344425C8">
            <w:pPr>
              <w:keepNext w:val="0"/>
              <w:keepLines w:val="0"/>
              <w:widowControl/>
              <w:suppressLineNumbers w:val="0"/>
              <w:jc w:val="left"/>
              <w:textAlignment w:val="top"/>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尺寸：164.3mm × 141.5mm × 12.4mm</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重量：0.45kg</w:t>
            </w:r>
          </w:p>
        </w:tc>
        <w:tc>
          <w:tcPr>
            <w:tcW w:w="845" w:type="dxa"/>
            <w:gridSpan w:val="2"/>
            <w:vAlign w:val="center"/>
          </w:tcPr>
          <w:p w14:paraId="31878E5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w:t>
            </w:r>
          </w:p>
        </w:tc>
        <w:tc>
          <w:tcPr>
            <w:tcW w:w="759" w:type="dxa"/>
            <w:gridSpan w:val="3"/>
            <w:vAlign w:val="center"/>
          </w:tcPr>
          <w:p w14:paraId="1B815AB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套</w:t>
            </w:r>
          </w:p>
        </w:tc>
        <w:tc>
          <w:tcPr>
            <w:tcW w:w="759" w:type="dxa"/>
            <w:vAlign w:val="center"/>
          </w:tcPr>
          <w:p w14:paraId="25EBFB0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否</w:t>
            </w:r>
          </w:p>
        </w:tc>
      </w:tr>
      <w:tr w14:paraId="2A55F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4" w:type="dxa"/>
            <w:vAlign w:val="center"/>
          </w:tcPr>
          <w:p w14:paraId="52D62F7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w:t>
            </w:r>
          </w:p>
        </w:tc>
        <w:tc>
          <w:tcPr>
            <w:tcW w:w="1011" w:type="dxa"/>
            <w:vAlign w:val="center"/>
          </w:tcPr>
          <w:p w14:paraId="2B88526B">
            <w:pPr>
              <w:keepNext w:val="0"/>
              <w:keepLines w:val="0"/>
              <w:widowControl/>
              <w:suppressLineNumbers w:val="0"/>
              <w:jc w:val="both"/>
              <w:textAlignment w:val="center"/>
              <w:rPr>
                <w:rFonts w:hint="eastAsia" w:ascii="宋体" w:hAnsi="宋体" w:cs="宋体"/>
                <w:b/>
                <w:bCs/>
                <w:i w:val="0"/>
                <w:iCs w:val="0"/>
                <w:color w:val="000000"/>
                <w:kern w:val="0"/>
                <w:sz w:val="20"/>
                <w:szCs w:val="20"/>
                <w:highlight w:val="none"/>
                <w:u w:val="none"/>
                <w:lang w:val="en-US" w:eastAsia="zh-CN" w:bidi="ar"/>
              </w:rPr>
            </w:pPr>
            <w:r>
              <w:rPr>
                <w:rFonts w:hint="eastAsia" w:ascii="宋体" w:hAnsi="宋体" w:cs="宋体"/>
                <w:b/>
                <w:bCs/>
                <w:i w:val="0"/>
                <w:iCs w:val="0"/>
                <w:color w:val="000000"/>
                <w:kern w:val="0"/>
                <w:sz w:val="20"/>
                <w:szCs w:val="20"/>
                <w:highlight w:val="none"/>
                <w:u w:val="none"/>
                <w:lang w:val="en-US" w:eastAsia="zh-CN" w:bidi="ar"/>
              </w:rPr>
              <w:t>支架</w:t>
            </w:r>
          </w:p>
        </w:tc>
        <w:tc>
          <w:tcPr>
            <w:tcW w:w="5864" w:type="dxa"/>
            <w:vAlign w:val="top"/>
          </w:tcPr>
          <w:p w14:paraId="4EA5669F">
            <w:pPr>
              <w:keepNext w:val="0"/>
              <w:keepLines w:val="0"/>
              <w:widowControl/>
              <w:suppressLineNumbers w:val="0"/>
              <w:jc w:val="left"/>
              <w:textAlignment w:val="top"/>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1.脚架材质:铝合金</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2.脚管节数：3节</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3.脚管管径：最大管径17.5mm，最小管径14mm</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4.展开高度：1890mm</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5.最大承重：8kg</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6.收纳高度:860mm</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7.最低高度:830mm</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8.脚架自重:4.4kg</w:t>
            </w:r>
          </w:p>
        </w:tc>
        <w:tc>
          <w:tcPr>
            <w:tcW w:w="845" w:type="dxa"/>
            <w:gridSpan w:val="2"/>
            <w:vAlign w:val="center"/>
          </w:tcPr>
          <w:p w14:paraId="29F90E4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w:t>
            </w:r>
          </w:p>
        </w:tc>
        <w:tc>
          <w:tcPr>
            <w:tcW w:w="759" w:type="dxa"/>
            <w:gridSpan w:val="3"/>
            <w:vAlign w:val="center"/>
          </w:tcPr>
          <w:p w14:paraId="493AC750">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套</w:t>
            </w:r>
          </w:p>
        </w:tc>
        <w:tc>
          <w:tcPr>
            <w:tcW w:w="759" w:type="dxa"/>
            <w:vAlign w:val="center"/>
          </w:tcPr>
          <w:p w14:paraId="2288837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否</w:t>
            </w:r>
          </w:p>
        </w:tc>
      </w:tr>
      <w:tr w14:paraId="592F3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4" w:type="dxa"/>
            <w:vAlign w:val="center"/>
          </w:tcPr>
          <w:p w14:paraId="27ED262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5</w:t>
            </w:r>
          </w:p>
        </w:tc>
        <w:tc>
          <w:tcPr>
            <w:tcW w:w="1011" w:type="dxa"/>
            <w:vAlign w:val="center"/>
          </w:tcPr>
          <w:p w14:paraId="5862259A">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b/>
                <w:bCs/>
                <w:i w:val="0"/>
                <w:iCs w:val="0"/>
                <w:color w:val="000000"/>
                <w:kern w:val="0"/>
                <w:sz w:val="20"/>
                <w:szCs w:val="20"/>
                <w:highlight w:val="none"/>
                <w:u w:val="none"/>
                <w:lang w:val="en-US" w:eastAsia="zh-CN" w:bidi="ar"/>
              </w:rPr>
              <w:t>AI智慧录播主机</w:t>
            </w:r>
          </w:p>
        </w:tc>
        <w:tc>
          <w:tcPr>
            <w:tcW w:w="5864" w:type="dxa"/>
            <w:vAlign w:val="top"/>
          </w:tcPr>
          <w:p w14:paraId="1DD28F34">
            <w:pPr>
              <w:keepNext w:val="0"/>
              <w:keepLines w:val="0"/>
              <w:widowControl/>
              <w:suppressLineNumbers w:val="0"/>
              <w:jc w:val="left"/>
              <w:textAlignment w:val="top"/>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1.采用一体化硬件设计，嵌入式Linux操作系统，高度集成图像识别跟踪、自动导播、直播、点播、采集、录制等系统模块。</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2.基于B/S架构，登陆web端即可实现直播管理、信号管理、分组管理、用户管理、文件管理、预约录制、中控管理以及系统管理等功能。</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3.音频采用AAC高清编码方式，音视频精准同步录制。视频采用H.264编码方式，码率可调，支持视频编码256kbps～12Mbps，支持≥1920x1080分辨率（HDMI分辨率可支持≥3840x2160）。</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4.主机内置LCD屏，显示系统硬盘空间、版本号和录制状态、IP地址等设备信息。</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5.无需安装辅助跟踪分析摄像机，即可实现对低龄、身高差大班级的学生进行精准跟踪，自适应不同班级学生的高度。</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6.主机具备≥4个快捷按键，实现录制、停止、直播以及一键拷贝录制文件功能。</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▲7.主机具备≥3路HDMI信号输入接口、≥4路SDI信号输入接口，≥3路HDMI视频输出接口，≥6路控制接口，≥5路USB接口，≥2路音频输出接口。（提供设备接口图佐证并加盖制造商公章）</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8.主机的SDI接口具备POC功能，支持POC设备自适应识别，实现一条线完成视频传输、云台控制和供电功能。</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9.支持≥8台云台摄像头同时控制转动、缩放。</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10.支持通过导播软件进行手动导播，也可配合内置的自动导播模块进行全自动导播式。支持≥三画面、四画面以及对话画面等7种画面布局，并支持≥2种自定义画面布局。</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11.支持单流单画面/单流多画面/多流多画面的录制方式，可实现每路输入信号分别保存为单独的文件，最多支持同时录制5路视频画面，可自定义类别进行分类录制和分类存储，支持MP4、AVI、MOV、FLV和MKV等多种格式。</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▲12.支持二维抠像功能。将人物从绿幕或蓝幕背景中抠出来，与二维虚拟背景画面融合，合成一路画面。（提供功能界面截图佐证并加盖制造商公章）</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13.支持图像点击跟踪功能，一键即可到位。</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14.支持字幕设置功能，内置字幕模版，用户可自定义设置字母的大小、色彩、位置。</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15.支持自定义添加片头功能，上传自定的片头并且自定义其显示时间长短。</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16.支持对各个视频画面打标签，区分画面显示不同内容。</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17.支持视频文件修复功能。录制过程中，由断电导致损坏的视频文件可进行修复。</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18.支持一键复位功能，避免出现文件损坏、ip地址丢失以及管理员密码丢失的情况导致系统不能使用。</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19.加密录制：支持国密算法音视频加密录制，≥2种加密方式；支持对录制视频进行加密操作，支持配置多个加密狗使用；加密视频需使用解密播放器进行播放，需使用U盾或密码对加密视频进行授权播放。（提供功能界面截图佐证并加盖制造商公章）</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由于软件决定着本产品功能的完整性，要求设备软件具备《计算机软件著作权登记证书》，提供相关证书复印件并加盖制造商公章以及在中国版权保护中心官网的查询结果截图。软件名称要求是“自动录制控制内嵌软件”或相近的软件。</w:t>
            </w:r>
          </w:p>
        </w:tc>
        <w:tc>
          <w:tcPr>
            <w:tcW w:w="845" w:type="dxa"/>
            <w:gridSpan w:val="2"/>
            <w:vAlign w:val="center"/>
          </w:tcPr>
          <w:p w14:paraId="1E09935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w:t>
            </w:r>
          </w:p>
        </w:tc>
        <w:tc>
          <w:tcPr>
            <w:tcW w:w="759" w:type="dxa"/>
            <w:gridSpan w:val="3"/>
            <w:vAlign w:val="center"/>
          </w:tcPr>
          <w:p w14:paraId="13A86A2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台</w:t>
            </w:r>
          </w:p>
        </w:tc>
        <w:tc>
          <w:tcPr>
            <w:tcW w:w="759" w:type="dxa"/>
            <w:vAlign w:val="center"/>
          </w:tcPr>
          <w:p w14:paraId="69BF44C0">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否</w:t>
            </w:r>
          </w:p>
        </w:tc>
      </w:tr>
      <w:tr w14:paraId="4B7AD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4" w:type="dxa"/>
            <w:vAlign w:val="center"/>
          </w:tcPr>
          <w:p w14:paraId="341AEEF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6</w:t>
            </w:r>
          </w:p>
        </w:tc>
        <w:tc>
          <w:tcPr>
            <w:tcW w:w="1011" w:type="dxa"/>
            <w:vAlign w:val="center"/>
          </w:tcPr>
          <w:p w14:paraId="0BD59244">
            <w:pPr>
              <w:keepNext w:val="0"/>
              <w:keepLines w:val="0"/>
              <w:widowControl/>
              <w:suppressLineNumbers w:val="0"/>
              <w:jc w:val="both"/>
              <w:textAlignment w:val="center"/>
              <w:rPr>
                <w:rFonts w:hint="eastAsia" w:ascii="宋体" w:hAnsi="宋体" w:cs="宋体"/>
                <w:b/>
                <w:bCs/>
                <w:i w:val="0"/>
                <w:iCs w:val="0"/>
                <w:color w:val="000000"/>
                <w:kern w:val="0"/>
                <w:sz w:val="20"/>
                <w:szCs w:val="20"/>
                <w:highlight w:val="none"/>
                <w:u w:val="none"/>
                <w:lang w:val="en-US" w:eastAsia="zh-CN" w:bidi="ar"/>
              </w:rPr>
            </w:pPr>
            <w:r>
              <w:rPr>
                <w:rFonts w:hint="eastAsia" w:ascii="宋体" w:hAnsi="宋体" w:cs="宋体"/>
                <w:b/>
                <w:bCs/>
                <w:i w:val="0"/>
                <w:iCs w:val="0"/>
                <w:color w:val="000000"/>
                <w:kern w:val="0"/>
                <w:sz w:val="20"/>
                <w:szCs w:val="20"/>
                <w:highlight w:val="none"/>
                <w:u w:val="none"/>
                <w:lang w:val="en-US" w:eastAsia="zh-CN" w:bidi="ar"/>
              </w:rPr>
              <w:t>自动录制控制内嵌软件</w:t>
            </w:r>
          </w:p>
        </w:tc>
        <w:tc>
          <w:tcPr>
            <w:tcW w:w="5864" w:type="dxa"/>
            <w:vAlign w:val="top"/>
          </w:tcPr>
          <w:p w14:paraId="2F708801">
            <w:pPr>
              <w:keepNext w:val="0"/>
              <w:keepLines w:val="0"/>
              <w:widowControl/>
              <w:suppressLineNumbers w:val="0"/>
              <w:jc w:val="left"/>
              <w:textAlignment w:val="top"/>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1.软件内嵌录播主机，运行在Linux操作系统环境，支持B/S管理。</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2.软件支持添加录制片头、添加字幕、添加logo以及预约录制等功能。</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3.软件支持对课堂或培训课堂录制的控制和管理，具有录制资源模式、录制电影模式、录制暂停、选择录制格式等功能。</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4.软件支持多画面模式等，支持自定义布局。</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5.软件支持通过导播台、导播键盘、导播软件等方式进行控制和管理录播主机。</w:t>
            </w:r>
          </w:p>
        </w:tc>
        <w:tc>
          <w:tcPr>
            <w:tcW w:w="845" w:type="dxa"/>
            <w:gridSpan w:val="2"/>
            <w:vAlign w:val="center"/>
          </w:tcPr>
          <w:p w14:paraId="13EA498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w:t>
            </w:r>
          </w:p>
        </w:tc>
        <w:tc>
          <w:tcPr>
            <w:tcW w:w="759" w:type="dxa"/>
            <w:gridSpan w:val="3"/>
            <w:vAlign w:val="center"/>
          </w:tcPr>
          <w:p w14:paraId="498A1C0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套</w:t>
            </w:r>
          </w:p>
        </w:tc>
        <w:tc>
          <w:tcPr>
            <w:tcW w:w="759" w:type="dxa"/>
            <w:vAlign w:val="center"/>
          </w:tcPr>
          <w:p w14:paraId="41266A3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否</w:t>
            </w:r>
          </w:p>
        </w:tc>
      </w:tr>
      <w:tr w14:paraId="49E20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9802" w:type="dxa"/>
            <w:gridSpan w:val="9"/>
            <w:vAlign w:val="center"/>
          </w:tcPr>
          <w:p w14:paraId="330BA0A3">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b/>
                <w:bCs/>
                <w:i w:val="0"/>
                <w:iCs w:val="0"/>
                <w:color w:val="000000"/>
                <w:kern w:val="0"/>
                <w:sz w:val="20"/>
                <w:szCs w:val="20"/>
                <w:highlight w:val="none"/>
                <w:u w:val="none"/>
                <w:lang w:val="en-US" w:eastAsia="zh-CN" w:bidi="ar"/>
              </w:rPr>
              <w:t>五、中控管理系统（可以集中管理会场的设备，具有操作智能化、人性化等特点）</w:t>
            </w:r>
          </w:p>
        </w:tc>
      </w:tr>
      <w:tr w14:paraId="42791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4" w:type="dxa"/>
            <w:vAlign w:val="center"/>
          </w:tcPr>
          <w:p w14:paraId="03E5BAB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w:t>
            </w:r>
          </w:p>
        </w:tc>
        <w:tc>
          <w:tcPr>
            <w:tcW w:w="1011" w:type="dxa"/>
            <w:vAlign w:val="center"/>
          </w:tcPr>
          <w:p w14:paraId="7D3270D7">
            <w:pPr>
              <w:keepNext w:val="0"/>
              <w:keepLines w:val="0"/>
              <w:widowControl/>
              <w:suppressLineNumbers w:val="0"/>
              <w:jc w:val="both"/>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b/>
                <w:bCs/>
                <w:i w:val="0"/>
                <w:iCs w:val="0"/>
                <w:color w:val="000000"/>
                <w:kern w:val="0"/>
                <w:sz w:val="20"/>
                <w:szCs w:val="20"/>
                <w:highlight w:val="none"/>
                <w:u w:val="none"/>
                <w:lang w:val="en-US" w:eastAsia="zh-CN" w:bidi="ar"/>
              </w:rPr>
              <w:t>AI智慧物联中控</w:t>
            </w:r>
          </w:p>
        </w:tc>
        <w:tc>
          <w:tcPr>
            <w:tcW w:w="5864" w:type="dxa"/>
            <w:vAlign w:val="top"/>
          </w:tcPr>
          <w:p w14:paraId="2E233A5B">
            <w:pPr>
              <w:keepNext w:val="0"/>
              <w:keepLines w:val="0"/>
              <w:widowControl/>
              <w:suppressLineNumbers w:val="0"/>
              <w:jc w:val="left"/>
              <w:textAlignment w:val="top"/>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▲1.采用的国产处理器配置配置≥4核；采用内存配置≥4GB；采用硬盘容量≥32GB；具有正版已激活国产操作系统。（提供第三方检测机构出具的具有CMA标志的检测报告扫描件并加盖制造商公章）</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主机具备≥4.3英寸触摸彩屏、≥8路独立可编程串口、≥8路独立可编程IR红外发射口、≥8路数字I/0控制口、≥8路弱电继电器控制接口、≥2个千兆以太网接口、≥1个NET网络控制接口、≥1路TF卡接口、≥1个音频输入接口、≥2个USB 3.0接口、≥1个HDMI输出接口、≥1路DMX512接口。</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3.支持红外控制、RS-232、RS-422、RS-485、UDP、TCP、telnet、http、MQTT、SNMP、GB28181以及ONVIF协议，兼容性强，可对接第三方设备。</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具有音频采集接口，接入外部音频可实现语音指令词控制；采集的音频可转换为指令词，比如参会人通过会议话筒发言“开启会议”“打开灯光”“关闭灯光”等语句，可以自动转换成中控指令，实现对周边产品的联动控制或场景调用功能；支持音频录制功能；采集外部音频后，设备自动录制，录制的音频文件自动保存在主机，对会议发言内容进行留档保存。</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▲5.主机具备两路以太网 RJ45 接口，可以实现内外网隔离；支持访问WEB端管理平台上传文件功能；用户通过管理端可上传DOC/DOCX、TXT、RTF、ODT、PPT/PPTX、ODP、XLS/XLSX、ODS、PDF、JPEG、PNG、GIF、SVG、AI、MDB、SQL、HTML、XML、ZIP、RAR、MP3、WAV、MP4、AVI等格式文件，便于访问和管理。（提供第三方检测机构出具的具有CMA标志的检测报告扫描件并加盖制造商公章）</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6.支持级联互控功能；主机可通过网络实现级联，达到互联、互控、联动切换的效果。一台控制端即可操作多台中控主机。</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7.支持双机热备份。当中控主机出现故障时，备用中控主机自动承担服务，切换时间≤1.2s，从而保证系统在不需要人工干预的情况下能正常运行</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8.支持视频矩阵可视化控制。用户可通过控制端实时预览、拖动并切换矩阵视频信号，支持设置触碰和投放触发切换方式。</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9.支持拼接矩阵可视化控制。用户可通过控制端实时预览、放大、缩小、拖动并切换拼接矩阵视频信号，可对输入信号源进行置底、置顶以及一键清屏等操作，支持设置触碰和投放触发切换方式。</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10.支持扫二维码控制。中控主机在连接互联网的情况下会在云平台自动生成二维码，通过微信或者浏览器扫一扫二维码，即可进入控制界面，实现对中控主机控制。支持密码权限设置。</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11.支持≥2种局域网远程桌面方式，无需连接外部网络或使用第三方软件，支持多用户远程协同控制，便于现场运维。</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12.产品具有≥3种编程方式，包括图形化编程、语句式编程、在线编程方式供用户选择；图形化编程方式具有拖拽式操作界面，用户可通过图形化编程软件内的模块使用信号连接方式构建程序逻辑；语句式编程方式提供功能函数进行自定义编程，用户可以通过编程界面编写控制代码；在线编程方式可以让用户在网页端通过编程界面编写控制代码。</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13.支持Word、Excel、PPT表格文档编辑功能；支持网页浏览操作，用户能够访问各种网站，浏览网页内容；支持视频播放功能，用户可以上传、播放和管理视频文件，视频画面可通过HDMI接口在大屏显示。（提供第三方检测机构出具的具有CMA标志的检测报告扫描件并加盖制造商公章）</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14.支持对接云会务系统。用户通过手机APP或WEB端预约会议室时，可设置情景类型以及开始/结束时间。会议开始前，系统会自动调用场景，场景内所有设备联动启动或切换；会议结束后设备自动关闭。</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15.具备智能语音功能，采用语音唤醒技术，用户只需说出特定的唤醒词即可激活设备，实现语音指令识别，可以通过文本大模型实现中控指令控制和联网实现智能问答，为会议场景提供交互。</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16.具备会议纪要功能，可自动生成完整转写记录和智能摘要的会议纪要，可对生成的纪要进行多维度操作，包括内容编辑、文件下载、名称修改及删除。</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▲17.满足GB/T40753-2021（提供第三方认证机构颁发的在有效期内的佐证资料并加盖制造商公章）</w:t>
            </w:r>
          </w:p>
        </w:tc>
        <w:tc>
          <w:tcPr>
            <w:tcW w:w="845" w:type="dxa"/>
            <w:gridSpan w:val="2"/>
            <w:vAlign w:val="center"/>
          </w:tcPr>
          <w:p w14:paraId="5DCD0D8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w:t>
            </w:r>
          </w:p>
        </w:tc>
        <w:tc>
          <w:tcPr>
            <w:tcW w:w="759" w:type="dxa"/>
            <w:gridSpan w:val="3"/>
            <w:vAlign w:val="center"/>
          </w:tcPr>
          <w:p w14:paraId="3A7204B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台</w:t>
            </w:r>
          </w:p>
        </w:tc>
        <w:tc>
          <w:tcPr>
            <w:tcW w:w="759" w:type="dxa"/>
            <w:vAlign w:val="center"/>
          </w:tcPr>
          <w:p w14:paraId="44A418E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否</w:t>
            </w:r>
          </w:p>
        </w:tc>
      </w:tr>
      <w:tr w14:paraId="7F007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4" w:type="dxa"/>
            <w:vAlign w:val="center"/>
          </w:tcPr>
          <w:p w14:paraId="43752B6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w:t>
            </w:r>
          </w:p>
        </w:tc>
        <w:tc>
          <w:tcPr>
            <w:tcW w:w="1011" w:type="dxa"/>
            <w:vAlign w:val="center"/>
          </w:tcPr>
          <w:p w14:paraId="1F2383AF">
            <w:pPr>
              <w:keepNext w:val="0"/>
              <w:keepLines w:val="0"/>
              <w:widowControl/>
              <w:suppressLineNumbers w:val="0"/>
              <w:jc w:val="both"/>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b/>
                <w:bCs/>
                <w:i w:val="0"/>
                <w:iCs w:val="0"/>
                <w:color w:val="000000"/>
                <w:kern w:val="0"/>
                <w:sz w:val="20"/>
                <w:szCs w:val="20"/>
                <w:highlight w:val="none"/>
                <w:u w:val="none"/>
                <w:lang w:val="en-US" w:eastAsia="zh-CN" w:bidi="ar"/>
              </w:rPr>
              <w:t>网络中控系统内嵌软件</w:t>
            </w:r>
          </w:p>
        </w:tc>
        <w:tc>
          <w:tcPr>
            <w:tcW w:w="5864" w:type="dxa"/>
            <w:vAlign w:val="top"/>
          </w:tcPr>
          <w:p w14:paraId="6AEA78BF">
            <w:pPr>
              <w:keepNext w:val="0"/>
              <w:keepLines w:val="0"/>
              <w:widowControl/>
              <w:suppressLineNumbers w:val="0"/>
              <w:jc w:val="left"/>
              <w:textAlignment w:val="top"/>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1.软件内嵌于中央控制系统主机设备，实现系统控制逻辑、处理等功能。</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2.主要包括硬件逻辑模块、软件逻辑模块、红外代码管理、编译、下载、监视等。</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3.编程软件支持添加与实际工程对应硬件的逻辑模块。</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4.实现串口代码数据、IR红外数据、继电器、I/O数据等的代码转发、逻辑算法处理等编程功能。</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5.支持界面设计软件实现中控控制界面的制作及编辑，支持互锁模式，支持3D按键等灵活的按键设计模块。</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▲支持部署于国产操作系统，在国产操作系统上整体运行稳定，满足功能及兼容性测试要求。（需提供产品互认证证明复印件并加盖制造商公章）</w:t>
            </w:r>
          </w:p>
        </w:tc>
        <w:tc>
          <w:tcPr>
            <w:tcW w:w="845" w:type="dxa"/>
            <w:gridSpan w:val="2"/>
            <w:vAlign w:val="center"/>
          </w:tcPr>
          <w:p w14:paraId="24297AB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w:t>
            </w:r>
          </w:p>
        </w:tc>
        <w:tc>
          <w:tcPr>
            <w:tcW w:w="759" w:type="dxa"/>
            <w:gridSpan w:val="3"/>
            <w:vAlign w:val="center"/>
          </w:tcPr>
          <w:p w14:paraId="20F19D6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套</w:t>
            </w:r>
          </w:p>
        </w:tc>
        <w:tc>
          <w:tcPr>
            <w:tcW w:w="759" w:type="dxa"/>
            <w:vAlign w:val="center"/>
          </w:tcPr>
          <w:p w14:paraId="6B0A552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否</w:t>
            </w:r>
          </w:p>
        </w:tc>
      </w:tr>
      <w:tr w14:paraId="0D761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4" w:type="dxa"/>
            <w:vAlign w:val="center"/>
          </w:tcPr>
          <w:p w14:paraId="5897A87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w:t>
            </w:r>
          </w:p>
        </w:tc>
        <w:tc>
          <w:tcPr>
            <w:tcW w:w="1011" w:type="dxa"/>
            <w:vAlign w:val="center"/>
          </w:tcPr>
          <w:p w14:paraId="4DADB917">
            <w:pPr>
              <w:keepNext w:val="0"/>
              <w:keepLines w:val="0"/>
              <w:widowControl/>
              <w:suppressLineNumbers w:val="0"/>
              <w:jc w:val="both"/>
              <w:textAlignment w:val="center"/>
              <w:rPr>
                <w:rFonts w:hint="eastAsia" w:ascii="宋体" w:hAnsi="宋体" w:cs="宋体"/>
                <w:b/>
                <w:bCs/>
                <w:i w:val="0"/>
                <w:iCs w:val="0"/>
                <w:color w:val="000000"/>
                <w:kern w:val="0"/>
                <w:sz w:val="20"/>
                <w:szCs w:val="20"/>
                <w:highlight w:val="none"/>
                <w:u w:val="none"/>
                <w:lang w:val="en-US" w:eastAsia="zh-CN" w:bidi="ar"/>
              </w:rPr>
            </w:pPr>
            <w:r>
              <w:rPr>
                <w:rFonts w:hint="eastAsia" w:ascii="宋体" w:hAnsi="宋体" w:cs="宋体"/>
                <w:b/>
                <w:bCs/>
                <w:i w:val="0"/>
                <w:iCs w:val="0"/>
                <w:color w:val="000000"/>
                <w:kern w:val="0"/>
                <w:sz w:val="20"/>
                <w:szCs w:val="20"/>
                <w:highlight w:val="none"/>
                <w:u w:val="none"/>
                <w:lang w:val="en-US" w:eastAsia="zh-CN" w:bidi="ar"/>
              </w:rPr>
              <w:t>控制器</w:t>
            </w:r>
          </w:p>
        </w:tc>
        <w:tc>
          <w:tcPr>
            <w:tcW w:w="5864" w:type="dxa"/>
            <w:vAlign w:val="top"/>
          </w:tcPr>
          <w:p w14:paraId="6E11AFB8">
            <w:pPr>
              <w:keepNext w:val="0"/>
              <w:keepLines w:val="0"/>
              <w:widowControl/>
              <w:suppressLineNumbers w:val="0"/>
              <w:jc w:val="left"/>
              <w:textAlignment w:val="top"/>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1.具有≥8路自动、手动电源控制器，内置≥8个20A继电器，负载能力≥4400W/单路；配合中控主机使用，用于控制灯光、电动投影幕、电动窗帘等会议室周边设备。</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2.每路继电器都有三连接点的接线柱,具有常开与常闭的功能。</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3.具有复位按键，支持恢复到出厂的默认设置。具有1路网络接口，支持通过网络实现远程控制。</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4.具有设备运行状态指示灯及≥8个继电器的开关状态指示灯。</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5.具有键盘锁（LOCK）功能。</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6.机器具备ID识别，通过中控主机网络控制多台时，可通过ID识别。</w:t>
            </w:r>
          </w:p>
        </w:tc>
        <w:tc>
          <w:tcPr>
            <w:tcW w:w="845" w:type="dxa"/>
            <w:gridSpan w:val="2"/>
            <w:vAlign w:val="center"/>
          </w:tcPr>
          <w:p w14:paraId="66A9E26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w:t>
            </w:r>
          </w:p>
        </w:tc>
        <w:tc>
          <w:tcPr>
            <w:tcW w:w="759" w:type="dxa"/>
            <w:gridSpan w:val="3"/>
            <w:vAlign w:val="center"/>
          </w:tcPr>
          <w:p w14:paraId="375658C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台</w:t>
            </w:r>
          </w:p>
        </w:tc>
        <w:tc>
          <w:tcPr>
            <w:tcW w:w="759" w:type="dxa"/>
            <w:vAlign w:val="center"/>
          </w:tcPr>
          <w:p w14:paraId="181A5F2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否</w:t>
            </w:r>
          </w:p>
        </w:tc>
      </w:tr>
      <w:tr w14:paraId="113DF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4" w:type="dxa"/>
            <w:vAlign w:val="center"/>
          </w:tcPr>
          <w:p w14:paraId="0D1AE71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w:t>
            </w:r>
          </w:p>
        </w:tc>
        <w:tc>
          <w:tcPr>
            <w:tcW w:w="1011" w:type="dxa"/>
            <w:vAlign w:val="center"/>
          </w:tcPr>
          <w:p w14:paraId="1C47E17F">
            <w:pPr>
              <w:keepNext w:val="0"/>
              <w:keepLines w:val="0"/>
              <w:widowControl/>
              <w:suppressLineNumbers w:val="0"/>
              <w:jc w:val="both"/>
              <w:textAlignment w:val="center"/>
              <w:rPr>
                <w:rFonts w:hint="eastAsia" w:ascii="宋体" w:hAnsi="宋体" w:cs="宋体"/>
                <w:b/>
                <w:bCs/>
                <w:i w:val="0"/>
                <w:iCs w:val="0"/>
                <w:color w:val="000000"/>
                <w:kern w:val="0"/>
                <w:sz w:val="20"/>
                <w:szCs w:val="20"/>
                <w:highlight w:val="none"/>
                <w:u w:val="none"/>
                <w:lang w:val="en-US" w:eastAsia="zh-CN" w:bidi="ar"/>
              </w:rPr>
            </w:pPr>
            <w:r>
              <w:rPr>
                <w:rFonts w:hint="eastAsia" w:ascii="宋体" w:hAnsi="宋体" w:cs="宋体"/>
                <w:b/>
                <w:bCs/>
                <w:i w:val="0"/>
                <w:iCs w:val="0"/>
                <w:color w:val="000000"/>
                <w:kern w:val="0"/>
                <w:sz w:val="20"/>
                <w:szCs w:val="20"/>
                <w:highlight w:val="none"/>
                <w:u w:val="none"/>
                <w:lang w:val="en-US" w:eastAsia="zh-CN" w:bidi="ar"/>
              </w:rPr>
              <w:t>安卓平板电脑</w:t>
            </w:r>
          </w:p>
        </w:tc>
        <w:tc>
          <w:tcPr>
            <w:tcW w:w="5864" w:type="dxa"/>
            <w:vAlign w:val="center"/>
          </w:tcPr>
          <w:p w14:paraId="066AE830">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10.95英寸 2021款120Hz高刷全面屏 鸿蒙HarmonyOS 影音娱乐办公学习平板电脑8+128GB WIFI  处理器骁龙865</w:t>
            </w:r>
          </w:p>
        </w:tc>
        <w:tc>
          <w:tcPr>
            <w:tcW w:w="845" w:type="dxa"/>
            <w:gridSpan w:val="2"/>
            <w:vAlign w:val="center"/>
          </w:tcPr>
          <w:p w14:paraId="1F274CF0">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w:t>
            </w:r>
          </w:p>
        </w:tc>
        <w:tc>
          <w:tcPr>
            <w:tcW w:w="759" w:type="dxa"/>
            <w:gridSpan w:val="3"/>
            <w:vAlign w:val="center"/>
          </w:tcPr>
          <w:p w14:paraId="3FD94A0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台</w:t>
            </w:r>
          </w:p>
        </w:tc>
        <w:tc>
          <w:tcPr>
            <w:tcW w:w="759" w:type="dxa"/>
            <w:vAlign w:val="center"/>
          </w:tcPr>
          <w:p w14:paraId="7B871660">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否</w:t>
            </w:r>
          </w:p>
        </w:tc>
      </w:tr>
      <w:tr w14:paraId="1DFD5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4" w:type="dxa"/>
            <w:vAlign w:val="center"/>
          </w:tcPr>
          <w:p w14:paraId="0720FBF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5</w:t>
            </w:r>
          </w:p>
        </w:tc>
        <w:tc>
          <w:tcPr>
            <w:tcW w:w="1011" w:type="dxa"/>
            <w:vAlign w:val="center"/>
          </w:tcPr>
          <w:p w14:paraId="0F44EA32">
            <w:pPr>
              <w:keepNext w:val="0"/>
              <w:keepLines w:val="0"/>
              <w:widowControl/>
              <w:suppressLineNumbers w:val="0"/>
              <w:jc w:val="both"/>
              <w:textAlignment w:val="center"/>
              <w:rPr>
                <w:rFonts w:hint="eastAsia" w:ascii="宋体" w:hAnsi="宋体" w:cs="宋体"/>
                <w:b/>
                <w:bCs/>
                <w:i w:val="0"/>
                <w:iCs w:val="0"/>
                <w:color w:val="000000"/>
                <w:kern w:val="0"/>
                <w:sz w:val="20"/>
                <w:szCs w:val="20"/>
                <w:highlight w:val="none"/>
                <w:u w:val="none"/>
                <w:lang w:val="en-US" w:eastAsia="zh-CN" w:bidi="ar"/>
              </w:rPr>
            </w:pPr>
            <w:r>
              <w:rPr>
                <w:rFonts w:hint="eastAsia" w:ascii="宋体" w:hAnsi="宋体" w:cs="宋体"/>
                <w:b/>
                <w:bCs/>
                <w:i w:val="0"/>
                <w:iCs w:val="0"/>
                <w:color w:val="000000"/>
                <w:kern w:val="0"/>
                <w:sz w:val="20"/>
                <w:szCs w:val="20"/>
                <w:highlight w:val="none"/>
                <w:u w:val="none"/>
                <w:lang w:val="en-US" w:eastAsia="zh-CN" w:bidi="ar"/>
              </w:rPr>
              <w:t>路由器</w:t>
            </w:r>
          </w:p>
        </w:tc>
        <w:tc>
          <w:tcPr>
            <w:tcW w:w="5864" w:type="dxa"/>
            <w:vAlign w:val="center"/>
          </w:tcPr>
          <w:p w14:paraId="7642911C">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1500M高速双频wifi路由器，支持全千兆网口</w:t>
            </w:r>
          </w:p>
        </w:tc>
        <w:tc>
          <w:tcPr>
            <w:tcW w:w="845" w:type="dxa"/>
            <w:gridSpan w:val="2"/>
            <w:vAlign w:val="center"/>
          </w:tcPr>
          <w:p w14:paraId="4BE9367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w:t>
            </w:r>
          </w:p>
        </w:tc>
        <w:tc>
          <w:tcPr>
            <w:tcW w:w="759" w:type="dxa"/>
            <w:gridSpan w:val="3"/>
            <w:vAlign w:val="center"/>
          </w:tcPr>
          <w:p w14:paraId="010CD43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台</w:t>
            </w:r>
          </w:p>
        </w:tc>
        <w:tc>
          <w:tcPr>
            <w:tcW w:w="759" w:type="dxa"/>
            <w:vAlign w:val="center"/>
          </w:tcPr>
          <w:p w14:paraId="2C7CDD0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否</w:t>
            </w:r>
          </w:p>
        </w:tc>
      </w:tr>
      <w:tr w14:paraId="56CB1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9802" w:type="dxa"/>
            <w:gridSpan w:val="9"/>
            <w:vAlign w:val="center"/>
          </w:tcPr>
          <w:p w14:paraId="2816EA53">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b/>
                <w:bCs/>
                <w:i w:val="0"/>
                <w:iCs w:val="0"/>
                <w:color w:val="000000"/>
                <w:kern w:val="0"/>
                <w:sz w:val="20"/>
                <w:szCs w:val="20"/>
                <w:highlight w:val="none"/>
                <w:u w:val="none"/>
                <w:lang w:val="en-US" w:eastAsia="zh-CN" w:bidi="ar"/>
              </w:rPr>
              <w:t>六、矩阵系统（具有视频信号切换、分配功能）</w:t>
            </w:r>
          </w:p>
        </w:tc>
      </w:tr>
      <w:tr w14:paraId="146C9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4" w:type="dxa"/>
            <w:vAlign w:val="center"/>
          </w:tcPr>
          <w:p w14:paraId="1E30C4A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w:t>
            </w:r>
          </w:p>
        </w:tc>
        <w:tc>
          <w:tcPr>
            <w:tcW w:w="1011" w:type="dxa"/>
            <w:vAlign w:val="center"/>
          </w:tcPr>
          <w:p w14:paraId="7F020DB6">
            <w:pPr>
              <w:keepNext w:val="0"/>
              <w:keepLines w:val="0"/>
              <w:widowControl/>
              <w:suppressLineNumbers w:val="0"/>
              <w:jc w:val="both"/>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b/>
                <w:bCs/>
                <w:i w:val="0"/>
                <w:iCs w:val="0"/>
                <w:color w:val="000000"/>
                <w:kern w:val="0"/>
                <w:sz w:val="20"/>
                <w:szCs w:val="20"/>
                <w:highlight w:val="none"/>
                <w:u w:val="none"/>
                <w:lang w:val="en-US" w:eastAsia="zh-CN" w:bidi="ar"/>
              </w:rPr>
              <w:t>无缝高清矩阵切换器</w:t>
            </w:r>
          </w:p>
        </w:tc>
        <w:tc>
          <w:tcPr>
            <w:tcW w:w="5864" w:type="dxa"/>
            <w:vAlign w:val="top"/>
          </w:tcPr>
          <w:p w14:paraId="621D0E94">
            <w:pPr>
              <w:keepNext w:val="0"/>
              <w:keepLines w:val="0"/>
              <w:widowControl/>
              <w:suppressLineNumbers w:val="0"/>
              <w:jc w:val="left"/>
              <w:textAlignment w:val="top"/>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1.矩阵采用纯硬件标准化机箱设计，支持配置≥16×16路信号切换，支持HDMI、DVI、VGA、SDI、HDBaseT、光纤的任意输入/输出信号卡，其中DVI输入卡兼容CVBS，YUV,VGA信号，VGA输入/输出卡均兼容CVBS，YUV,VGA信号。</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2.采用板卡模块化设计，支持接入≥4块输入卡、≥4块输出卡、≥1块控制卡；通过定制配置各类相同或不同的输入输出卡可以组成单一接口类型或多接口类型的矩阵，如HDMI矩阵，DVI矩阵，VGA矩阵，YUV矩阵。</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3.支持无缝切换功能，切换过程无黑屏信号。</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4.输入输出分辨率支持≥4K@60Hz；支持断电记忆功能；系统内可存储多组预切换指令，调用时可以一键切换。</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5.支持模拟音频与HDMI内嵌音频选择输入、支持模拟音频与HDMI内嵌音频同时输出。</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6.采用多线程通信技术，支持接入≥1块控制板卡，具有≥1路RS-232接口,≥1路RS-485接口,≥1路TCP/IP端口，支持扩展延长触控屏控制。</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7.HDBaseT输入输出信号支持双向RS-232和双向IR 信号传输，可对RS-232和IR信号选择随视频信号切换，或分离切换模式。</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8.机箱前面板内置≥7英寸全彩触摸屏，可通过前面板触控屏进行通道切换、场景调用、切换、保存操作，具备自定义设置场景名称功能，可查看设备IP地址、通道信息、切换状态，可进行IP地址设置、重置，具备通道切换状态显示，支持输出分辨率显示，支持板卡接入状态显示，具备中英文双语切换功能。</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9.采用无极缩放算法与视频编解码处理技术，支持画面色度、亮度、对比度、色温、伽马值等调节，支持HDR画质增强功能。</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由于内嵌软件决定着本产品功能的完整性，要求设备内嵌软件具备《计算机软件著作权登记证书》，提供相关证书复印件并加盖制造商公章以及在中国版权保护中心官网的查询结果截图。软件名称要求是“高清无缝混插矩阵切换内嵌软件”或相近的软件。</w:t>
            </w:r>
          </w:p>
        </w:tc>
        <w:tc>
          <w:tcPr>
            <w:tcW w:w="845" w:type="dxa"/>
            <w:gridSpan w:val="2"/>
            <w:vAlign w:val="center"/>
          </w:tcPr>
          <w:p w14:paraId="0AE34FA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w:t>
            </w:r>
          </w:p>
        </w:tc>
        <w:tc>
          <w:tcPr>
            <w:tcW w:w="759" w:type="dxa"/>
            <w:gridSpan w:val="3"/>
            <w:vAlign w:val="center"/>
          </w:tcPr>
          <w:p w14:paraId="5584923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台</w:t>
            </w:r>
          </w:p>
        </w:tc>
        <w:tc>
          <w:tcPr>
            <w:tcW w:w="759" w:type="dxa"/>
            <w:vAlign w:val="center"/>
          </w:tcPr>
          <w:p w14:paraId="6F51425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否</w:t>
            </w:r>
          </w:p>
        </w:tc>
      </w:tr>
      <w:tr w14:paraId="1CCE1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4" w:type="dxa"/>
            <w:vAlign w:val="center"/>
          </w:tcPr>
          <w:p w14:paraId="583440D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w:t>
            </w:r>
          </w:p>
        </w:tc>
        <w:tc>
          <w:tcPr>
            <w:tcW w:w="1011" w:type="dxa"/>
            <w:vAlign w:val="center"/>
          </w:tcPr>
          <w:p w14:paraId="46359A05">
            <w:pPr>
              <w:keepNext w:val="0"/>
              <w:keepLines w:val="0"/>
              <w:widowControl/>
              <w:suppressLineNumbers w:val="0"/>
              <w:jc w:val="both"/>
              <w:textAlignment w:val="center"/>
              <w:rPr>
                <w:rFonts w:hint="eastAsia" w:ascii="宋体" w:hAnsi="宋体" w:cs="宋体"/>
                <w:b/>
                <w:bCs/>
                <w:i w:val="0"/>
                <w:iCs w:val="0"/>
                <w:color w:val="000000"/>
                <w:kern w:val="0"/>
                <w:sz w:val="20"/>
                <w:szCs w:val="20"/>
                <w:highlight w:val="none"/>
                <w:u w:val="none"/>
                <w:lang w:val="en-US" w:eastAsia="zh-CN" w:bidi="ar"/>
              </w:rPr>
            </w:pPr>
            <w:r>
              <w:rPr>
                <w:rFonts w:hint="eastAsia" w:ascii="宋体" w:hAnsi="宋体" w:cs="宋体"/>
                <w:b/>
                <w:bCs/>
                <w:i w:val="0"/>
                <w:iCs w:val="0"/>
                <w:color w:val="000000"/>
                <w:kern w:val="0"/>
                <w:sz w:val="20"/>
                <w:szCs w:val="20"/>
                <w:highlight w:val="none"/>
                <w:u w:val="none"/>
                <w:lang w:val="en-US" w:eastAsia="zh-CN" w:bidi="ar"/>
              </w:rPr>
              <w:t>高清无缝混插矩阵切换内嵌软件</w:t>
            </w:r>
          </w:p>
        </w:tc>
        <w:tc>
          <w:tcPr>
            <w:tcW w:w="5864" w:type="dxa"/>
            <w:vAlign w:val="top"/>
          </w:tcPr>
          <w:p w14:paraId="2B9F9BF4">
            <w:pPr>
              <w:keepNext w:val="0"/>
              <w:keepLines w:val="0"/>
              <w:widowControl/>
              <w:suppressLineNumbers w:val="0"/>
              <w:jc w:val="left"/>
              <w:textAlignment w:val="top"/>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1.软件内嵌于高清混插矩阵切换系统，实现各类高清晰数字/模拟信号的处理、切换等功能。</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2.分辨率支持≥4Kx2K的处理能力。</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3.支持信号无缝切换，切换过程无黑屏信号。</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4.支持通过专业的PC上位机管理软件控制。</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5.通过矩阵切换信号或通过软件切换信号。</w:t>
            </w:r>
          </w:p>
        </w:tc>
        <w:tc>
          <w:tcPr>
            <w:tcW w:w="845" w:type="dxa"/>
            <w:gridSpan w:val="2"/>
            <w:vAlign w:val="center"/>
          </w:tcPr>
          <w:p w14:paraId="192CA7B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w:t>
            </w:r>
          </w:p>
        </w:tc>
        <w:tc>
          <w:tcPr>
            <w:tcW w:w="759" w:type="dxa"/>
            <w:gridSpan w:val="3"/>
            <w:vAlign w:val="center"/>
          </w:tcPr>
          <w:p w14:paraId="09C85D6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套</w:t>
            </w:r>
          </w:p>
        </w:tc>
        <w:tc>
          <w:tcPr>
            <w:tcW w:w="759" w:type="dxa"/>
            <w:vAlign w:val="center"/>
          </w:tcPr>
          <w:p w14:paraId="6CF5923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否</w:t>
            </w:r>
          </w:p>
        </w:tc>
      </w:tr>
      <w:tr w14:paraId="77263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4" w:type="dxa"/>
            <w:vAlign w:val="center"/>
          </w:tcPr>
          <w:p w14:paraId="5A313C6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w:t>
            </w:r>
          </w:p>
        </w:tc>
        <w:tc>
          <w:tcPr>
            <w:tcW w:w="1011" w:type="dxa"/>
            <w:vAlign w:val="center"/>
          </w:tcPr>
          <w:p w14:paraId="19EE5A4A">
            <w:pPr>
              <w:keepNext w:val="0"/>
              <w:keepLines w:val="0"/>
              <w:widowControl/>
              <w:suppressLineNumbers w:val="0"/>
              <w:jc w:val="both"/>
              <w:textAlignment w:val="center"/>
              <w:rPr>
                <w:rFonts w:hint="eastAsia" w:ascii="宋体" w:hAnsi="宋体" w:cs="宋体"/>
                <w:b/>
                <w:bCs/>
                <w:i w:val="0"/>
                <w:iCs w:val="0"/>
                <w:color w:val="000000"/>
                <w:kern w:val="0"/>
                <w:sz w:val="20"/>
                <w:szCs w:val="20"/>
                <w:highlight w:val="none"/>
                <w:u w:val="none"/>
                <w:lang w:val="en-US" w:eastAsia="zh-CN" w:bidi="ar"/>
              </w:rPr>
            </w:pPr>
            <w:r>
              <w:rPr>
                <w:rFonts w:hint="eastAsia" w:ascii="宋体" w:hAnsi="宋体" w:cs="宋体"/>
                <w:b/>
                <w:bCs/>
                <w:i w:val="0"/>
                <w:iCs w:val="0"/>
                <w:color w:val="000000"/>
                <w:kern w:val="0"/>
                <w:sz w:val="20"/>
                <w:szCs w:val="20"/>
                <w:highlight w:val="none"/>
                <w:u w:val="none"/>
                <w:lang w:val="en-US" w:eastAsia="zh-CN" w:bidi="ar"/>
              </w:rPr>
              <w:t>SDI无缝高清输入卡</w:t>
            </w:r>
          </w:p>
        </w:tc>
        <w:tc>
          <w:tcPr>
            <w:tcW w:w="5864" w:type="dxa"/>
            <w:vAlign w:val="top"/>
          </w:tcPr>
          <w:p w14:paraId="3D883127">
            <w:pPr>
              <w:keepNext w:val="0"/>
              <w:keepLines w:val="0"/>
              <w:widowControl/>
              <w:suppressLineNumbers w:val="0"/>
              <w:jc w:val="left"/>
              <w:textAlignment w:val="top"/>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1.支持≥4路SDI视频信号输入，支持热插拔。</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2.带宽支持19Mbps至2.97Gbps，支持分辨率≥1080P，兼容HDTV。</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3.支持快速无缝切换，无闪烁，无黑屏。</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4.支持断电现场切换记忆保护功能。</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5.兼容各种格式的SDI信号，包括：SD/HD/3G-SDI(自适应)。</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由于内嵌软件决定着本产品功能的完整性，要求设备内嵌软件具备《计算机软件著作权登记证书》，提供相关证书复印件并加盖制造商公章以及在中国版权保护中心官网的查询结果截图。软件名称要求是“高清矩阵输入板卡内嵌软件”或相近的软件。</w:t>
            </w:r>
          </w:p>
        </w:tc>
        <w:tc>
          <w:tcPr>
            <w:tcW w:w="845" w:type="dxa"/>
            <w:gridSpan w:val="2"/>
            <w:vAlign w:val="center"/>
          </w:tcPr>
          <w:p w14:paraId="6F6DB90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w:t>
            </w:r>
          </w:p>
        </w:tc>
        <w:tc>
          <w:tcPr>
            <w:tcW w:w="759" w:type="dxa"/>
            <w:gridSpan w:val="3"/>
            <w:vAlign w:val="center"/>
          </w:tcPr>
          <w:p w14:paraId="6CBF077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块</w:t>
            </w:r>
          </w:p>
        </w:tc>
        <w:tc>
          <w:tcPr>
            <w:tcW w:w="759" w:type="dxa"/>
            <w:vAlign w:val="center"/>
          </w:tcPr>
          <w:p w14:paraId="4159F95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否</w:t>
            </w:r>
          </w:p>
        </w:tc>
      </w:tr>
      <w:tr w14:paraId="4439D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4" w:type="dxa"/>
            <w:vAlign w:val="center"/>
          </w:tcPr>
          <w:p w14:paraId="4B95775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w:t>
            </w:r>
          </w:p>
        </w:tc>
        <w:tc>
          <w:tcPr>
            <w:tcW w:w="1011" w:type="dxa"/>
            <w:vAlign w:val="center"/>
          </w:tcPr>
          <w:p w14:paraId="6FBCEE47">
            <w:pPr>
              <w:keepNext w:val="0"/>
              <w:keepLines w:val="0"/>
              <w:widowControl/>
              <w:suppressLineNumbers w:val="0"/>
              <w:jc w:val="both"/>
              <w:textAlignment w:val="center"/>
              <w:rPr>
                <w:rFonts w:hint="eastAsia" w:ascii="宋体" w:hAnsi="宋体" w:cs="宋体"/>
                <w:b/>
                <w:bCs/>
                <w:i w:val="0"/>
                <w:iCs w:val="0"/>
                <w:color w:val="000000"/>
                <w:kern w:val="0"/>
                <w:sz w:val="20"/>
                <w:szCs w:val="20"/>
                <w:highlight w:val="none"/>
                <w:u w:val="none"/>
                <w:lang w:val="en-US" w:eastAsia="zh-CN" w:bidi="ar"/>
              </w:rPr>
            </w:pPr>
            <w:r>
              <w:rPr>
                <w:rFonts w:hint="eastAsia" w:ascii="宋体" w:hAnsi="宋体" w:cs="宋体"/>
                <w:b/>
                <w:bCs/>
                <w:i w:val="0"/>
                <w:iCs w:val="0"/>
                <w:color w:val="000000"/>
                <w:kern w:val="0"/>
                <w:sz w:val="20"/>
                <w:szCs w:val="20"/>
                <w:highlight w:val="none"/>
                <w:u w:val="none"/>
                <w:lang w:val="en-US" w:eastAsia="zh-CN" w:bidi="ar"/>
              </w:rPr>
              <w:t>高清矩阵输入板卡内嵌软件</w:t>
            </w:r>
          </w:p>
        </w:tc>
        <w:tc>
          <w:tcPr>
            <w:tcW w:w="5864" w:type="dxa"/>
            <w:vAlign w:val="top"/>
          </w:tcPr>
          <w:p w14:paraId="354C0CF4">
            <w:pPr>
              <w:keepNext w:val="0"/>
              <w:keepLines w:val="0"/>
              <w:widowControl/>
              <w:suppressLineNumbers w:val="0"/>
              <w:jc w:val="left"/>
              <w:textAlignment w:val="top"/>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1.软件内嵌于高清矩阵系统板卡设备，实现信号的处理功能。</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2.支持分辨率≥1920×1080P@60Hz的处理能力。</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3.通过矩阵切换信号或通过软件切换信号。</w:t>
            </w:r>
          </w:p>
        </w:tc>
        <w:tc>
          <w:tcPr>
            <w:tcW w:w="845" w:type="dxa"/>
            <w:gridSpan w:val="2"/>
            <w:vAlign w:val="center"/>
          </w:tcPr>
          <w:p w14:paraId="44F3BC6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w:t>
            </w:r>
          </w:p>
        </w:tc>
        <w:tc>
          <w:tcPr>
            <w:tcW w:w="759" w:type="dxa"/>
            <w:gridSpan w:val="3"/>
            <w:vAlign w:val="center"/>
          </w:tcPr>
          <w:p w14:paraId="76886BD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套</w:t>
            </w:r>
          </w:p>
        </w:tc>
        <w:tc>
          <w:tcPr>
            <w:tcW w:w="759" w:type="dxa"/>
            <w:vAlign w:val="center"/>
          </w:tcPr>
          <w:p w14:paraId="4171D75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否</w:t>
            </w:r>
          </w:p>
        </w:tc>
      </w:tr>
      <w:tr w14:paraId="2A964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4" w:type="dxa"/>
            <w:vAlign w:val="center"/>
          </w:tcPr>
          <w:p w14:paraId="7E9A75E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5</w:t>
            </w:r>
          </w:p>
        </w:tc>
        <w:tc>
          <w:tcPr>
            <w:tcW w:w="1011" w:type="dxa"/>
            <w:vAlign w:val="center"/>
          </w:tcPr>
          <w:p w14:paraId="013A14F7">
            <w:pPr>
              <w:keepNext w:val="0"/>
              <w:keepLines w:val="0"/>
              <w:widowControl/>
              <w:suppressLineNumbers w:val="0"/>
              <w:jc w:val="both"/>
              <w:textAlignment w:val="center"/>
              <w:rPr>
                <w:rFonts w:hint="eastAsia" w:ascii="宋体" w:hAnsi="宋体" w:cs="宋体"/>
                <w:b/>
                <w:bCs/>
                <w:i w:val="0"/>
                <w:iCs w:val="0"/>
                <w:color w:val="000000"/>
                <w:kern w:val="0"/>
                <w:sz w:val="20"/>
                <w:szCs w:val="20"/>
                <w:highlight w:val="none"/>
                <w:u w:val="none"/>
                <w:lang w:val="en-US" w:eastAsia="zh-CN" w:bidi="ar"/>
              </w:rPr>
            </w:pPr>
            <w:r>
              <w:rPr>
                <w:rFonts w:hint="eastAsia" w:ascii="宋体" w:hAnsi="宋体" w:cs="宋体"/>
                <w:b/>
                <w:bCs/>
                <w:i w:val="0"/>
                <w:iCs w:val="0"/>
                <w:color w:val="000000"/>
                <w:kern w:val="0"/>
                <w:sz w:val="20"/>
                <w:szCs w:val="20"/>
                <w:highlight w:val="none"/>
                <w:u w:val="none"/>
                <w:lang w:val="en-US" w:eastAsia="zh-CN" w:bidi="ar"/>
              </w:rPr>
              <w:t>HDMI无缝高清输入卡</w:t>
            </w:r>
          </w:p>
        </w:tc>
        <w:tc>
          <w:tcPr>
            <w:tcW w:w="5864" w:type="dxa"/>
            <w:vAlign w:val="top"/>
          </w:tcPr>
          <w:p w14:paraId="3C485F26">
            <w:pPr>
              <w:keepNext w:val="0"/>
              <w:keepLines w:val="0"/>
              <w:widowControl/>
              <w:suppressLineNumbers w:val="0"/>
              <w:jc w:val="left"/>
              <w:textAlignment w:val="top"/>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1.具有≥4路HDMI-A母接口和≥4路3.5mm音频座，支持模拟音频与HDMI内嵌音频选择输入。</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2.支持快速无缝切换，无闪烁，无黑屏。</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3.支持断电现场切换记忆保护功能，特有ESD静电保护功能。</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 xml:space="preserve">4.兼容HDMI1.3a的标准，DVI1.0协议；支持分辨率≥1920×1200P@60。 </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由于内嵌软件决定着本产品功能的完整性，要求设备内嵌软件具备《计算机软件著作权登记证书》，提供相关证书复印件并加盖制造商公章以及在中国版权保护中心官网的查询结果截图。软件名称要求是“高清矩阵输入板卡内嵌软件”或相近的软件。</w:t>
            </w:r>
          </w:p>
        </w:tc>
        <w:tc>
          <w:tcPr>
            <w:tcW w:w="845" w:type="dxa"/>
            <w:gridSpan w:val="2"/>
            <w:vAlign w:val="center"/>
          </w:tcPr>
          <w:p w14:paraId="4831453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w:t>
            </w:r>
          </w:p>
        </w:tc>
        <w:tc>
          <w:tcPr>
            <w:tcW w:w="759" w:type="dxa"/>
            <w:gridSpan w:val="3"/>
            <w:vAlign w:val="center"/>
          </w:tcPr>
          <w:p w14:paraId="17DE89A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块</w:t>
            </w:r>
          </w:p>
        </w:tc>
        <w:tc>
          <w:tcPr>
            <w:tcW w:w="759" w:type="dxa"/>
            <w:vAlign w:val="center"/>
          </w:tcPr>
          <w:p w14:paraId="0398E21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否</w:t>
            </w:r>
          </w:p>
        </w:tc>
      </w:tr>
      <w:tr w14:paraId="3DB76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4" w:type="dxa"/>
            <w:vAlign w:val="center"/>
          </w:tcPr>
          <w:p w14:paraId="2C819D7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6</w:t>
            </w:r>
          </w:p>
        </w:tc>
        <w:tc>
          <w:tcPr>
            <w:tcW w:w="1011" w:type="dxa"/>
            <w:vAlign w:val="center"/>
          </w:tcPr>
          <w:p w14:paraId="748714C3">
            <w:pPr>
              <w:keepNext w:val="0"/>
              <w:keepLines w:val="0"/>
              <w:widowControl/>
              <w:suppressLineNumbers w:val="0"/>
              <w:jc w:val="both"/>
              <w:textAlignment w:val="center"/>
              <w:rPr>
                <w:rFonts w:hint="eastAsia" w:ascii="宋体" w:hAnsi="宋体" w:cs="宋体"/>
                <w:b/>
                <w:bCs/>
                <w:i w:val="0"/>
                <w:iCs w:val="0"/>
                <w:color w:val="000000"/>
                <w:kern w:val="0"/>
                <w:sz w:val="20"/>
                <w:szCs w:val="20"/>
                <w:highlight w:val="none"/>
                <w:u w:val="none"/>
                <w:lang w:val="en-US" w:eastAsia="zh-CN" w:bidi="ar"/>
              </w:rPr>
            </w:pPr>
            <w:r>
              <w:rPr>
                <w:rFonts w:hint="eastAsia" w:ascii="宋体" w:hAnsi="宋体" w:cs="宋体"/>
                <w:b/>
                <w:bCs/>
                <w:i w:val="0"/>
                <w:iCs w:val="0"/>
                <w:color w:val="000000"/>
                <w:kern w:val="0"/>
                <w:sz w:val="20"/>
                <w:szCs w:val="20"/>
                <w:highlight w:val="none"/>
                <w:u w:val="none"/>
                <w:lang w:val="en-US" w:eastAsia="zh-CN" w:bidi="ar"/>
              </w:rPr>
              <w:t>高清矩阵输入板卡内嵌软件</w:t>
            </w:r>
          </w:p>
        </w:tc>
        <w:tc>
          <w:tcPr>
            <w:tcW w:w="5864" w:type="dxa"/>
            <w:vAlign w:val="top"/>
          </w:tcPr>
          <w:p w14:paraId="0E9C166E">
            <w:pPr>
              <w:keepNext w:val="0"/>
              <w:keepLines w:val="0"/>
              <w:widowControl/>
              <w:suppressLineNumbers w:val="0"/>
              <w:jc w:val="left"/>
              <w:textAlignment w:val="top"/>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1.软件内嵌于高清矩阵系统板卡设备，实现信号的处理功能。</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2.支持分辨率≥1920×1080P@60Hz的处理能力。</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3.通过矩阵切换信号或通过软件切换信号。</w:t>
            </w:r>
          </w:p>
        </w:tc>
        <w:tc>
          <w:tcPr>
            <w:tcW w:w="845" w:type="dxa"/>
            <w:gridSpan w:val="2"/>
            <w:vAlign w:val="center"/>
          </w:tcPr>
          <w:p w14:paraId="3BD6587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w:t>
            </w:r>
          </w:p>
        </w:tc>
        <w:tc>
          <w:tcPr>
            <w:tcW w:w="759" w:type="dxa"/>
            <w:gridSpan w:val="3"/>
            <w:vAlign w:val="center"/>
          </w:tcPr>
          <w:p w14:paraId="0FF7C7F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套</w:t>
            </w:r>
          </w:p>
        </w:tc>
        <w:tc>
          <w:tcPr>
            <w:tcW w:w="759" w:type="dxa"/>
            <w:vAlign w:val="center"/>
          </w:tcPr>
          <w:p w14:paraId="5D69EEC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否</w:t>
            </w:r>
          </w:p>
        </w:tc>
      </w:tr>
      <w:tr w14:paraId="5BFF5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4" w:type="dxa"/>
            <w:vAlign w:val="center"/>
          </w:tcPr>
          <w:p w14:paraId="753B19A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7</w:t>
            </w:r>
          </w:p>
        </w:tc>
        <w:tc>
          <w:tcPr>
            <w:tcW w:w="1011" w:type="dxa"/>
            <w:vAlign w:val="center"/>
          </w:tcPr>
          <w:p w14:paraId="5E3C1A6E">
            <w:pPr>
              <w:keepNext w:val="0"/>
              <w:keepLines w:val="0"/>
              <w:widowControl/>
              <w:suppressLineNumbers w:val="0"/>
              <w:jc w:val="both"/>
              <w:textAlignment w:val="center"/>
              <w:rPr>
                <w:rFonts w:hint="eastAsia" w:ascii="宋体" w:hAnsi="宋体" w:cs="宋体"/>
                <w:b/>
                <w:bCs/>
                <w:i w:val="0"/>
                <w:iCs w:val="0"/>
                <w:color w:val="000000"/>
                <w:kern w:val="0"/>
                <w:sz w:val="20"/>
                <w:szCs w:val="20"/>
                <w:highlight w:val="none"/>
                <w:u w:val="none"/>
                <w:lang w:val="en-US" w:eastAsia="zh-CN" w:bidi="ar"/>
              </w:rPr>
            </w:pPr>
            <w:r>
              <w:rPr>
                <w:rFonts w:hint="eastAsia" w:ascii="宋体" w:hAnsi="宋体" w:cs="宋体"/>
                <w:b/>
                <w:bCs/>
                <w:i w:val="0"/>
                <w:iCs w:val="0"/>
                <w:color w:val="000000"/>
                <w:kern w:val="0"/>
                <w:sz w:val="20"/>
                <w:szCs w:val="20"/>
                <w:highlight w:val="none"/>
                <w:u w:val="none"/>
                <w:lang w:val="en-US" w:eastAsia="zh-CN" w:bidi="ar"/>
              </w:rPr>
              <w:t>HDMI无缝高清输出卡</w:t>
            </w:r>
          </w:p>
        </w:tc>
        <w:tc>
          <w:tcPr>
            <w:tcW w:w="5864" w:type="dxa"/>
            <w:vAlign w:val="top"/>
          </w:tcPr>
          <w:p w14:paraId="7BB78589">
            <w:pPr>
              <w:keepNext w:val="0"/>
              <w:keepLines w:val="0"/>
              <w:widowControl/>
              <w:suppressLineNumbers w:val="0"/>
              <w:jc w:val="left"/>
              <w:textAlignment w:val="top"/>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1.具有≥4路HDMI-A母接口和≥4路3.5mm音频座，支持模拟音频与HDMI内嵌音频同时输出。</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2.支持快速无缝切换，无闪烁，无黑屏。</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3.支持断电现场切换记忆保护功能，特有ESD静电保护功能。</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4.兼容HDMI1.3a的标准，DVI1.0协议；支持倍线功能，支持分辨率≥1920×1200P@60。</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由于内嵌软件决定着本产品功能的完整性，要求设备内嵌软件具备《计算机软件著作权登记证书》，提供相关证书复印件并加盖制造商公章以及在中国版权保护中心官网的查询结果截图。软件名称要求是“高清矩阵输出板卡内嵌软件”或相近的软件。</w:t>
            </w:r>
          </w:p>
        </w:tc>
        <w:tc>
          <w:tcPr>
            <w:tcW w:w="845" w:type="dxa"/>
            <w:gridSpan w:val="2"/>
            <w:vAlign w:val="center"/>
          </w:tcPr>
          <w:p w14:paraId="6CC97C1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w:t>
            </w:r>
          </w:p>
        </w:tc>
        <w:tc>
          <w:tcPr>
            <w:tcW w:w="759" w:type="dxa"/>
            <w:gridSpan w:val="3"/>
            <w:vAlign w:val="center"/>
          </w:tcPr>
          <w:p w14:paraId="4358E4F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块</w:t>
            </w:r>
          </w:p>
        </w:tc>
        <w:tc>
          <w:tcPr>
            <w:tcW w:w="759" w:type="dxa"/>
            <w:vAlign w:val="center"/>
          </w:tcPr>
          <w:p w14:paraId="406DC2B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否</w:t>
            </w:r>
          </w:p>
        </w:tc>
      </w:tr>
      <w:tr w14:paraId="06E62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4" w:type="dxa"/>
            <w:vAlign w:val="center"/>
          </w:tcPr>
          <w:p w14:paraId="453907F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w:t>
            </w:r>
          </w:p>
        </w:tc>
        <w:tc>
          <w:tcPr>
            <w:tcW w:w="1011" w:type="dxa"/>
            <w:vAlign w:val="center"/>
          </w:tcPr>
          <w:p w14:paraId="4CCB2727">
            <w:pPr>
              <w:keepNext w:val="0"/>
              <w:keepLines w:val="0"/>
              <w:widowControl/>
              <w:suppressLineNumbers w:val="0"/>
              <w:jc w:val="both"/>
              <w:textAlignment w:val="center"/>
              <w:rPr>
                <w:rFonts w:hint="eastAsia" w:ascii="宋体" w:hAnsi="宋体" w:cs="宋体"/>
                <w:b/>
                <w:bCs/>
                <w:i w:val="0"/>
                <w:iCs w:val="0"/>
                <w:color w:val="000000"/>
                <w:kern w:val="0"/>
                <w:sz w:val="20"/>
                <w:szCs w:val="20"/>
                <w:highlight w:val="none"/>
                <w:u w:val="none"/>
                <w:lang w:val="en-US" w:eastAsia="zh-CN" w:bidi="ar"/>
              </w:rPr>
            </w:pPr>
            <w:r>
              <w:rPr>
                <w:rFonts w:hint="eastAsia" w:ascii="宋体" w:hAnsi="宋体" w:cs="宋体"/>
                <w:b/>
                <w:bCs/>
                <w:i w:val="0"/>
                <w:iCs w:val="0"/>
                <w:color w:val="000000"/>
                <w:kern w:val="0"/>
                <w:sz w:val="20"/>
                <w:szCs w:val="20"/>
                <w:highlight w:val="none"/>
                <w:u w:val="none"/>
                <w:lang w:val="en-US" w:eastAsia="zh-CN" w:bidi="ar"/>
              </w:rPr>
              <w:t>高清矩阵输出板卡内嵌软件</w:t>
            </w:r>
          </w:p>
        </w:tc>
        <w:tc>
          <w:tcPr>
            <w:tcW w:w="5864" w:type="dxa"/>
            <w:vAlign w:val="top"/>
          </w:tcPr>
          <w:p w14:paraId="663A50C4">
            <w:pPr>
              <w:keepNext w:val="0"/>
              <w:keepLines w:val="0"/>
              <w:widowControl/>
              <w:suppressLineNumbers w:val="0"/>
              <w:jc w:val="left"/>
              <w:textAlignment w:val="top"/>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1.软件内嵌于高清矩阵系统板卡设备，实现信号的处理功能。</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2.支持分辨率≥1920×1080P@60Hz的处理能力。</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3.通过矩阵切换信号或通过软件切换信号。</w:t>
            </w:r>
          </w:p>
        </w:tc>
        <w:tc>
          <w:tcPr>
            <w:tcW w:w="845" w:type="dxa"/>
            <w:gridSpan w:val="2"/>
            <w:vAlign w:val="center"/>
          </w:tcPr>
          <w:p w14:paraId="0B78A0C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w:t>
            </w:r>
          </w:p>
        </w:tc>
        <w:tc>
          <w:tcPr>
            <w:tcW w:w="759" w:type="dxa"/>
            <w:gridSpan w:val="3"/>
            <w:vAlign w:val="center"/>
          </w:tcPr>
          <w:p w14:paraId="1634D810">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套</w:t>
            </w:r>
          </w:p>
        </w:tc>
        <w:tc>
          <w:tcPr>
            <w:tcW w:w="759" w:type="dxa"/>
            <w:vAlign w:val="center"/>
          </w:tcPr>
          <w:p w14:paraId="48CB258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否</w:t>
            </w:r>
          </w:p>
        </w:tc>
      </w:tr>
      <w:tr w14:paraId="31707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9802" w:type="dxa"/>
            <w:gridSpan w:val="9"/>
            <w:vAlign w:val="center"/>
          </w:tcPr>
          <w:p w14:paraId="4928E960">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b/>
                <w:bCs/>
                <w:i w:val="0"/>
                <w:iCs w:val="0"/>
                <w:color w:val="000000"/>
                <w:kern w:val="0"/>
                <w:sz w:val="20"/>
                <w:szCs w:val="20"/>
                <w:highlight w:val="none"/>
                <w:u w:val="none"/>
                <w:lang w:val="en-US" w:eastAsia="zh-CN" w:bidi="ar"/>
              </w:rPr>
              <w:t>七、视频会议系统（具有各个会场音视频互联互通等功能）</w:t>
            </w:r>
          </w:p>
        </w:tc>
      </w:tr>
      <w:tr w14:paraId="7FE7C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4" w:type="dxa"/>
            <w:vAlign w:val="center"/>
          </w:tcPr>
          <w:p w14:paraId="373D140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w:t>
            </w:r>
          </w:p>
        </w:tc>
        <w:tc>
          <w:tcPr>
            <w:tcW w:w="1011" w:type="dxa"/>
            <w:vAlign w:val="center"/>
          </w:tcPr>
          <w:p w14:paraId="5C537D60">
            <w:pPr>
              <w:keepNext w:val="0"/>
              <w:keepLines w:val="0"/>
              <w:widowControl/>
              <w:suppressLineNumbers w:val="0"/>
              <w:jc w:val="both"/>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b/>
                <w:bCs/>
                <w:i w:val="0"/>
                <w:iCs w:val="0"/>
                <w:color w:val="000000"/>
                <w:kern w:val="0"/>
                <w:sz w:val="20"/>
                <w:szCs w:val="20"/>
                <w:highlight w:val="none"/>
                <w:u w:val="none"/>
                <w:lang w:val="en-US" w:eastAsia="zh-CN" w:bidi="ar"/>
              </w:rPr>
              <w:t>高清视频终端</w:t>
            </w:r>
          </w:p>
        </w:tc>
        <w:tc>
          <w:tcPr>
            <w:tcW w:w="5864" w:type="dxa"/>
            <w:vAlign w:val="center"/>
          </w:tcPr>
          <w:p w14:paraId="1B32C77D">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1.采用分体式结构，内置硬件视频处理单元，采用国产嵌入式Linux和Android 12双操作系统设计，支持国产嵌入式Linux系统与安卓系统互相切换。</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2.支持ITU-T H.323、SIP标准协议，具有良好的兼容性；支持H.239、BFCP双流协议。</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3.支持H.261、H.263、H.263+、H.264、H.264 HP视频编解码协议，支持G.711、G.722、G.722.1、G.722.1C、OPUS音频编解码协议，音质可达≥48KHz。</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4.终端采用B/S管理架构，可通过访问浏览器登陆web远程进行管理，支持中英文切换；并且终端web页面支持实时回显会议画面，以及会议声音可播放。</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5.支持会议中设置辅流全屏显示或合成显示；支持将≥2路主流画面合成一路传给远端，画面布局可选；以及辅流接口支持即插即发功能，并支持遥控器一键辅流发送或结束、画面布局切换。</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6.具备≥1个USB2.0接口和≥1个USB3.0接口，支持接入USB存储设备；支持会议录制功能，可以直接录制会议过程中的视频和音频；以及支持通过USB存储设备进行程序升级、抓取数据包。</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7.具备≥4路音频输入接口，≥2路音频输出接口，以及具备≥3路高清视频输入接口、≥2路高清视频输出接口。</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8.支持IP网络丢包时修复机制，≥30%网络丢包时，声音清晰连续，视频清晰流畅，无卡顿、无马赛克；≥80%网络丢包时，声音清晰流畅，可准确理解。</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9.支持IPV4和IPV6协议，支持NAT穿越，具备跨越路由器及防火墙的能力，保证系统安全。在H.323协议下，支持H.235信令加密；在SIP协议下，支持TLS、SRTP加密；媒体流支持AES128/256、SM3、SM4国密算法，保证会议安全。</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10.支持设备的上电启动和风扇开关的电源管理，可配置设备是否上电自启动和启用风扇。</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11.终端内置电子白板、电子投票、文件共享等数据会议功能，并具备横幅功能，可在终端画面上添加横幅，并可设置是否启用横幅及横幅的字体大小、字体颜色、背景颜色。</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12.具备辅流批注功能，发送辅流和接收辅流时都可在辅流画面上进行实时批注；可设置三种不同粗细的画笔，设置五种画笔颜色，设置圆形、方形、箭头、线条等批注图形；发送辅流时可设置是否开放批注权限给与会成员共同批注。（需提供功能截图佐证并加盖制造商公章）</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13.具备web交互电子白板功能，可在终端控制web上进行电子白板操作，可设置三种不同粗细的画笔，设置十种画笔颜色，设置圆形、方形、箭头、线条等批注图形；设置纯色背景或图片背景；web操作电子白板时，终端输出画面同步跟随显示电子白板内容；可设置电子白板同屏推送，其他入会终端观看同一白板内容。电子白板支持分页，可支持5页。</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14.具备AI实时语音转写功能，无需额外配置融合语音转写系统，终端即可对会议中的音频实时转写成字幕输出到显示器上显示，可同时显示会议实时字幕和翻译字幕，也可单独显示，支持中英文转写；并可设置字幕背景色、字体颜色、背景透明度、字体类型、字体大小。（需提供功能截图佐证并加盖制造商公章）</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▲15.具备AI同声传译功能，无需额外配置其他设备，终端即可将远端传输过来的音频进行翻译后播放，支持中英翻译，并且播放倍数、音色可选。（需提供功能截图佐证并加盖制造商公章）</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16.在Android系统下，设备应用商城中提供腾讯会议Rooms、钉钉、ZOOM、Microsoft Teams等主流视频会议软件下载，以及可通过设备查看表格、文档等资料。</w:t>
            </w:r>
          </w:p>
        </w:tc>
        <w:tc>
          <w:tcPr>
            <w:tcW w:w="845" w:type="dxa"/>
            <w:gridSpan w:val="2"/>
            <w:vAlign w:val="center"/>
          </w:tcPr>
          <w:p w14:paraId="5A04E23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w:t>
            </w:r>
          </w:p>
        </w:tc>
        <w:tc>
          <w:tcPr>
            <w:tcW w:w="759" w:type="dxa"/>
            <w:gridSpan w:val="3"/>
            <w:vAlign w:val="center"/>
          </w:tcPr>
          <w:p w14:paraId="2E001F3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台</w:t>
            </w:r>
          </w:p>
        </w:tc>
        <w:tc>
          <w:tcPr>
            <w:tcW w:w="759" w:type="dxa"/>
            <w:vAlign w:val="center"/>
          </w:tcPr>
          <w:p w14:paraId="4574AE9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b/>
                <w:bCs/>
                <w:i w:val="0"/>
                <w:iCs w:val="0"/>
                <w:color w:val="000000"/>
                <w:kern w:val="0"/>
                <w:sz w:val="20"/>
                <w:szCs w:val="20"/>
                <w:highlight w:val="none"/>
                <w:u w:val="none"/>
                <w:lang w:val="en-US" w:eastAsia="zh-CN" w:bidi="ar"/>
              </w:rPr>
              <w:t>是</w:t>
            </w:r>
          </w:p>
        </w:tc>
      </w:tr>
      <w:tr w14:paraId="6D40A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4" w:type="dxa"/>
            <w:vAlign w:val="center"/>
          </w:tcPr>
          <w:p w14:paraId="2142C22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w:t>
            </w:r>
          </w:p>
        </w:tc>
        <w:tc>
          <w:tcPr>
            <w:tcW w:w="1011" w:type="dxa"/>
            <w:vAlign w:val="center"/>
          </w:tcPr>
          <w:p w14:paraId="06037769">
            <w:pPr>
              <w:keepNext w:val="0"/>
              <w:keepLines w:val="0"/>
              <w:widowControl/>
              <w:suppressLineNumbers w:val="0"/>
              <w:jc w:val="both"/>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b/>
                <w:bCs/>
                <w:i w:val="0"/>
                <w:iCs w:val="0"/>
                <w:color w:val="000000"/>
                <w:kern w:val="0"/>
                <w:sz w:val="20"/>
                <w:szCs w:val="20"/>
                <w:highlight w:val="none"/>
                <w:u w:val="none"/>
                <w:lang w:val="en-US" w:eastAsia="zh-CN" w:bidi="ar"/>
              </w:rPr>
              <w:t>高清视频会议终端嵌入软件</w:t>
            </w:r>
          </w:p>
        </w:tc>
        <w:tc>
          <w:tcPr>
            <w:tcW w:w="5864" w:type="dxa"/>
            <w:vAlign w:val="center"/>
          </w:tcPr>
          <w:p w14:paraId="1619E963">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1.远程视频会议终端嵌入式软件，内嵌于设备，实现设备各项基本功能的运行。</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2.支持国际电联ITU-H.323标准通信协议，以及支持SIP协议。</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3.支持H.265等视频编解码技术、G.711、G.722等音频编解码技术。</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4.支持“主流+辅流”双流方式传输视频会议画面。</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5.支持高清4K/60帧视频处理能力。</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6.支持web管理，符合不同用户的使用习惯。</w:t>
            </w:r>
          </w:p>
        </w:tc>
        <w:tc>
          <w:tcPr>
            <w:tcW w:w="845" w:type="dxa"/>
            <w:gridSpan w:val="2"/>
            <w:vAlign w:val="center"/>
          </w:tcPr>
          <w:p w14:paraId="0B79AA7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w:t>
            </w:r>
          </w:p>
        </w:tc>
        <w:tc>
          <w:tcPr>
            <w:tcW w:w="759" w:type="dxa"/>
            <w:gridSpan w:val="3"/>
            <w:vAlign w:val="center"/>
          </w:tcPr>
          <w:p w14:paraId="607A86F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套</w:t>
            </w:r>
          </w:p>
        </w:tc>
        <w:tc>
          <w:tcPr>
            <w:tcW w:w="759" w:type="dxa"/>
            <w:vAlign w:val="center"/>
          </w:tcPr>
          <w:p w14:paraId="3FAD45E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否</w:t>
            </w:r>
          </w:p>
        </w:tc>
      </w:tr>
      <w:tr w14:paraId="06726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9802" w:type="dxa"/>
            <w:gridSpan w:val="9"/>
            <w:vAlign w:val="center"/>
          </w:tcPr>
          <w:p w14:paraId="4C5F3630">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b/>
                <w:bCs/>
                <w:i w:val="0"/>
                <w:iCs w:val="0"/>
                <w:color w:val="000000"/>
                <w:kern w:val="0"/>
                <w:sz w:val="20"/>
                <w:szCs w:val="20"/>
                <w:highlight w:val="none"/>
                <w:u w:val="none"/>
                <w:lang w:val="en-US" w:eastAsia="zh-CN" w:bidi="ar"/>
              </w:rPr>
              <w:t>八、云会务系统</w:t>
            </w:r>
          </w:p>
        </w:tc>
      </w:tr>
      <w:tr w14:paraId="459C1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4" w:type="dxa"/>
            <w:vAlign w:val="center"/>
          </w:tcPr>
          <w:p w14:paraId="513E09E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w:t>
            </w:r>
          </w:p>
        </w:tc>
        <w:tc>
          <w:tcPr>
            <w:tcW w:w="1011" w:type="dxa"/>
            <w:vAlign w:val="center"/>
          </w:tcPr>
          <w:p w14:paraId="7959B9B8">
            <w:pPr>
              <w:keepNext w:val="0"/>
              <w:keepLines w:val="0"/>
              <w:widowControl/>
              <w:suppressLineNumbers w:val="0"/>
              <w:jc w:val="both"/>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b/>
                <w:bCs/>
                <w:i w:val="0"/>
                <w:iCs w:val="0"/>
                <w:color w:val="000000"/>
                <w:kern w:val="0"/>
                <w:sz w:val="20"/>
                <w:szCs w:val="20"/>
                <w:highlight w:val="none"/>
                <w:u w:val="none"/>
                <w:lang w:val="en-US" w:eastAsia="zh-CN" w:bidi="ar"/>
              </w:rPr>
              <w:t>云会务服务器管理系统软件</w:t>
            </w:r>
          </w:p>
        </w:tc>
        <w:tc>
          <w:tcPr>
            <w:tcW w:w="5864" w:type="dxa"/>
            <w:vAlign w:val="top"/>
          </w:tcPr>
          <w:p w14:paraId="7EF55DFB">
            <w:pPr>
              <w:keepNext w:val="0"/>
              <w:keepLines w:val="0"/>
              <w:widowControl/>
              <w:suppressLineNumbers w:val="0"/>
              <w:jc w:val="left"/>
              <w:textAlignment w:val="top"/>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1.系统具有集中展示与用户相关的所有待办会议及任务，区分待进行与进行中状态，支持一键跳转至详情页，快捷查看待办事项防止遗漏。</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会议预约：会议预约系统支持PC网页预定；系统具有直观的日历视图展示会议室预定情况，支持实时查看会议室当前状态、是否占用、占用人信息，预定时间线及类型筛选帮助用户高效选择合适的会议室，也可根据空间层级、可容纳人数多种方式进行筛选，并支持切换视图查看更全面的会议安排。</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3.具有会议材料管理功能，支持多种格式文档（包括rar、zip、xls、xlsx、docx、ppt、pdf、jpg）在Web端提前上传,支持下载文件进行预览及删除文件。 （提供功能界面截图佐证）</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支持议题管理功能，可创建议题，选择组织架构人员、上传议题文件、议题内容，创建议题后由管理员审批是否通过；支持查看议题状态，包括全部、未排会/已排会、查看议题参与人员；门口屏支持会议状态显示（包括空闲、会议即将开始、开会中），同时提供多种签到方式（包括密码、IC卡、二维码）。（提供功能界面截图佐证并加盖制造商公章）</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5.会议服务：系统具有后台定义会议服务项目（如茶水）及服务人员，创建会议时可一键勾选所需服务。</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6.坐席管理：系统具有管理员可自定义输入会议室坐席布局，自动或手动为参会者分配座位。</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7.便捷签到：系统支持通过分享会议链接或微信扫码，外部参与者可快速报名参会并实现电子签到（手机需要与电脑处于同一网络下）。</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8.门口屏模版：系统具有汇总屏与门口屏的显示模板配置，可自由编辑会议信息展示样式，如会议主题、时间、参会人。</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9.会议模版：系统具有用户自定义会议模板，包括会议主题、议程模板。</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10.会议室资源定义与管理：系统具有管理员自定义会议室类型（如大小、设备配置）、设置开放时段（如工作日9:00-18:00），并可禁用特定会议室以进行维护或管理，实现会议室资源的灵活调度与高效利用，确保资源基础属性可配置。</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11.预约规则与使用策略配置：系统允许管理员灵活配置全局预约规则，包括预约间隔（如最小30分钟）、允许预约的时间段、会议最短与最长时间限制，以及预约取消与会议结束的条件（如提前取消时限、自动结束规则），以优化会议室资源的分配与使用效率，避免冲突和浪费。</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12.预约生命周期操作与审核监控：系统为管理员提供专属权限，全面查看并管理所有会议预定详细信息（包括当前和未来预定），支持取消预定、审核会议室预约情况（如审批状态），并进行会议进行中管理（如实时监控、强制结束），确保会议室资源合理分配、统一调配，并强化资源使用透明度。（提供功能界面截图佐证并加盖制造商公章）</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13.会议统计：系统提供会议次数、平均时长、时长趋势关键指标的统计图表，帮助用户或管理员评估会议效率。</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14.会议记录：系统具有个性化展示与用户关联的所有会议记录，提供按时间、发起人、会议室多维度筛选功能，展示会议信息便于查询管理，定位会议信息便于安排日程。</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15.会后任务跟踪：会务软件上具备创建会后任务，指派人员处理，跟踪完成进度。</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▲16.软件无需额外部署服务器，支持直接安装在windows操作系统中，实现会议预约、会议文件上传、会议信息同步至门口屏、联动门口屏实现APP扫码签到、会后任务跟踪功能。</w:t>
            </w:r>
          </w:p>
        </w:tc>
        <w:tc>
          <w:tcPr>
            <w:tcW w:w="845" w:type="dxa"/>
            <w:gridSpan w:val="2"/>
            <w:vAlign w:val="center"/>
          </w:tcPr>
          <w:p w14:paraId="23AC9FE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w:t>
            </w:r>
          </w:p>
        </w:tc>
        <w:tc>
          <w:tcPr>
            <w:tcW w:w="759" w:type="dxa"/>
            <w:gridSpan w:val="3"/>
            <w:vAlign w:val="center"/>
          </w:tcPr>
          <w:p w14:paraId="3EA4136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套</w:t>
            </w:r>
          </w:p>
        </w:tc>
        <w:tc>
          <w:tcPr>
            <w:tcW w:w="759" w:type="dxa"/>
            <w:vAlign w:val="center"/>
          </w:tcPr>
          <w:p w14:paraId="6CD8046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否</w:t>
            </w:r>
          </w:p>
        </w:tc>
      </w:tr>
      <w:tr w14:paraId="77A1C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4" w:type="dxa"/>
            <w:vAlign w:val="center"/>
          </w:tcPr>
          <w:p w14:paraId="05B206E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w:t>
            </w:r>
          </w:p>
        </w:tc>
        <w:tc>
          <w:tcPr>
            <w:tcW w:w="1011" w:type="dxa"/>
            <w:vAlign w:val="center"/>
          </w:tcPr>
          <w:p w14:paraId="2AED3C41">
            <w:pPr>
              <w:keepNext w:val="0"/>
              <w:keepLines w:val="0"/>
              <w:widowControl/>
              <w:suppressLineNumbers w:val="0"/>
              <w:jc w:val="both"/>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b/>
                <w:bCs/>
                <w:i w:val="0"/>
                <w:iCs w:val="0"/>
                <w:color w:val="000000"/>
                <w:kern w:val="0"/>
                <w:sz w:val="20"/>
                <w:szCs w:val="20"/>
                <w:highlight w:val="none"/>
                <w:u w:val="none"/>
                <w:lang w:val="en-US" w:eastAsia="zh-CN" w:bidi="ar"/>
              </w:rPr>
              <w:t>信息发布终端</w:t>
            </w:r>
          </w:p>
        </w:tc>
        <w:tc>
          <w:tcPr>
            <w:tcW w:w="5864" w:type="dxa"/>
            <w:vAlign w:val="top"/>
          </w:tcPr>
          <w:p w14:paraId="742CCB8C">
            <w:pPr>
              <w:keepNext w:val="0"/>
              <w:keepLines w:val="0"/>
              <w:widowControl/>
              <w:suppressLineNumbers w:val="0"/>
              <w:jc w:val="left"/>
              <w:textAlignment w:val="top"/>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1.采用≥15.6英寸电容式触摸屏，正面采用全钢化光学玻璃，支持≥10点触控，分辨率支持≥1920×1080，显示比例16：9。</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2.内置广角高清宽动态摄像头，可同时≥5人做人脸识别签到。</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3.内置≥1个读卡器，用户可使用身份证、门禁卡进行刷卡签到。</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4.支持后台设置定时开关机和重启任务，提供便捷的管理方式。</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5.支持通过后台批量调节设备音量，支持后台远程更新软件版本。</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6.支持自定义显示模板，可展示天气、LOGO、公司名称、字体、表单信息，满足个性化需求。</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7.支持会议扫码、刷卡、刷脸、手写四种签到方式。</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8.支持集成OA、手机APP、exchange，满足企业保持原有会议习惯，并增加对会议室预订信息展示的需求。</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9.内置继电器模块，支持通过人脸识别联动控制磁力门锁开关。</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10.终端具有≥2个USB3.0，≥1个HDMI OUT，≥1个RJ45网口（支持POE），耳机口×1。</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11.支持≥2种供电方式，支持POE或DC 12V供电。</w:t>
            </w:r>
          </w:p>
        </w:tc>
        <w:tc>
          <w:tcPr>
            <w:tcW w:w="845" w:type="dxa"/>
            <w:gridSpan w:val="2"/>
            <w:vAlign w:val="center"/>
          </w:tcPr>
          <w:p w14:paraId="454E05E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w:t>
            </w:r>
          </w:p>
        </w:tc>
        <w:tc>
          <w:tcPr>
            <w:tcW w:w="759" w:type="dxa"/>
            <w:gridSpan w:val="3"/>
            <w:vAlign w:val="center"/>
          </w:tcPr>
          <w:p w14:paraId="529F166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台</w:t>
            </w:r>
          </w:p>
        </w:tc>
        <w:tc>
          <w:tcPr>
            <w:tcW w:w="759" w:type="dxa"/>
            <w:vAlign w:val="center"/>
          </w:tcPr>
          <w:p w14:paraId="44F8CF4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否</w:t>
            </w:r>
          </w:p>
        </w:tc>
      </w:tr>
      <w:tr w14:paraId="163C7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4" w:type="dxa"/>
            <w:vAlign w:val="center"/>
          </w:tcPr>
          <w:p w14:paraId="1FB6E67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w:t>
            </w:r>
          </w:p>
        </w:tc>
        <w:tc>
          <w:tcPr>
            <w:tcW w:w="1011" w:type="dxa"/>
            <w:vAlign w:val="center"/>
          </w:tcPr>
          <w:p w14:paraId="43975B83">
            <w:pPr>
              <w:keepNext w:val="0"/>
              <w:keepLines w:val="0"/>
              <w:widowControl/>
              <w:suppressLineNumbers w:val="0"/>
              <w:jc w:val="both"/>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b/>
                <w:bCs/>
                <w:i w:val="0"/>
                <w:iCs w:val="0"/>
                <w:color w:val="000000"/>
                <w:kern w:val="0"/>
                <w:sz w:val="20"/>
                <w:szCs w:val="20"/>
                <w:highlight w:val="none"/>
                <w:u w:val="none"/>
                <w:lang w:val="en-US" w:eastAsia="zh-CN" w:bidi="ar"/>
              </w:rPr>
              <w:t>信息发布采编管理服务软件</w:t>
            </w:r>
          </w:p>
        </w:tc>
        <w:tc>
          <w:tcPr>
            <w:tcW w:w="5864" w:type="dxa"/>
            <w:vAlign w:val="top"/>
          </w:tcPr>
          <w:p w14:paraId="00763870">
            <w:pPr>
              <w:keepNext w:val="0"/>
              <w:keepLines w:val="0"/>
              <w:widowControl/>
              <w:suppressLineNumbers w:val="0"/>
              <w:jc w:val="left"/>
              <w:textAlignment w:val="top"/>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软件内嵌于信息发布终端，支撑设备各项基本功能运行；具备接收发布信息功能，并且支持展示多媒体信息功能。</w:t>
            </w:r>
          </w:p>
        </w:tc>
        <w:tc>
          <w:tcPr>
            <w:tcW w:w="845" w:type="dxa"/>
            <w:gridSpan w:val="2"/>
            <w:vAlign w:val="center"/>
          </w:tcPr>
          <w:p w14:paraId="11061CE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w:t>
            </w:r>
          </w:p>
        </w:tc>
        <w:tc>
          <w:tcPr>
            <w:tcW w:w="759" w:type="dxa"/>
            <w:gridSpan w:val="3"/>
            <w:vAlign w:val="center"/>
          </w:tcPr>
          <w:p w14:paraId="6628680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套</w:t>
            </w:r>
          </w:p>
        </w:tc>
        <w:tc>
          <w:tcPr>
            <w:tcW w:w="759" w:type="dxa"/>
            <w:vAlign w:val="center"/>
          </w:tcPr>
          <w:p w14:paraId="18C055C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否</w:t>
            </w:r>
          </w:p>
        </w:tc>
      </w:tr>
      <w:tr w14:paraId="53795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9802" w:type="dxa"/>
            <w:gridSpan w:val="9"/>
            <w:vAlign w:val="center"/>
          </w:tcPr>
          <w:p w14:paraId="2ADF51DB">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b/>
                <w:bCs/>
                <w:i w:val="0"/>
                <w:iCs w:val="0"/>
                <w:color w:val="000000"/>
                <w:kern w:val="0"/>
                <w:sz w:val="20"/>
                <w:szCs w:val="20"/>
                <w:highlight w:val="none"/>
                <w:u w:val="none"/>
                <w:lang w:val="en-US" w:eastAsia="zh-CN" w:bidi="ar"/>
              </w:rPr>
              <w:t>九、辅助材料</w:t>
            </w:r>
          </w:p>
        </w:tc>
      </w:tr>
      <w:tr w14:paraId="1AFBC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9802" w:type="dxa"/>
            <w:gridSpan w:val="9"/>
            <w:vAlign w:val="center"/>
          </w:tcPr>
          <w:p w14:paraId="03CC7E33">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b/>
                <w:bCs/>
                <w:i w:val="0"/>
                <w:iCs w:val="0"/>
                <w:color w:val="000000"/>
                <w:kern w:val="0"/>
                <w:sz w:val="20"/>
                <w:szCs w:val="20"/>
                <w:highlight w:val="none"/>
                <w:u w:val="none"/>
                <w:lang w:val="en-US" w:eastAsia="zh-CN" w:bidi="ar"/>
              </w:rPr>
              <w:t>9.1周边配套设备</w:t>
            </w:r>
          </w:p>
        </w:tc>
      </w:tr>
      <w:tr w14:paraId="6EDBB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4" w:type="dxa"/>
            <w:vAlign w:val="center"/>
          </w:tcPr>
          <w:p w14:paraId="45FFF64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w:t>
            </w:r>
          </w:p>
        </w:tc>
        <w:tc>
          <w:tcPr>
            <w:tcW w:w="1011" w:type="dxa"/>
            <w:vAlign w:val="center"/>
          </w:tcPr>
          <w:p w14:paraId="6993907C">
            <w:pPr>
              <w:keepNext w:val="0"/>
              <w:keepLines w:val="0"/>
              <w:widowControl/>
              <w:suppressLineNumbers w:val="0"/>
              <w:jc w:val="both"/>
              <w:textAlignment w:val="center"/>
              <w:rPr>
                <w:rFonts w:hint="eastAsia" w:ascii="宋体" w:hAnsi="宋体" w:cs="宋体"/>
                <w:b/>
                <w:bCs/>
                <w:i w:val="0"/>
                <w:iCs w:val="0"/>
                <w:color w:val="000000"/>
                <w:kern w:val="0"/>
                <w:sz w:val="20"/>
                <w:szCs w:val="20"/>
                <w:highlight w:val="none"/>
                <w:u w:val="none"/>
                <w:lang w:val="en-US" w:eastAsia="zh-CN" w:bidi="ar"/>
              </w:rPr>
            </w:pPr>
            <w:r>
              <w:rPr>
                <w:rFonts w:hint="eastAsia" w:ascii="宋体" w:hAnsi="宋体" w:cs="宋体"/>
                <w:b/>
                <w:bCs/>
                <w:i w:val="0"/>
                <w:iCs w:val="0"/>
                <w:color w:val="000000"/>
                <w:kern w:val="0"/>
                <w:sz w:val="20"/>
                <w:szCs w:val="20"/>
                <w:highlight w:val="none"/>
                <w:u w:val="none"/>
                <w:lang w:val="en-US" w:eastAsia="zh-CN" w:bidi="ar"/>
              </w:rPr>
              <w:t>机柜</w:t>
            </w:r>
          </w:p>
        </w:tc>
        <w:tc>
          <w:tcPr>
            <w:tcW w:w="5864" w:type="dxa"/>
            <w:vAlign w:val="center"/>
          </w:tcPr>
          <w:p w14:paraId="5119757E">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42U机柜，600*600*2055mm</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8口PDU国标电源插排×1，固定板部件×3,风扇×2,2"重型脚轮×4，M12支脚×4，M6方螺母螺钉×40，内六角扳手×1</w:t>
            </w:r>
          </w:p>
        </w:tc>
        <w:tc>
          <w:tcPr>
            <w:tcW w:w="845" w:type="dxa"/>
            <w:gridSpan w:val="2"/>
            <w:vAlign w:val="center"/>
          </w:tcPr>
          <w:p w14:paraId="1128277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w:t>
            </w:r>
          </w:p>
        </w:tc>
        <w:tc>
          <w:tcPr>
            <w:tcW w:w="759" w:type="dxa"/>
            <w:gridSpan w:val="3"/>
            <w:vAlign w:val="center"/>
          </w:tcPr>
          <w:p w14:paraId="7E05ED2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套</w:t>
            </w:r>
          </w:p>
        </w:tc>
        <w:tc>
          <w:tcPr>
            <w:tcW w:w="759" w:type="dxa"/>
            <w:vAlign w:val="center"/>
          </w:tcPr>
          <w:p w14:paraId="24932F1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否</w:t>
            </w:r>
          </w:p>
        </w:tc>
      </w:tr>
      <w:tr w14:paraId="64427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4" w:type="dxa"/>
            <w:vAlign w:val="center"/>
          </w:tcPr>
          <w:p w14:paraId="1F47394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w:t>
            </w:r>
          </w:p>
        </w:tc>
        <w:tc>
          <w:tcPr>
            <w:tcW w:w="1011" w:type="dxa"/>
            <w:vAlign w:val="center"/>
          </w:tcPr>
          <w:p w14:paraId="4C5FE24B">
            <w:pPr>
              <w:keepNext w:val="0"/>
              <w:keepLines w:val="0"/>
              <w:widowControl/>
              <w:suppressLineNumbers w:val="0"/>
              <w:jc w:val="both"/>
              <w:textAlignment w:val="center"/>
              <w:rPr>
                <w:rFonts w:hint="eastAsia" w:ascii="宋体" w:hAnsi="宋体" w:cs="宋体"/>
                <w:b/>
                <w:bCs/>
                <w:i w:val="0"/>
                <w:iCs w:val="0"/>
                <w:color w:val="000000"/>
                <w:kern w:val="0"/>
                <w:sz w:val="20"/>
                <w:szCs w:val="20"/>
                <w:highlight w:val="none"/>
                <w:u w:val="none"/>
                <w:lang w:val="en-US" w:eastAsia="zh-CN" w:bidi="ar"/>
              </w:rPr>
            </w:pPr>
            <w:r>
              <w:rPr>
                <w:rFonts w:hint="eastAsia" w:ascii="宋体" w:hAnsi="宋体" w:cs="宋体"/>
                <w:b/>
                <w:bCs/>
                <w:i w:val="0"/>
                <w:iCs w:val="0"/>
                <w:color w:val="000000"/>
                <w:kern w:val="0"/>
                <w:sz w:val="20"/>
                <w:szCs w:val="20"/>
                <w:highlight w:val="none"/>
                <w:u w:val="none"/>
                <w:lang w:val="en-US" w:eastAsia="zh-CN" w:bidi="ar"/>
              </w:rPr>
              <w:t>网络连接设备</w:t>
            </w:r>
          </w:p>
        </w:tc>
        <w:tc>
          <w:tcPr>
            <w:tcW w:w="5864" w:type="dxa"/>
            <w:vAlign w:val="center"/>
          </w:tcPr>
          <w:p w14:paraId="0FA816B9">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交换容量：336Gbps</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包转发率：51Mpps</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固定端口:24个10/100/1000Base-T以太网端口，4个千兆SFP</w:t>
            </w:r>
          </w:p>
        </w:tc>
        <w:tc>
          <w:tcPr>
            <w:tcW w:w="845" w:type="dxa"/>
            <w:gridSpan w:val="2"/>
            <w:vAlign w:val="center"/>
          </w:tcPr>
          <w:p w14:paraId="1B594990">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w:t>
            </w:r>
          </w:p>
        </w:tc>
        <w:tc>
          <w:tcPr>
            <w:tcW w:w="759" w:type="dxa"/>
            <w:gridSpan w:val="3"/>
            <w:vAlign w:val="center"/>
          </w:tcPr>
          <w:p w14:paraId="0A1B3F4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台</w:t>
            </w:r>
          </w:p>
        </w:tc>
        <w:tc>
          <w:tcPr>
            <w:tcW w:w="759" w:type="dxa"/>
            <w:vAlign w:val="center"/>
          </w:tcPr>
          <w:p w14:paraId="4B9F2B9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否</w:t>
            </w:r>
          </w:p>
        </w:tc>
      </w:tr>
      <w:tr w14:paraId="00C4D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4" w:type="dxa"/>
            <w:vAlign w:val="center"/>
          </w:tcPr>
          <w:p w14:paraId="36728C5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w:t>
            </w:r>
          </w:p>
        </w:tc>
        <w:tc>
          <w:tcPr>
            <w:tcW w:w="1011" w:type="dxa"/>
            <w:vAlign w:val="center"/>
          </w:tcPr>
          <w:p w14:paraId="6CB52143">
            <w:pPr>
              <w:keepNext w:val="0"/>
              <w:keepLines w:val="0"/>
              <w:widowControl/>
              <w:suppressLineNumbers w:val="0"/>
              <w:jc w:val="both"/>
              <w:textAlignment w:val="center"/>
              <w:rPr>
                <w:rFonts w:hint="eastAsia" w:ascii="宋体" w:hAnsi="宋体" w:cs="宋体"/>
                <w:b/>
                <w:bCs/>
                <w:i w:val="0"/>
                <w:iCs w:val="0"/>
                <w:color w:val="000000"/>
                <w:kern w:val="0"/>
                <w:sz w:val="20"/>
                <w:szCs w:val="20"/>
                <w:highlight w:val="none"/>
                <w:u w:val="none"/>
                <w:lang w:val="en-US" w:eastAsia="zh-CN" w:bidi="ar"/>
              </w:rPr>
            </w:pPr>
            <w:r>
              <w:rPr>
                <w:rFonts w:hint="eastAsia" w:ascii="宋体" w:hAnsi="宋体" w:cs="宋体"/>
                <w:b/>
                <w:bCs/>
                <w:i w:val="0"/>
                <w:iCs w:val="0"/>
                <w:color w:val="000000"/>
                <w:kern w:val="0"/>
                <w:sz w:val="20"/>
                <w:szCs w:val="20"/>
                <w:highlight w:val="none"/>
                <w:u w:val="none"/>
                <w:lang w:val="en-US" w:eastAsia="zh-CN" w:bidi="ar"/>
              </w:rPr>
              <w:t>AI智慧电力管控主机</w:t>
            </w:r>
          </w:p>
        </w:tc>
        <w:tc>
          <w:tcPr>
            <w:tcW w:w="5864" w:type="dxa"/>
            <w:vAlign w:val="top"/>
          </w:tcPr>
          <w:p w14:paraId="5F13B1EC">
            <w:pPr>
              <w:keepNext w:val="0"/>
              <w:keepLines w:val="0"/>
              <w:widowControl/>
              <w:suppressLineNumbers w:val="0"/>
              <w:jc w:val="left"/>
              <w:textAlignment w:val="top"/>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1.具有≥1个100A空气开关，具有过载和短路双重保护功能；内置≥12个继电器，可瞬间触发，确保开关的快速响应。</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2.≥14路独立输出通道（≥12路可控+≥2路直通）；12路可控输出通道包括6路10A输出和6路16A输出；2路直通输出通道为10A输出，设备整体最大可带载≥22KW（100A）。</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具有≥2.8英寸液晶显示屏，屏幕亮度可以手动调节，实时显示每路输出通道的开关状态、电压、电流、功率，电源输入欠压、过压，电源输出每路过压、过流、过载等告警信息；可以显示设备信息、运行时长、运行日志、日期时间信息；自带屏幕锁、按键锁，防止误触；具有≥5个触控式按键，通过按键可以操控设备。（提供第三方检测机构出具的具有CMA或CNAS标志的检测报告扫描件并加盖制造商公章）</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4.多通信协议：支持DMX512、RDM、Art-Net、TCP/IP等通信协议；支持MODBUS（RS485、UDP）协议，可对接中控主机进行控制。具有≥1个RS 485输入接口，≥1个RS 485输出接口，≥1个RJ45网络接口。</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5.设备并机管理：支持多台设备组网，对所有组网设备统一管理；支持场景管理，包括开关状态场景编辑和保存，支持开关状态一键恢复。</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6.一键开关：单个设备所有回路输出一键式顺序、逆序开关，也可以每路独立开关。</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7.开关延时：开关开启和关闭延时0.5-999.0秒自定义设置，所有回路统一设置，也可以每路单独设置。</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8.定时控制：支持每路定时控制，可以自定义选择输出通道定时开启或关闭，可单次执行，也可以循环执行。</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9.参数监测：输入电源电压欠压、过压监测，每路输出通道支持电压、电流、功率、开关状态，每路输出过压、过流、过载异常告警监测，并及时关闭对应通道的开关；支持设备内部温度监测功能，异常时自动告警并及时关闭开关。</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10.电气设置：支持设置输入电压欠压和过压阈值、延时响应时间，支持每路输出单独设置电压、电流、功率告警阈值，超出范围后报警并关闭开关；支持识别出每路没有正常工作的设备，可以选择是否断开输出电源。</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11.报警管理：实时监测设备所有的异常告警，显示告警信息，设备本机保存告警日志，并自动上报至云端，可在手机或平板APP端和WEB网页端查看，实现手机或电脑的远程实时监控。</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12.安全设置：设备可自定义设置开启和关闭远程操作功能，防止因远端误操作造成安全隐患。</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13.蓝牙控制：支持通过手机或平板APP端连接设备蓝牙，实时显示设备信息、运行时长、每一路的开关状态、电压、电流、功率等信息，轻松实现对设备总开关以及每一路开关的操控。（提供第三方检测机构出具的具有CMA或CNAS标志的检测报告扫描件并加盖制造商公章）</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14.联网控制：设备具有RJ45网络接口，接入外网可自动分配IP接入云平台，由手机/平板APP端和WEB网页端远程控制，设备支持远程OTA升级固件程序；手机/平板APP端、WEB网页端均支持在具有移动网络或宽带网络的任何地点使用，可实现一键开关、顺序开关、并机管理、定时控制、参数监测、报警管理功能。（提供第三方检测机构出具的具有CMA或CNAS标志的检测报告扫描件并加盖制造商公章）</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15.具有≥1个100A空气开关，具有过载和短路双重保护功能；内置≥12个继电器，可瞬间触发，确保开关的快速响应；具有EMC滤波器功能，通过滤除高频噪声和干扰信号，降低设备电磁辐射和敏感度。</w:t>
            </w:r>
          </w:p>
        </w:tc>
        <w:tc>
          <w:tcPr>
            <w:tcW w:w="845" w:type="dxa"/>
            <w:gridSpan w:val="2"/>
            <w:vAlign w:val="center"/>
          </w:tcPr>
          <w:p w14:paraId="76CB17E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w:t>
            </w:r>
          </w:p>
        </w:tc>
        <w:tc>
          <w:tcPr>
            <w:tcW w:w="759" w:type="dxa"/>
            <w:gridSpan w:val="3"/>
            <w:vAlign w:val="center"/>
          </w:tcPr>
          <w:p w14:paraId="630EFAC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台</w:t>
            </w:r>
          </w:p>
        </w:tc>
        <w:tc>
          <w:tcPr>
            <w:tcW w:w="759" w:type="dxa"/>
            <w:vAlign w:val="center"/>
          </w:tcPr>
          <w:p w14:paraId="43331AA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否</w:t>
            </w:r>
          </w:p>
        </w:tc>
      </w:tr>
      <w:tr w14:paraId="689BE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4" w:type="dxa"/>
            <w:vAlign w:val="center"/>
          </w:tcPr>
          <w:p w14:paraId="63C50C2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w:t>
            </w:r>
          </w:p>
        </w:tc>
        <w:tc>
          <w:tcPr>
            <w:tcW w:w="1011" w:type="dxa"/>
            <w:vAlign w:val="center"/>
          </w:tcPr>
          <w:p w14:paraId="05BE78E6">
            <w:pPr>
              <w:keepNext w:val="0"/>
              <w:keepLines w:val="0"/>
              <w:widowControl/>
              <w:suppressLineNumbers w:val="0"/>
              <w:jc w:val="both"/>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b/>
                <w:bCs/>
                <w:i w:val="0"/>
                <w:iCs w:val="0"/>
                <w:color w:val="000000"/>
                <w:kern w:val="0"/>
                <w:sz w:val="20"/>
                <w:szCs w:val="20"/>
                <w:highlight w:val="none"/>
                <w:u w:val="none"/>
                <w:lang w:val="en-US" w:eastAsia="zh-CN" w:bidi="ar"/>
              </w:rPr>
              <w:t>音频隔离器</w:t>
            </w:r>
          </w:p>
        </w:tc>
        <w:tc>
          <w:tcPr>
            <w:tcW w:w="5864" w:type="dxa"/>
            <w:vAlign w:val="top"/>
          </w:tcPr>
          <w:p w14:paraId="1ED601B2">
            <w:pPr>
              <w:keepNext w:val="0"/>
              <w:keepLines w:val="0"/>
              <w:widowControl/>
              <w:suppressLineNumbers w:val="0"/>
              <w:jc w:val="left"/>
              <w:textAlignment w:val="top"/>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1.一款双通道音频隔离器。</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2.低底噪、无50Hz交流“嗡”声、无高频“嗞啦”干扰。</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3.点对点平衡传输音频，可以选择前面板2个接口中的任意一个COMBO接口输入，从后面板对应COMBO接口输出。</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4.即插即用，支持热插拨。</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5.隔离滤波音频传输最远传输信号等同或优于450－600米。</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6.内置瞬态、浪涌抑制、抗静电保护电路。</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7.具有≥2路XLR输入；具有≥2路XLR输出</w:t>
            </w:r>
          </w:p>
        </w:tc>
        <w:tc>
          <w:tcPr>
            <w:tcW w:w="845" w:type="dxa"/>
            <w:gridSpan w:val="2"/>
            <w:vAlign w:val="center"/>
          </w:tcPr>
          <w:p w14:paraId="4FE3680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w:t>
            </w:r>
          </w:p>
        </w:tc>
        <w:tc>
          <w:tcPr>
            <w:tcW w:w="759" w:type="dxa"/>
            <w:gridSpan w:val="3"/>
            <w:vAlign w:val="center"/>
          </w:tcPr>
          <w:p w14:paraId="71DCD6B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个</w:t>
            </w:r>
          </w:p>
        </w:tc>
        <w:tc>
          <w:tcPr>
            <w:tcW w:w="759" w:type="dxa"/>
            <w:vAlign w:val="center"/>
          </w:tcPr>
          <w:p w14:paraId="62E1E77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否</w:t>
            </w:r>
          </w:p>
        </w:tc>
      </w:tr>
      <w:tr w14:paraId="48003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9802" w:type="dxa"/>
            <w:gridSpan w:val="9"/>
            <w:vAlign w:val="center"/>
          </w:tcPr>
          <w:p w14:paraId="23A86F7C">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highlight w:val="none"/>
                <w:u w:val="none"/>
                <w:lang w:val="en-US" w:eastAsia="zh-CN" w:bidi="ar"/>
              </w:rPr>
            </w:pPr>
            <w:r>
              <w:rPr>
                <w:rFonts w:hint="eastAsia" w:ascii="宋体" w:hAnsi="宋体" w:eastAsia="宋体" w:cs="宋体"/>
                <w:b/>
                <w:bCs/>
                <w:i w:val="0"/>
                <w:iCs w:val="0"/>
                <w:color w:val="000000"/>
                <w:kern w:val="0"/>
                <w:sz w:val="20"/>
                <w:szCs w:val="20"/>
                <w:highlight w:val="none"/>
                <w:u w:val="none"/>
                <w:lang w:val="en-US" w:eastAsia="zh-CN" w:bidi="ar"/>
              </w:rPr>
              <w:t>9.2辅助线材</w:t>
            </w:r>
          </w:p>
        </w:tc>
      </w:tr>
      <w:tr w14:paraId="3823B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4" w:type="dxa"/>
            <w:vAlign w:val="center"/>
          </w:tcPr>
          <w:p w14:paraId="39FD2FB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w:t>
            </w:r>
          </w:p>
        </w:tc>
        <w:tc>
          <w:tcPr>
            <w:tcW w:w="1011" w:type="dxa"/>
            <w:vAlign w:val="center"/>
          </w:tcPr>
          <w:p w14:paraId="1A603D8A">
            <w:pPr>
              <w:keepNext w:val="0"/>
              <w:keepLines w:val="0"/>
              <w:widowControl/>
              <w:suppressLineNumbers w:val="0"/>
              <w:jc w:val="both"/>
              <w:textAlignment w:val="center"/>
              <w:rPr>
                <w:rFonts w:hint="eastAsia" w:ascii="宋体" w:hAnsi="宋体" w:cs="宋体"/>
                <w:b/>
                <w:bCs/>
                <w:i w:val="0"/>
                <w:iCs w:val="0"/>
                <w:color w:val="000000"/>
                <w:kern w:val="0"/>
                <w:sz w:val="20"/>
                <w:szCs w:val="20"/>
                <w:highlight w:val="none"/>
                <w:u w:val="none"/>
                <w:lang w:val="en-US" w:eastAsia="zh-CN" w:bidi="ar"/>
              </w:rPr>
            </w:pPr>
            <w:r>
              <w:rPr>
                <w:rFonts w:hint="eastAsia" w:ascii="宋体" w:hAnsi="宋体" w:cs="宋体"/>
                <w:b/>
                <w:bCs/>
                <w:i w:val="0"/>
                <w:iCs w:val="0"/>
                <w:color w:val="000000"/>
                <w:kern w:val="0"/>
                <w:sz w:val="20"/>
                <w:szCs w:val="20"/>
                <w:highlight w:val="none"/>
                <w:u w:val="none"/>
                <w:lang w:val="en-US" w:eastAsia="zh-CN" w:bidi="ar"/>
              </w:rPr>
              <w:t>音频连接线</w:t>
            </w:r>
          </w:p>
        </w:tc>
        <w:tc>
          <w:tcPr>
            <w:tcW w:w="5864" w:type="dxa"/>
            <w:vAlign w:val="top"/>
          </w:tcPr>
          <w:p w14:paraId="2FD44897">
            <w:pPr>
              <w:keepNext w:val="0"/>
              <w:keepLines w:val="0"/>
              <w:widowControl/>
              <w:suppressLineNumbers w:val="0"/>
              <w:jc w:val="left"/>
              <w:textAlignment w:val="top"/>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5米音频连接线：3.5（耳机插头）-双6.35话筒插头</w:t>
            </w:r>
          </w:p>
        </w:tc>
        <w:tc>
          <w:tcPr>
            <w:tcW w:w="845" w:type="dxa"/>
            <w:gridSpan w:val="2"/>
            <w:vAlign w:val="center"/>
          </w:tcPr>
          <w:p w14:paraId="1F1FE56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w:t>
            </w:r>
          </w:p>
        </w:tc>
        <w:tc>
          <w:tcPr>
            <w:tcW w:w="759" w:type="dxa"/>
            <w:gridSpan w:val="3"/>
            <w:vAlign w:val="center"/>
          </w:tcPr>
          <w:p w14:paraId="3FE9D9F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根</w:t>
            </w:r>
          </w:p>
        </w:tc>
        <w:tc>
          <w:tcPr>
            <w:tcW w:w="759" w:type="dxa"/>
            <w:vAlign w:val="center"/>
          </w:tcPr>
          <w:p w14:paraId="2C2B023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否</w:t>
            </w:r>
          </w:p>
        </w:tc>
      </w:tr>
      <w:tr w14:paraId="03A6D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4" w:type="dxa"/>
            <w:vAlign w:val="center"/>
          </w:tcPr>
          <w:p w14:paraId="4B36F3B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w:t>
            </w:r>
          </w:p>
        </w:tc>
        <w:tc>
          <w:tcPr>
            <w:tcW w:w="1011" w:type="dxa"/>
            <w:vAlign w:val="center"/>
          </w:tcPr>
          <w:p w14:paraId="74FA8F60">
            <w:pPr>
              <w:keepNext w:val="0"/>
              <w:keepLines w:val="0"/>
              <w:widowControl/>
              <w:suppressLineNumbers w:val="0"/>
              <w:jc w:val="both"/>
              <w:textAlignment w:val="center"/>
              <w:rPr>
                <w:rFonts w:hint="eastAsia" w:ascii="宋体" w:hAnsi="宋体" w:cs="宋体"/>
                <w:b/>
                <w:bCs/>
                <w:i w:val="0"/>
                <w:iCs w:val="0"/>
                <w:color w:val="000000"/>
                <w:kern w:val="0"/>
                <w:sz w:val="20"/>
                <w:szCs w:val="20"/>
                <w:highlight w:val="none"/>
                <w:u w:val="none"/>
                <w:lang w:val="en-US" w:eastAsia="zh-CN" w:bidi="ar"/>
              </w:rPr>
            </w:pPr>
            <w:r>
              <w:rPr>
                <w:rFonts w:hint="eastAsia" w:ascii="宋体" w:hAnsi="宋体" w:cs="宋体"/>
                <w:b/>
                <w:bCs/>
                <w:i w:val="0"/>
                <w:iCs w:val="0"/>
                <w:color w:val="000000"/>
                <w:kern w:val="0"/>
                <w:sz w:val="20"/>
                <w:szCs w:val="20"/>
                <w:highlight w:val="none"/>
                <w:u w:val="none"/>
                <w:lang w:val="en-US" w:eastAsia="zh-CN" w:bidi="ar"/>
              </w:rPr>
              <w:t>音频连接线</w:t>
            </w:r>
          </w:p>
        </w:tc>
        <w:tc>
          <w:tcPr>
            <w:tcW w:w="5864" w:type="dxa"/>
            <w:vAlign w:val="top"/>
          </w:tcPr>
          <w:p w14:paraId="5FFBDB9F">
            <w:pPr>
              <w:keepNext w:val="0"/>
              <w:keepLines w:val="0"/>
              <w:widowControl/>
              <w:suppressLineNumbers w:val="0"/>
              <w:jc w:val="left"/>
              <w:textAlignment w:val="top"/>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3米音频连接线：卡侬头（母）-卡侬头（公）</w:t>
            </w:r>
          </w:p>
        </w:tc>
        <w:tc>
          <w:tcPr>
            <w:tcW w:w="845" w:type="dxa"/>
            <w:gridSpan w:val="2"/>
            <w:vAlign w:val="center"/>
          </w:tcPr>
          <w:p w14:paraId="682EC0E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w:t>
            </w:r>
          </w:p>
        </w:tc>
        <w:tc>
          <w:tcPr>
            <w:tcW w:w="759" w:type="dxa"/>
            <w:gridSpan w:val="3"/>
            <w:vAlign w:val="center"/>
          </w:tcPr>
          <w:p w14:paraId="5779194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根</w:t>
            </w:r>
          </w:p>
        </w:tc>
        <w:tc>
          <w:tcPr>
            <w:tcW w:w="759" w:type="dxa"/>
            <w:vAlign w:val="center"/>
          </w:tcPr>
          <w:p w14:paraId="08C8AAC0">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否</w:t>
            </w:r>
          </w:p>
        </w:tc>
      </w:tr>
      <w:tr w14:paraId="409B0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4" w:type="dxa"/>
            <w:vAlign w:val="center"/>
          </w:tcPr>
          <w:p w14:paraId="1D1F13F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w:t>
            </w:r>
          </w:p>
        </w:tc>
        <w:tc>
          <w:tcPr>
            <w:tcW w:w="1011" w:type="dxa"/>
            <w:vAlign w:val="center"/>
          </w:tcPr>
          <w:p w14:paraId="66A23BE6">
            <w:pPr>
              <w:keepNext w:val="0"/>
              <w:keepLines w:val="0"/>
              <w:widowControl/>
              <w:suppressLineNumbers w:val="0"/>
              <w:jc w:val="both"/>
              <w:textAlignment w:val="center"/>
              <w:rPr>
                <w:rFonts w:hint="eastAsia" w:ascii="宋体" w:hAnsi="宋体" w:cs="宋体"/>
                <w:b/>
                <w:bCs/>
                <w:i w:val="0"/>
                <w:iCs w:val="0"/>
                <w:color w:val="000000"/>
                <w:kern w:val="0"/>
                <w:sz w:val="20"/>
                <w:szCs w:val="20"/>
                <w:highlight w:val="none"/>
                <w:u w:val="none"/>
                <w:lang w:val="en-US" w:eastAsia="zh-CN" w:bidi="ar"/>
              </w:rPr>
            </w:pPr>
            <w:r>
              <w:rPr>
                <w:rFonts w:hint="eastAsia" w:ascii="宋体" w:hAnsi="宋体" w:cs="宋体"/>
                <w:b/>
                <w:bCs/>
                <w:i w:val="0"/>
                <w:iCs w:val="0"/>
                <w:color w:val="000000"/>
                <w:kern w:val="0"/>
                <w:sz w:val="20"/>
                <w:szCs w:val="20"/>
                <w:highlight w:val="none"/>
                <w:u w:val="none"/>
                <w:lang w:val="en-US" w:eastAsia="zh-CN" w:bidi="ar"/>
              </w:rPr>
              <w:t>音频连接线</w:t>
            </w:r>
          </w:p>
        </w:tc>
        <w:tc>
          <w:tcPr>
            <w:tcW w:w="5864" w:type="dxa"/>
            <w:vAlign w:val="top"/>
          </w:tcPr>
          <w:p w14:paraId="332CE8D3">
            <w:pPr>
              <w:keepNext w:val="0"/>
              <w:keepLines w:val="0"/>
              <w:widowControl/>
              <w:suppressLineNumbers w:val="0"/>
              <w:jc w:val="left"/>
              <w:textAlignment w:val="top"/>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3米音频连接线：卡侬头（母）-卡侬头（公）</w:t>
            </w:r>
          </w:p>
        </w:tc>
        <w:tc>
          <w:tcPr>
            <w:tcW w:w="845" w:type="dxa"/>
            <w:gridSpan w:val="2"/>
            <w:vAlign w:val="center"/>
          </w:tcPr>
          <w:p w14:paraId="669D427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w:t>
            </w:r>
          </w:p>
        </w:tc>
        <w:tc>
          <w:tcPr>
            <w:tcW w:w="759" w:type="dxa"/>
            <w:gridSpan w:val="3"/>
            <w:vAlign w:val="center"/>
          </w:tcPr>
          <w:p w14:paraId="5EE6373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根</w:t>
            </w:r>
          </w:p>
        </w:tc>
        <w:tc>
          <w:tcPr>
            <w:tcW w:w="759" w:type="dxa"/>
            <w:vAlign w:val="center"/>
          </w:tcPr>
          <w:p w14:paraId="34AD61F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否</w:t>
            </w:r>
          </w:p>
        </w:tc>
      </w:tr>
      <w:tr w14:paraId="3D246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4" w:type="dxa"/>
            <w:vAlign w:val="center"/>
          </w:tcPr>
          <w:p w14:paraId="3498819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w:t>
            </w:r>
          </w:p>
        </w:tc>
        <w:tc>
          <w:tcPr>
            <w:tcW w:w="1011" w:type="dxa"/>
            <w:vAlign w:val="center"/>
          </w:tcPr>
          <w:p w14:paraId="1E44CAE7">
            <w:pPr>
              <w:keepNext w:val="0"/>
              <w:keepLines w:val="0"/>
              <w:widowControl/>
              <w:suppressLineNumbers w:val="0"/>
              <w:jc w:val="both"/>
              <w:textAlignment w:val="center"/>
              <w:rPr>
                <w:rFonts w:hint="eastAsia" w:ascii="宋体" w:hAnsi="宋体" w:cs="宋体"/>
                <w:b/>
                <w:bCs/>
                <w:i w:val="0"/>
                <w:iCs w:val="0"/>
                <w:color w:val="000000"/>
                <w:kern w:val="0"/>
                <w:sz w:val="20"/>
                <w:szCs w:val="20"/>
                <w:highlight w:val="none"/>
                <w:u w:val="none"/>
                <w:lang w:val="en-US" w:eastAsia="zh-CN" w:bidi="ar"/>
              </w:rPr>
            </w:pPr>
            <w:r>
              <w:rPr>
                <w:rFonts w:hint="eastAsia" w:ascii="宋体" w:hAnsi="宋体" w:cs="宋体"/>
                <w:b/>
                <w:bCs/>
                <w:i w:val="0"/>
                <w:iCs w:val="0"/>
                <w:color w:val="000000"/>
                <w:kern w:val="0"/>
                <w:sz w:val="20"/>
                <w:szCs w:val="20"/>
                <w:highlight w:val="none"/>
                <w:u w:val="none"/>
                <w:lang w:val="en-US" w:eastAsia="zh-CN" w:bidi="ar"/>
              </w:rPr>
              <w:t>音频连接线</w:t>
            </w:r>
          </w:p>
        </w:tc>
        <w:tc>
          <w:tcPr>
            <w:tcW w:w="5864" w:type="dxa"/>
            <w:vAlign w:val="top"/>
          </w:tcPr>
          <w:p w14:paraId="7F28CE8B">
            <w:pPr>
              <w:keepNext w:val="0"/>
              <w:keepLines w:val="0"/>
              <w:widowControl/>
              <w:suppressLineNumbers w:val="0"/>
              <w:jc w:val="left"/>
              <w:textAlignment w:val="top"/>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3米音频连接线：3.5（耳机插头）-6.35话筒插头</w:t>
            </w:r>
          </w:p>
        </w:tc>
        <w:tc>
          <w:tcPr>
            <w:tcW w:w="845" w:type="dxa"/>
            <w:gridSpan w:val="2"/>
            <w:vAlign w:val="center"/>
          </w:tcPr>
          <w:p w14:paraId="6A8B558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w:t>
            </w:r>
          </w:p>
        </w:tc>
        <w:tc>
          <w:tcPr>
            <w:tcW w:w="759" w:type="dxa"/>
            <w:gridSpan w:val="3"/>
            <w:vAlign w:val="center"/>
          </w:tcPr>
          <w:p w14:paraId="7C88EBC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根</w:t>
            </w:r>
          </w:p>
        </w:tc>
        <w:tc>
          <w:tcPr>
            <w:tcW w:w="759" w:type="dxa"/>
            <w:vAlign w:val="center"/>
          </w:tcPr>
          <w:p w14:paraId="05C58F2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否</w:t>
            </w:r>
          </w:p>
        </w:tc>
      </w:tr>
      <w:tr w14:paraId="056C9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4" w:type="dxa"/>
            <w:vAlign w:val="center"/>
          </w:tcPr>
          <w:p w14:paraId="497B929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5</w:t>
            </w:r>
          </w:p>
        </w:tc>
        <w:tc>
          <w:tcPr>
            <w:tcW w:w="1011" w:type="dxa"/>
            <w:vAlign w:val="center"/>
          </w:tcPr>
          <w:p w14:paraId="09546715">
            <w:pPr>
              <w:keepNext w:val="0"/>
              <w:keepLines w:val="0"/>
              <w:widowControl/>
              <w:suppressLineNumbers w:val="0"/>
              <w:jc w:val="both"/>
              <w:textAlignment w:val="center"/>
              <w:rPr>
                <w:rFonts w:hint="eastAsia" w:ascii="宋体" w:hAnsi="宋体" w:cs="宋体"/>
                <w:b/>
                <w:bCs/>
                <w:i w:val="0"/>
                <w:iCs w:val="0"/>
                <w:color w:val="000000"/>
                <w:kern w:val="0"/>
                <w:sz w:val="20"/>
                <w:szCs w:val="20"/>
                <w:highlight w:val="none"/>
                <w:u w:val="none"/>
                <w:lang w:val="en-US" w:eastAsia="zh-CN" w:bidi="ar"/>
              </w:rPr>
            </w:pPr>
            <w:r>
              <w:rPr>
                <w:rFonts w:hint="eastAsia" w:ascii="宋体" w:hAnsi="宋体" w:cs="宋体"/>
                <w:b/>
                <w:bCs/>
                <w:i w:val="0"/>
                <w:iCs w:val="0"/>
                <w:color w:val="000000"/>
                <w:kern w:val="0"/>
                <w:sz w:val="20"/>
                <w:szCs w:val="20"/>
                <w:highlight w:val="none"/>
                <w:u w:val="none"/>
                <w:lang w:val="en-US" w:eastAsia="zh-CN" w:bidi="ar"/>
              </w:rPr>
              <w:t>音频连接线</w:t>
            </w:r>
          </w:p>
        </w:tc>
        <w:tc>
          <w:tcPr>
            <w:tcW w:w="5864" w:type="dxa"/>
            <w:vAlign w:val="top"/>
          </w:tcPr>
          <w:p w14:paraId="47772100">
            <w:pPr>
              <w:keepNext w:val="0"/>
              <w:keepLines w:val="0"/>
              <w:widowControl/>
              <w:suppressLineNumbers w:val="0"/>
              <w:jc w:val="left"/>
              <w:textAlignment w:val="top"/>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3米音频连接线：卡侬头（母）-卡侬头（公）</w:t>
            </w:r>
          </w:p>
        </w:tc>
        <w:tc>
          <w:tcPr>
            <w:tcW w:w="845" w:type="dxa"/>
            <w:gridSpan w:val="2"/>
            <w:vAlign w:val="center"/>
          </w:tcPr>
          <w:p w14:paraId="1883A06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w:t>
            </w:r>
          </w:p>
        </w:tc>
        <w:tc>
          <w:tcPr>
            <w:tcW w:w="759" w:type="dxa"/>
            <w:gridSpan w:val="3"/>
            <w:vAlign w:val="center"/>
          </w:tcPr>
          <w:p w14:paraId="6411493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根</w:t>
            </w:r>
          </w:p>
        </w:tc>
        <w:tc>
          <w:tcPr>
            <w:tcW w:w="759" w:type="dxa"/>
            <w:vAlign w:val="center"/>
          </w:tcPr>
          <w:p w14:paraId="769635A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否</w:t>
            </w:r>
          </w:p>
        </w:tc>
      </w:tr>
      <w:tr w14:paraId="782F6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4" w:type="dxa"/>
            <w:vAlign w:val="center"/>
          </w:tcPr>
          <w:p w14:paraId="65356D3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6</w:t>
            </w:r>
          </w:p>
        </w:tc>
        <w:tc>
          <w:tcPr>
            <w:tcW w:w="1011" w:type="dxa"/>
            <w:vAlign w:val="center"/>
          </w:tcPr>
          <w:p w14:paraId="60AEB158">
            <w:pPr>
              <w:keepNext w:val="0"/>
              <w:keepLines w:val="0"/>
              <w:widowControl/>
              <w:suppressLineNumbers w:val="0"/>
              <w:jc w:val="both"/>
              <w:textAlignment w:val="center"/>
              <w:rPr>
                <w:rFonts w:hint="eastAsia" w:ascii="宋体" w:hAnsi="宋体" w:cs="宋体"/>
                <w:b/>
                <w:bCs/>
                <w:i w:val="0"/>
                <w:iCs w:val="0"/>
                <w:color w:val="000000"/>
                <w:kern w:val="0"/>
                <w:sz w:val="20"/>
                <w:szCs w:val="20"/>
                <w:highlight w:val="none"/>
                <w:u w:val="none"/>
                <w:lang w:val="en-US" w:eastAsia="zh-CN" w:bidi="ar"/>
              </w:rPr>
            </w:pPr>
            <w:r>
              <w:rPr>
                <w:rFonts w:hint="eastAsia" w:ascii="宋体" w:hAnsi="宋体" w:cs="宋体"/>
                <w:b/>
                <w:bCs/>
                <w:i w:val="0"/>
                <w:iCs w:val="0"/>
                <w:color w:val="000000"/>
                <w:kern w:val="0"/>
                <w:sz w:val="20"/>
                <w:szCs w:val="20"/>
                <w:highlight w:val="none"/>
                <w:u w:val="none"/>
                <w:lang w:val="en-US" w:eastAsia="zh-CN" w:bidi="ar"/>
              </w:rPr>
              <w:t>音频连接线</w:t>
            </w:r>
          </w:p>
        </w:tc>
        <w:tc>
          <w:tcPr>
            <w:tcW w:w="5864" w:type="dxa"/>
            <w:vAlign w:val="top"/>
          </w:tcPr>
          <w:p w14:paraId="48E8E95C">
            <w:pPr>
              <w:keepNext w:val="0"/>
              <w:keepLines w:val="0"/>
              <w:widowControl/>
              <w:suppressLineNumbers w:val="0"/>
              <w:jc w:val="left"/>
              <w:textAlignment w:val="top"/>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3米音频连接线：卡侬头（母）-卡侬头（公）</w:t>
            </w:r>
          </w:p>
        </w:tc>
        <w:tc>
          <w:tcPr>
            <w:tcW w:w="845" w:type="dxa"/>
            <w:gridSpan w:val="2"/>
            <w:vAlign w:val="center"/>
          </w:tcPr>
          <w:p w14:paraId="4140A1E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6</w:t>
            </w:r>
          </w:p>
        </w:tc>
        <w:tc>
          <w:tcPr>
            <w:tcW w:w="759" w:type="dxa"/>
            <w:gridSpan w:val="3"/>
            <w:vAlign w:val="center"/>
          </w:tcPr>
          <w:p w14:paraId="4CE4CB80">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根</w:t>
            </w:r>
          </w:p>
        </w:tc>
        <w:tc>
          <w:tcPr>
            <w:tcW w:w="759" w:type="dxa"/>
            <w:vAlign w:val="center"/>
          </w:tcPr>
          <w:p w14:paraId="765506D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否</w:t>
            </w:r>
          </w:p>
        </w:tc>
      </w:tr>
      <w:tr w14:paraId="07DFD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4" w:type="dxa"/>
            <w:vAlign w:val="center"/>
          </w:tcPr>
          <w:p w14:paraId="0F15C0A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7</w:t>
            </w:r>
          </w:p>
        </w:tc>
        <w:tc>
          <w:tcPr>
            <w:tcW w:w="1011" w:type="dxa"/>
            <w:vAlign w:val="center"/>
          </w:tcPr>
          <w:p w14:paraId="62CF7CB3">
            <w:pPr>
              <w:keepNext w:val="0"/>
              <w:keepLines w:val="0"/>
              <w:widowControl/>
              <w:suppressLineNumbers w:val="0"/>
              <w:jc w:val="both"/>
              <w:textAlignment w:val="center"/>
              <w:rPr>
                <w:rFonts w:hint="eastAsia" w:ascii="宋体" w:hAnsi="宋体" w:cs="宋体"/>
                <w:b/>
                <w:bCs/>
                <w:i w:val="0"/>
                <w:iCs w:val="0"/>
                <w:color w:val="000000"/>
                <w:kern w:val="0"/>
                <w:sz w:val="20"/>
                <w:szCs w:val="20"/>
                <w:highlight w:val="none"/>
                <w:u w:val="none"/>
                <w:lang w:val="en-US" w:eastAsia="zh-CN" w:bidi="ar"/>
              </w:rPr>
            </w:pPr>
            <w:r>
              <w:rPr>
                <w:rFonts w:hint="eastAsia" w:ascii="宋体" w:hAnsi="宋体" w:cs="宋体"/>
                <w:b/>
                <w:bCs/>
                <w:i w:val="0"/>
                <w:iCs w:val="0"/>
                <w:color w:val="000000"/>
                <w:kern w:val="0"/>
                <w:sz w:val="20"/>
                <w:szCs w:val="20"/>
                <w:highlight w:val="none"/>
                <w:u w:val="none"/>
                <w:lang w:val="en-US" w:eastAsia="zh-CN" w:bidi="ar"/>
              </w:rPr>
              <w:t>音频连接线</w:t>
            </w:r>
          </w:p>
        </w:tc>
        <w:tc>
          <w:tcPr>
            <w:tcW w:w="5864" w:type="dxa"/>
            <w:vAlign w:val="top"/>
          </w:tcPr>
          <w:p w14:paraId="01BD64E5">
            <w:pPr>
              <w:keepNext w:val="0"/>
              <w:keepLines w:val="0"/>
              <w:widowControl/>
              <w:suppressLineNumbers w:val="0"/>
              <w:jc w:val="left"/>
              <w:textAlignment w:val="top"/>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1.8米音频连接线：卡侬头（母）-卡侬头（公）</w:t>
            </w:r>
          </w:p>
        </w:tc>
        <w:tc>
          <w:tcPr>
            <w:tcW w:w="845" w:type="dxa"/>
            <w:gridSpan w:val="2"/>
            <w:vAlign w:val="center"/>
          </w:tcPr>
          <w:p w14:paraId="017D417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w:t>
            </w:r>
          </w:p>
        </w:tc>
        <w:tc>
          <w:tcPr>
            <w:tcW w:w="759" w:type="dxa"/>
            <w:gridSpan w:val="3"/>
            <w:vAlign w:val="center"/>
          </w:tcPr>
          <w:p w14:paraId="543CE0F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根</w:t>
            </w:r>
          </w:p>
        </w:tc>
        <w:tc>
          <w:tcPr>
            <w:tcW w:w="759" w:type="dxa"/>
            <w:vAlign w:val="center"/>
          </w:tcPr>
          <w:p w14:paraId="029D6BF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否</w:t>
            </w:r>
          </w:p>
        </w:tc>
      </w:tr>
      <w:tr w14:paraId="39E23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4" w:type="dxa"/>
            <w:vAlign w:val="center"/>
          </w:tcPr>
          <w:p w14:paraId="132B39C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w:t>
            </w:r>
          </w:p>
        </w:tc>
        <w:tc>
          <w:tcPr>
            <w:tcW w:w="1011" w:type="dxa"/>
            <w:vAlign w:val="center"/>
          </w:tcPr>
          <w:p w14:paraId="0B046729">
            <w:pPr>
              <w:keepNext w:val="0"/>
              <w:keepLines w:val="0"/>
              <w:widowControl/>
              <w:suppressLineNumbers w:val="0"/>
              <w:jc w:val="both"/>
              <w:textAlignment w:val="center"/>
              <w:rPr>
                <w:rFonts w:hint="eastAsia" w:ascii="宋体" w:hAnsi="宋体" w:cs="宋体"/>
                <w:b/>
                <w:bCs/>
                <w:i w:val="0"/>
                <w:iCs w:val="0"/>
                <w:color w:val="000000"/>
                <w:kern w:val="0"/>
                <w:sz w:val="20"/>
                <w:szCs w:val="20"/>
                <w:highlight w:val="none"/>
                <w:u w:val="none"/>
                <w:lang w:val="en-US" w:eastAsia="zh-CN" w:bidi="ar"/>
              </w:rPr>
            </w:pPr>
            <w:r>
              <w:rPr>
                <w:rFonts w:hint="eastAsia" w:ascii="宋体" w:hAnsi="宋体" w:cs="宋体"/>
                <w:b/>
                <w:bCs/>
                <w:i w:val="0"/>
                <w:iCs w:val="0"/>
                <w:color w:val="000000"/>
                <w:kern w:val="0"/>
                <w:sz w:val="20"/>
                <w:szCs w:val="20"/>
                <w:highlight w:val="none"/>
                <w:u w:val="none"/>
                <w:lang w:val="en-US" w:eastAsia="zh-CN" w:bidi="ar"/>
              </w:rPr>
              <w:t>多媒体地插</w:t>
            </w:r>
          </w:p>
        </w:tc>
        <w:tc>
          <w:tcPr>
            <w:tcW w:w="5864" w:type="dxa"/>
            <w:vAlign w:val="center"/>
          </w:tcPr>
          <w:p w14:paraId="67942421">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1个HDMI模块、1个网口模块、1个电源模块、1个音频模块</w:t>
            </w:r>
          </w:p>
        </w:tc>
        <w:tc>
          <w:tcPr>
            <w:tcW w:w="845" w:type="dxa"/>
            <w:gridSpan w:val="2"/>
            <w:vAlign w:val="center"/>
          </w:tcPr>
          <w:p w14:paraId="48408B6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w:t>
            </w:r>
          </w:p>
        </w:tc>
        <w:tc>
          <w:tcPr>
            <w:tcW w:w="759" w:type="dxa"/>
            <w:gridSpan w:val="3"/>
            <w:vAlign w:val="center"/>
          </w:tcPr>
          <w:p w14:paraId="187100B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只</w:t>
            </w:r>
          </w:p>
        </w:tc>
        <w:tc>
          <w:tcPr>
            <w:tcW w:w="759" w:type="dxa"/>
            <w:vAlign w:val="center"/>
          </w:tcPr>
          <w:p w14:paraId="2034D03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否</w:t>
            </w:r>
          </w:p>
        </w:tc>
      </w:tr>
      <w:tr w14:paraId="2D019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4" w:type="dxa"/>
            <w:vAlign w:val="center"/>
          </w:tcPr>
          <w:p w14:paraId="39B0655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9</w:t>
            </w:r>
          </w:p>
        </w:tc>
        <w:tc>
          <w:tcPr>
            <w:tcW w:w="1011" w:type="dxa"/>
            <w:vAlign w:val="center"/>
          </w:tcPr>
          <w:p w14:paraId="07C9DF23">
            <w:pPr>
              <w:keepNext w:val="0"/>
              <w:keepLines w:val="0"/>
              <w:widowControl/>
              <w:suppressLineNumbers w:val="0"/>
              <w:jc w:val="both"/>
              <w:textAlignment w:val="center"/>
              <w:rPr>
                <w:rFonts w:hint="eastAsia" w:ascii="宋体" w:hAnsi="宋体" w:cs="宋体"/>
                <w:b/>
                <w:bCs/>
                <w:i w:val="0"/>
                <w:iCs w:val="0"/>
                <w:color w:val="000000"/>
                <w:kern w:val="0"/>
                <w:sz w:val="20"/>
                <w:szCs w:val="20"/>
                <w:highlight w:val="none"/>
                <w:u w:val="none"/>
                <w:lang w:val="en-US" w:eastAsia="zh-CN" w:bidi="ar"/>
              </w:rPr>
            </w:pPr>
            <w:r>
              <w:rPr>
                <w:rFonts w:hint="eastAsia" w:ascii="宋体" w:hAnsi="宋体" w:cs="宋体"/>
                <w:b/>
                <w:bCs/>
                <w:i w:val="0"/>
                <w:iCs w:val="0"/>
                <w:color w:val="000000"/>
                <w:kern w:val="0"/>
                <w:sz w:val="20"/>
                <w:szCs w:val="20"/>
                <w:highlight w:val="none"/>
                <w:u w:val="none"/>
                <w:lang w:val="en-US" w:eastAsia="zh-CN" w:bidi="ar"/>
              </w:rPr>
              <w:t>线材</w:t>
            </w:r>
          </w:p>
        </w:tc>
        <w:tc>
          <w:tcPr>
            <w:tcW w:w="5864" w:type="dxa"/>
            <w:vAlign w:val="center"/>
          </w:tcPr>
          <w:p w14:paraId="16BAE328">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1.分辨率:3840*2160，30Hz</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 xml:space="preserve">2.屏蔽:铝箔+编织+地线 </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 xml:space="preserve">3.外被: PVC </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4.线芯: 镀锡铜</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5.支持HDMI 2.0版本</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6.规格：长度15米</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7.HDMI头大小：20*26*10.5mm，线径：8mm</w:t>
            </w:r>
          </w:p>
        </w:tc>
        <w:tc>
          <w:tcPr>
            <w:tcW w:w="845" w:type="dxa"/>
            <w:gridSpan w:val="2"/>
            <w:vAlign w:val="center"/>
          </w:tcPr>
          <w:p w14:paraId="4E86CB6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30</w:t>
            </w:r>
          </w:p>
        </w:tc>
        <w:tc>
          <w:tcPr>
            <w:tcW w:w="759" w:type="dxa"/>
            <w:gridSpan w:val="3"/>
            <w:vAlign w:val="center"/>
          </w:tcPr>
          <w:p w14:paraId="636DB37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条</w:t>
            </w:r>
          </w:p>
        </w:tc>
        <w:tc>
          <w:tcPr>
            <w:tcW w:w="759" w:type="dxa"/>
            <w:vAlign w:val="center"/>
          </w:tcPr>
          <w:p w14:paraId="14425B5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否</w:t>
            </w:r>
          </w:p>
        </w:tc>
      </w:tr>
      <w:tr w14:paraId="7091E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4" w:type="dxa"/>
            <w:vAlign w:val="center"/>
          </w:tcPr>
          <w:p w14:paraId="560234D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10</w:t>
            </w:r>
          </w:p>
        </w:tc>
        <w:tc>
          <w:tcPr>
            <w:tcW w:w="1011" w:type="dxa"/>
            <w:vAlign w:val="center"/>
          </w:tcPr>
          <w:p w14:paraId="1E9F9E36">
            <w:pPr>
              <w:keepNext w:val="0"/>
              <w:keepLines w:val="0"/>
              <w:widowControl/>
              <w:suppressLineNumbers w:val="0"/>
              <w:jc w:val="both"/>
              <w:textAlignment w:val="center"/>
              <w:rPr>
                <w:rFonts w:hint="eastAsia" w:ascii="宋体" w:hAnsi="宋体" w:cs="宋体"/>
                <w:b/>
                <w:bCs/>
                <w:i w:val="0"/>
                <w:iCs w:val="0"/>
                <w:color w:val="000000"/>
                <w:kern w:val="0"/>
                <w:sz w:val="20"/>
                <w:szCs w:val="20"/>
                <w:highlight w:val="none"/>
                <w:u w:val="none"/>
                <w:lang w:val="en-US" w:eastAsia="zh-CN" w:bidi="ar"/>
              </w:rPr>
            </w:pPr>
            <w:r>
              <w:rPr>
                <w:rFonts w:hint="eastAsia" w:ascii="宋体" w:hAnsi="宋体" w:cs="宋体"/>
                <w:b/>
                <w:bCs/>
                <w:i w:val="0"/>
                <w:iCs w:val="0"/>
                <w:color w:val="000000"/>
                <w:kern w:val="0"/>
                <w:sz w:val="20"/>
                <w:szCs w:val="20"/>
                <w:highlight w:val="none"/>
                <w:u w:val="none"/>
                <w:lang w:val="en-US" w:eastAsia="zh-CN" w:bidi="ar"/>
              </w:rPr>
              <w:t>线材</w:t>
            </w:r>
          </w:p>
        </w:tc>
        <w:tc>
          <w:tcPr>
            <w:tcW w:w="5864" w:type="dxa"/>
            <w:vAlign w:val="center"/>
          </w:tcPr>
          <w:p w14:paraId="4C9581CE">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1.HD-SDI视频监控线</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 xml:space="preserve">2.屏蔽:铝箔+144镀锡铜编织 </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 xml:space="preserve">3.外被: PVC </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4.导体: 1.00mm精选铜</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5.200米/卷</w:t>
            </w:r>
          </w:p>
        </w:tc>
        <w:tc>
          <w:tcPr>
            <w:tcW w:w="845" w:type="dxa"/>
            <w:gridSpan w:val="2"/>
            <w:vAlign w:val="center"/>
          </w:tcPr>
          <w:p w14:paraId="3B301F4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w:t>
            </w:r>
          </w:p>
        </w:tc>
        <w:tc>
          <w:tcPr>
            <w:tcW w:w="759" w:type="dxa"/>
            <w:gridSpan w:val="3"/>
            <w:vAlign w:val="center"/>
          </w:tcPr>
          <w:p w14:paraId="7F14019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卷</w:t>
            </w:r>
          </w:p>
        </w:tc>
        <w:tc>
          <w:tcPr>
            <w:tcW w:w="759" w:type="dxa"/>
            <w:vAlign w:val="center"/>
          </w:tcPr>
          <w:p w14:paraId="30527D8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否</w:t>
            </w:r>
          </w:p>
        </w:tc>
      </w:tr>
      <w:tr w14:paraId="6BF4A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4" w:type="dxa"/>
            <w:vAlign w:val="center"/>
          </w:tcPr>
          <w:p w14:paraId="6927258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11</w:t>
            </w:r>
          </w:p>
        </w:tc>
        <w:tc>
          <w:tcPr>
            <w:tcW w:w="1011" w:type="dxa"/>
            <w:vAlign w:val="center"/>
          </w:tcPr>
          <w:p w14:paraId="2BBEAC26">
            <w:pPr>
              <w:keepNext w:val="0"/>
              <w:keepLines w:val="0"/>
              <w:widowControl/>
              <w:suppressLineNumbers w:val="0"/>
              <w:jc w:val="both"/>
              <w:textAlignment w:val="center"/>
              <w:rPr>
                <w:rFonts w:hint="eastAsia" w:ascii="宋体" w:hAnsi="宋体" w:cs="宋体"/>
                <w:b/>
                <w:bCs/>
                <w:i w:val="0"/>
                <w:iCs w:val="0"/>
                <w:color w:val="000000"/>
                <w:kern w:val="0"/>
                <w:sz w:val="20"/>
                <w:szCs w:val="20"/>
                <w:highlight w:val="none"/>
                <w:u w:val="none"/>
                <w:lang w:val="en-US" w:eastAsia="zh-CN" w:bidi="ar"/>
              </w:rPr>
            </w:pPr>
            <w:r>
              <w:rPr>
                <w:rFonts w:hint="eastAsia" w:ascii="宋体" w:hAnsi="宋体" w:cs="宋体"/>
                <w:b/>
                <w:bCs/>
                <w:i w:val="0"/>
                <w:iCs w:val="0"/>
                <w:color w:val="000000"/>
                <w:kern w:val="0"/>
                <w:sz w:val="20"/>
                <w:szCs w:val="20"/>
                <w:highlight w:val="none"/>
                <w:u w:val="none"/>
                <w:lang w:val="en-US" w:eastAsia="zh-CN" w:bidi="ar"/>
              </w:rPr>
              <w:t>线材</w:t>
            </w:r>
          </w:p>
        </w:tc>
        <w:tc>
          <w:tcPr>
            <w:tcW w:w="5864" w:type="dxa"/>
            <w:vAlign w:val="center"/>
          </w:tcPr>
          <w:p w14:paraId="3FCC307E">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1.音响线</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2.线径：10.0mm</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3.芯数：2*307铜芯</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4.平方数：2*2.5</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 xml:space="preserve">5.绝缘层:PVC </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 xml:space="preserve">6.外被:耐磨 PVC </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7.导体: 精选铜</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8.颜色：黑色</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9.100米/卷</w:t>
            </w:r>
          </w:p>
        </w:tc>
        <w:tc>
          <w:tcPr>
            <w:tcW w:w="845" w:type="dxa"/>
            <w:gridSpan w:val="2"/>
            <w:vAlign w:val="center"/>
          </w:tcPr>
          <w:p w14:paraId="4AC493A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w:t>
            </w:r>
          </w:p>
        </w:tc>
        <w:tc>
          <w:tcPr>
            <w:tcW w:w="759" w:type="dxa"/>
            <w:gridSpan w:val="3"/>
            <w:vAlign w:val="center"/>
          </w:tcPr>
          <w:p w14:paraId="3627FE9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卷</w:t>
            </w:r>
          </w:p>
        </w:tc>
        <w:tc>
          <w:tcPr>
            <w:tcW w:w="759" w:type="dxa"/>
            <w:vAlign w:val="center"/>
          </w:tcPr>
          <w:p w14:paraId="7FAEC30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否</w:t>
            </w:r>
          </w:p>
        </w:tc>
      </w:tr>
      <w:tr w14:paraId="06702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4" w:type="dxa"/>
            <w:vAlign w:val="center"/>
          </w:tcPr>
          <w:p w14:paraId="42777D1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12</w:t>
            </w:r>
          </w:p>
        </w:tc>
        <w:tc>
          <w:tcPr>
            <w:tcW w:w="1011" w:type="dxa"/>
            <w:vAlign w:val="center"/>
          </w:tcPr>
          <w:p w14:paraId="33CEB3C6">
            <w:pPr>
              <w:keepNext w:val="0"/>
              <w:keepLines w:val="0"/>
              <w:widowControl/>
              <w:suppressLineNumbers w:val="0"/>
              <w:jc w:val="both"/>
              <w:textAlignment w:val="center"/>
              <w:rPr>
                <w:rFonts w:hint="eastAsia" w:ascii="宋体" w:hAnsi="宋体" w:cs="宋体"/>
                <w:b/>
                <w:bCs/>
                <w:i w:val="0"/>
                <w:iCs w:val="0"/>
                <w:color w:val="000000"/>
                <w:kern w:val="0"/>
                <w:sz w:val="20"/>
                <w:szCs w:val="20"/>
                <w:highlight w:val="none"/>
                <w:u w:val="none"/>
                <w:lang w:val="en-US" w:eastAsia="zh-CN" w:bidi="ar"/>
              </w:rPr>
            </w:pPr>
            <w:r>
              <w:rPr>
                <w:rFonts w:hint="eastAsia" w:ascii="宋体" w:hAnsi="宋体" w:cs="宋体"/>
                <w:b/>
                <w:bCs/>
                <w:i w:val="0"/>
                <w:iCs w:val="0"/>
                <w:color w:val="000000"/>
                <w:kern w:val="0"/>
                <w:sz w:val="20"/>
                <w:szCs w:val="20"/>
                <w:highlight w:val="none"/>
                <w:u w:val="none"/>
                <w:lang w:val="en-US" w:eastAsia="zh-CN" w:bidi="ar"/>
              </w:rPr>
              <w:t>线材</w:t>
            </w:r>
          </w:p>
        </w:tc>
        <w:tc>
          <w:tcPr>
            <w:tcW w:w="5864" w:type="dxa"/>
            <w:vAlign w:val="center"/>
          </w:tcPr>
          <w:p w14:paraId="5CC22732">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音频线带屏蔽RVVP2*0.5，200米/卷</w:t>
            </w:r>
          </w:p>
        </w:tc>
        <w:tc>
          <w:tcPr>
            <w:tcW w:w="845" w:type="dxa"/>
            <w:gridSpan w:val="2"/>
            <w:vAlign w:val="center"/>
          </w:tcPr>
          <w:p w14:paraId="39C2B33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w:t>
            </w:r>
          </w:p>
        </w:tc>
        <w:tc>
          <w:tcPr>
            <w:tcW w:w="759" w:type="dxa"/>
            <w:gridSpan w:val="3"/>
            <w:vAlign w:val="center"/>
          </w:tcPr>
          <w:p w14:paraId="59487C9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卷</w:t>
            </w:r>
          </w:p>
        </w:tc>
        <w:tc>
          <w:tcPr>
            <w:tcW w:w="759" w:type="dxa"/>
            <w:vAlign w:val="center"/>
          </w:tcPr>
          <w:p w14:paraId="70015850">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否</w:t>
            </w:r>
          </w:p>
        </w:tc>
      </w:tr>
      <w:tr w14:paraId="20F33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4" w:type="dxa"/>
            <w:vAlign w:val="center"/>
          </w:tcPr>
          <w:p w14:paraId="026E86C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13</w:t>
            </w:r>
          </w:p>
        </w:tc>
        <w:tc>
          <w:tcPr>
            <w:tcW w:w="1011" w:type="dxa"/>
            <w:vAlign w:val="center"/>
          </w:tcPr>
          <w:p w14:paraId="42C598F2">
            <w:pPr>
              <w:keepNext w:val="0"/>
              <w:keepLines w:val="0"/>
              <w:widowControl/>
              <w:suppressLineNumbers w:val="0"/>
              <w:jc w:val="both"/>
              <w:textAlignment w:val="center"/>
              <w:rPr>
                <w:rFonts w:hint="eastAsia" w:ascii="宋体" w:hAnsi="宋体" w:cs="宋体"/>
                <w:b/>
                <w:bCs/>
                <w:i w:val="0"/>
                <w:iCs w:val="0"/>
                <w:color w:val="000000"/>
                <w:kern w:val="0"/>
                <w:sz w:val="20"/>
                <w:szCs w:val="20"/>
                <w:highlight w:val="none"/>
                <w:u w:val="none"/>
                <w:lang w:val="en-US" w:eastAsia="zh-CN" w:bidi="ar"/>
              </w:rPr>
            </w:pPr>
            <w:r>
              <w:rPr>
                <w:rFonts w:hint="eastAsia" w:ascii="宋体" w:hAnsi="宋体" w:cs="宋体"/>
                <w:b/>
                <w:bCs/>
                <w:i w:val="0"/>
                <w:iCs w:val="0"/>
                <w:color w:val="000000"/>
                <w:kern w:val="0"/>
                <w:sz w:val="20"/>
                <w:szCs w:val="20"/>
                <w:highlight w:val="none"/>
                <w:u w:val="none"/>
                <w:lang w:val="en-US" w:eastAsia="zh-CN" w:bidi="ar"/>
              </w:rPr>
              <w:t>线材</w:t>
            </w:r>
          </w:p>
        </w:tc>
        <w:tc>
          <w:tcPr>
            <w:tcW w:w="5864" w:type="dxa"/>
            <w:vAlign w:val="center"/>
          </w:tcPr>
          <w:p w14:paraId="6A59F0ED">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铜芯护套线RVV3*1.5，200米/卷</w:t>
            </w:r>
          </w:p>
        </w:tc>
        <w:tc>
          <w:tcPr>
            <w:tcW w:w="845" w:type="dxa"/>
            <w:gridSpan w:val="2"/>
            <w:vAlign w:val="center"/>
          </w:tcPr>
          <w:p w14:paraId="0229310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w:t>
            </w:r>
          </w:p>
        </w:tc>
        <w:tc>
          <w:tcPr>
            <w:tcW w:w="759" w:type="dxa"/>
            <w:gridSpan w:val="3"/>
            <w:vAlign w:val="center"/>
          </w:tcPr>
          <w:p w14:paraId="31C9D7D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卷</w:t>
            </w:r>
          </w:p>
        </w:tc>
        <w:tc>
          <w:tcPr>
            <w:tcW w:w="759" w:type="dxa"/>
            <w:vAlign w:val="center"/>
          </w:tcPr>
          <w:p w14:paraId="4A850E2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否</w:t>
            </w:r>
          </w:p>
        </w:tc>
      </w:tr>
      <w:tr w14:paraId="6931C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4" w:type="dxa"/>
            <w:vAlign w:val="center"/>
          </w:tcPr>
          <w:p w14:paraId="3D2C4D48">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14</w:t>
            </w:r>
          </w:p>
        </w:tc>
        <w:tc>
          <w:tcPr>
            <w:tcW w:w="1011" w:type="dxa"/>
            <w:vAlign w:val="center"/>
          </w:tcPr>
          <w:p w14:paraId="51E665B3">
            <w:pPr>
              <w:keepNext w:val="0"/>
              <w:keepLines w:val="0"/>
              <w:widowControl/>
              <w:suppressLineNumbers w:val="0"/>
              <w:jc w:val="both"/>
              <w:textAlignment w:val="center"/>
              <w:rPr>
                <w:rFonts w:hint="eastAsia" w:ascii="宋体" w:hAnsi="宋体" w:cs="宋体"/>
                <w:b/>
                <w:bCs/>
                <w:i w:val="0"/>
                <w:iCs w:val="0"/>
                <w:color w:val="000000"/>
                <w:kern w:val="0"/>
                <w:sz w:val="20"/>
                <w:szCs w:val="20"/>
                <w:highlight w:val="none"/>
                <w:u w:val="none"/>
                <w:lang w:val="en-US" w:eastAsia="zh-CN" w:bidi="ar"/>
              </w:rPr>
            </w:pPr>
            <w:r>
              <w:rPr>
                <w:rFonts w:hint="eastAsia" w:ascii="宋体" w:hAnsi="宋体" w:cs="宋体"/>
                <w:b/>
                <w:bCs/>
                <w:i w:val="0"/>
                <w:iCs w:val="0"/>
                <w:color w:val="000000"/>
                <w:kern w:val="0"/>
                <w:sz w:val="20"/>
                <w:szCs w:val="20"/>
                <w:highlight w:val="none"/>
                <w:u w:val="none"/>
                <w:lang w:val="en-US" w:eastAsia="zh-CN" w:bidi="ar"/>
              </w:rPr>
              <w:t>线材</w:t>
            </w:r>
          </w:p>
        </w:tc>
        <w:tc>
          <w:tcPr>
            <w:tcW w:w="5864" w:type="dxa"/>
            <w:vAlign w:val="center"/>
          </w:tcPr>
          <w:p w14:paraId="2536165A">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六类屏蔽网线，300米/卷</w:t>
            </w:r>
          </w:p>
        </w:tc>
        <w:tc>
          <w:tcPr>
            <w:tcW w:w="845" w:type="dxa"/>
            <w:gridSpan w:val="2"/>
            <w:vAlign w:val="center"/>
          </w:tcPr>
          <w:p w14:paraId="3EB3B3D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w:t>
            </w:r>
          </w:p>
        </w:tc>
        <w:tc>
          <w:tcPr>
            <w:tcW w:w="759" w:type="dxa"/>
            <w:gridSpan w:val="3"/>
            <w:vAlign w:val="center"/>
          </w:tcPr>
          <w:p w14:paraId="72ADEC6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卷</w:t>
            </w:r>
          </w:p>
        </w:tc>
        <w:tc>
          <w:tcPr>
            <w:tcW w:w="759" w:type="dxa"/>
            <w:vAlign w:val="center"/>
          </w:tcPr>
          <w:p w14:paraId="246DB27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否</w:t>
            </w:r>
          </w:p>
        </w:tc>
      </w:tr>
      <w:tr w14:paraId="59249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4" w:type="dxa"/>
            <w:vAlign w:val="center"/>
          </w:tcPr>
          <w:p w14:paraId="6C98981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15</w:t>
            </w:r>
          </w:p>
        </w:tc>
        <w:tc>
          <w:tcPr>
            <w:tcW w:w="1011" w:type="dxa"/>
            <w:vAlign w:val="center"/>
          </w:tcPr>
          <w:p w14:paraId="22349A28">
            <w:pPr>
              <w:keepNext w:val="0"/>
              <w:keepLines w:val="0"/>
              <w:widowControl/>
              <w:suppressLineNumbers w:val="0"/>
              <w:jc w:val="both"/>
              <w:textAlignment w:val="center"/>
              <w:rPr>
                <w:rFonts w:hint="eastAsia" w:ascii="宋体" w:hAnsi="宋体" w:cs="宋体"/>
                <w:b/>
                <w:bCs/>
                <w:i w:val="0"/>
                <w:iCs w:val="0"/>
                <w:color w:val="000000"/>
                <w:kern w:val="0"/>
                <w:sz w:val="20"/>
                <w:szCs w:val="20"/>
                <w:highlight w:val="none"/>
                <w:u w:val="none"/>
                <w:lang w:val="en-US" w:eastAsia="zh-CN" w:bidi="ar"/>
              </w:rPr>
            </w:pPr>
            <w:r>
              <w:rPr>
                <w:rFonts w:hint="eastAsia" w:ascii="宋体" w:hAnsi="宋体" w:cs="宋体"/>
                <w:b/>
                <w:bCs/>
                <w:i w:val="0"/>
                <w:iCs w:val="0"/>
                <w:color w:val="000000"/>
                <w:kern w:val="0"/>
                <w:sz w:val="20"/>
                <w:szCs w:val="20"/>
                <w:highlight w:val="none"/>
                <w:u w:val="none"/>
                <w:lang w:val="en-US" w:eastAsia="zh-CN" w:bidi="ar"/>
              </w:rPr>
              <w:t>水晶头</w:t>
            </w:r>
          </w:p>
        </w:tc>
        <w:tc>
          <w:tcPr>
            <w:tcW w:w="5864" w:type="dxa"/>
            <w:vAlign w:val="center"/>
          </w:tcPr>
          <w:p w14:paraId="3F0CEDDF">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六类水晶头，100个一盒</w:t>
            </w:r>
          </w:p>
        </w:tc>
        <w:tc>
          <w:tcPr>
            <w:tcW w:w="845" w:type="dxa"/>
            <w:gridSpan w:val="2"/>
            <w:vAlign w:val="center"/>
          </w:tcPr>
          <w:p w14:paraId="708AD29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w:t>
            </w:r>
          </w:p>
        </w:tc>
        <w:tc>
          <w:tcPr>
            <w:tcW w:w="759" w:type="dxa"/>
            <w:gridSpan w:val="3"/>
            <w:vAlign w:val="center"/>
          </w:tcPr>
          <w:p w14:paraId="2712E87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盒</w:t>
            </w:r>
          </w:p>
        </w:tc>
        <w:tc>
          <w:tcPr>
            <w:tcW w:w="759" w:type="dxa"/>
            <w:vAlign w:val="center"/>
          </w:tcPr>
          <w:p w14:paraId="01A4F21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否</w:t>
            </w:r>
          </w:p>
        </w:tc>
      </w:tr>
      <w:tr w14:paraId="21901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4" w:type="dxa"/>
            <w:vAlign w:val="center"/>
          </w:tcPr>
          <w:p w14:paraId="16DBE2F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16</w:t>
            </w:r>
          </w:p>
        </w:tc>
        <w:tc>
          <w:tcPr>
            <w:tcW w:w="1011" w:type="dxa"/>
            <w:vAlign w:val="center"/>
          </w:tcPr>
          <w:p w14:paraId="16B350A2">
            <w:pPr>
              <w:keepNext w:val="0"/>
              <w:keepLines w:val="0"/>
              <w:widowControl/>
              <w:suppressLineNumbers w:val="0"/>
              <w:jc w:val="both"/>
              <w:textAlignment w:val="center"/>
              <w:rPr>
                <w:rFonts w:hint="eastAsia" w:ascii="宋体" w:hAnsi="宋体" w:cs="宋体"/>
                <w:b/>
                <w:bCs/>
                <w:i w:val="0"/>
                <w:iCs w:val="0"/>
                <w:color w:val="000000"/>
                <w:kern w:val="0"/>
                <w:sz w:val="20"/>
                <w:szCs w:val="20"/>
                <w:highlight w:val="none"/>
                <w:u w:val="none"/>
                <w:lang w:val="en-US" w:eastAsia="zh-CN" w:bidi="ar"/>
              </w:rPr>
            </w:pPr>
            <w:r>
              <w:rPr>
                <w:rFonts w:hint="eastAsia" w:ascii="宋体" w:hAnsi="宋体" w:cs="宋体"/>
                <w:b/>
                <w:bCs/>
                <w:i w:val="0"/>
                <w:iCs w:val="0"/>
                <w:color w:val="000000"/>
                <w:kern w:val="0"/>
                <w:sz w:val="20"/>
                <w:szCs w:val="20"/>
                <w:highlight w:val="none"/>
                <w:u w:val="none"/>
                <w:lang w:val="en-US" w:eastAsia="zh-CN" w:bidi="ar"/>
              </w:rPr>
              <w:t>线材</w:t>
            </w:r>
          </w:p>
        </w:tc>
        <w:tc>
          <w:tcPr>
            <w:tcW w:w="5864" w:type="dxa"/>
            <w:vAlign w:val="center"/>
          </w:tcPr>
          <w:p w14:paraId="572C2CBE">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铜芯护套线RVV3*0.5，200米/卷</w:t>
            </w:r>
          </w:p>
        </w:tc>
        <w:tc>
          <w:tcPr>
            <w:tcW w:w="845" w:type="dxa"/>
            <w:gridSpan w:val="2"/>
            <w:vAlign w:val="center"/>
          </w:tcPr>
          <w:p w14:paraId="4972CBD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w:t>
            </w:r>
          </w:p>
        </w:tc>
        <w:tc>
          <w:tcPr>
            <w:tcW w:w="759" w:type="dxa"/>
            <w:gridSpan w:val="3"/>
            <w:vAlign w:val="center"/>
          </w:tcPr>
          <w:p w14:paraId="2B4C45A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卷</w:t>
            </w:r>
          </w:p>
        </w:tc>
        <w:tc>
          <w:tcPr>
            <w:tcW w:w="759" w:type="dxa"/>
            <w:vAlign w:val="center"/>
          </w:tcPr>
          <w:p w14:paraId="22FF529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否</w:t>
            </w:r>
          </w:p>
        </w:tc>
      </w:tr>
      <w:tr w14:paraId="732BC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4" w:type="dxa"/>
            <w:vAlign w:val="center"/>
          </w:tcPr>
          <w:p w14:paraId="1CC5061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17</w:t>
            </w:r>
          </w:p>
        </w:tc>
        <w:tc>
          <w:tcPr>
            <w:tcW w:w="1011" w:type="dxa"/>
            <w:vAlign w:val="center"/>
          </w:tcPr>
          <w:p w14:paraId="52E70F01">
            <w:pPr>
              <w:keepNext w:val="0"/>
              <w:keepLines w:val="0"/>
              <w:widowControl/>
              <w:suppressLineNumbers w:val="0"/>
              <w:jc w:val="both"/>
              <w:textAlignment w:val="center"/>
              <w:rPr>
                <w:rFonts w:hint="eastAsia" w:ascii="宋体" w:hAnsi="宋体" w:cs="宋体"/>
                <w:b/>
                <w:bCs/>
                <w:i w:val="0"/>
                <w:iCs w:val="0"/>
                <w:color w:val="000000"/>
                <w:kern w:val="0"/>
                <w:sz w:val="20"/>
                <w:szCs w:val="20"/>
                <w:highlight w:val="none"/>
                <w:u w:val="none"/>
                <w:lang w:val="en-US" w:eastAsia="zh-CN" w:bidi="ar"/>
              </w:rPr>
            </w:pPr>
            <w:r>
              <w:rPr>
                <w:rFonts w:hint="eastAsia" w:ascii="宋体" w:hAnsi="宋体" w:cs="宋体"/>
                <w:b/>
                <w:bCs/>
                <w:i w:val="0"/>
                <w:iCs w:val="0"/>
                <w:color w:val="000000"/>
                <w:kern w:val="0"/>
                <w:sz w:val="20"/>
                <w:szCs w:val="20"/>
                <w:highlight w:val="none"/>
                <w:u w:val="none"/>
                <w:lang w:val="en-US" w:eastAsia="zh-CN" w:bidi="ar"/>
              </w:rPr>
              <w:t>管材</w:t>
            </w:r>
          </w:p>
        </w:tc>
        <w:tc>
          <w:tcPr>
            <w:tcW w:w="5864" w:type="dxa"/>
            <w:vAlign w:val="center"/>
          </w:tcPr>
          <w:p w14:paraId="0A90A4E5">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JDG25/JDG32</w:t>
            </w:r>
          </w:p>
        </w:tc>
        <w:tc>
          <w:tcPr>
            <w:tcW w:w="845" w:type="dxa"/>
            <w:gridSpan w:val="2"/>
            <w:vAlign w:val="center"/>
          </w:tcPr>
          <w:p w14:paraId="63FC0D5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w:t>
            </w:r>
          </w:p>
        </w:tc>
        <w:tc>
          <w:tcPr>
            <w:tcW w:w="759" w:type="dxa"/>
            <w:gridSpan w:val="3"/>
            <w:vAlign w:val="center"/>
          </w:tcPr>
          <w:p w14:paraId="74C7FF2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批</w:t>
            </w:r>
          </w:p>
        </w:tc>
        <w:tc>
          <w:tcPr>
            <w:tcW w:w="759" w:type="dxa"/>
            <w:vAlign w:val="center"/>
          </w:tcPr>
          <w:p w14:paraId="5DA0202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否</w:t>
            </w:r>
          </w:p>
        </w:tc>
      </w:tr>
    </w:tbl>
    <w:p w14:paraId="3B267437">
      <w:pPr>
        <w:rPr>
          <w:rFonts w:hint="eastAsia"/>
          <w:lang w:eastAsia="zh-CN"/>
        </w:rPr>
      </w:pPr>
    </w:p>
    <w:p w14:paraId="2E1EE1D5">
      <w:pPr>
        <w:rPr>
          <w:color w:val="000000" w:themeColor="text1"/>
          <w14:textFill>
            <w14:solidFill>
              <w14:schemeClr w14:val="tx1"/>
            </w14:solidFill>
          </w14:textFill>
        </w:rPr>
      </w:pPr>
    </w:p>
    <w:p w14:paraId="6C07A092">
      <w:pPr>
        <w:bidi w:val="0"/>
        <w:spacing w:line="360" w:lineRule="auto"/>
        <w:rPr>
          <w:rFonts w:hint="eastAsia" w:ascii="宋体" w:hAnsi="宋体" w:eastAsia="宋体" w:cs="宋体"/>
          <w:b w:val="0"/>
          <w:bCs w:val="0"/>
          <w:color w:val="FF0000"/>
          <w:sz w:val="28"/>
          <w:szCs w:val="28"/>
          <w:lang w:eastAsia="zh-CN"/>
        </w:rPr>
      </w:pPr>
      <w:r>
        <w:rPr>
          <w:rFonts w:hint="eastAsia" w:ascii="宋体" w:hAnsi="宋体" w:eastAsia="宋体" w:cs="宋体"/>
          <w:b w:val="0"/>
          <w:bCs w:val="0"/>
          <w:color w:val="FF0000"/>
          <w:sz w:val="28"/>
          <w:szCs w:val="28"/>
          <w:lang w:eastAsia="zh-CN"/>
        </w:rPr>
        <w:t>注：</w:t>
      </w:r>
    </w:p>
    <w:p w14:paraId="1E765CBD">
      <w:pPr>
        <w:bidi w:val="0"/>
        <w:spacing w:line="360" w:lineRule="auto"/>
        <w:rPr>
          <w:rFonts w:hint="eastAsia" w:ascii="宋体" w:hAnsi="宋体" w:eastAsia="宋体" w:cs="宋体"/>
          <w:b w:val="0"/>
          <w:bCs w:val="0"/>
          <w:color w:val="FF0000"/>
          <w:sz w:val="28"/>
          <w:szCs w:val="28"/>
          <w:lang w:eastAsia="zh-CN"/>
        </w:rPr>
      </w:pPr>
      <w:r>
        <w:rPr>
          <w:rFonts w:hint="eastAsia" w:ascii="宋体" w:hAnsi="宋体" w:eastAsia="宋体" w:cs="宋体"/>
          <w:b w:val="0"/>
          <w:bCs w:val="0"/>
          <w:color w:val="FF0000"/>
          <w:sz w:val="28"/>
          <w:szCs w:val="28"/>
          <w:lang w:eastAsia="zh-CN"/>
        </w:rPr>
        <w:t>下述三项设备分项报价合计总额不得超过 10000 元，超出视为未响应实质性要求，投标无效！！！</w:t>
      </w:r>
    </w:p>
    <w:p w14:paraId="3DCBDF5F">
      <w:pPr>
        <w:bidi w:val="0"/>
        <w:spacing w:line="360" w:lineRule="auto"/>
        <w:rPr>
          <w:rFonts w:hint="eastAsia" w:ascii="宋体" w:hAnsi="宋体" w:eastAsia="宋体" w:cs="宋体"/>
          <w:b w:val="0"/>
          <w:bCs w:val="0"/>
          <w:color w:val="FF0000"/>
          <w:sz w:val="28"/>
          <w:szCs w:val="28"/>
          <w:lang w:eastAsia="zh-CN"/>
        </w:rPr>
      </w:pPr>
      <w:r>
        <w:rPr>
          <w:rFonts w:hint="eastAsia" w:ascii="宋体" w:hAnsi="宋体" w:eastAsia="宋体" w:cs="宋体"/>
          <w:b w:val="0"/>
          <w:bCs w:val="0"/>
          <w:color w:val="FF0000"/>
          <w:sz w:val="28"/>
          <w:szCs w:val="28"/>
          <w:lang w:eastAsia="zh-CN"/>
        </w:rPr>
        <w:t>第2项：数字会议系统—网络连接设备</w:t>
      </w:r>
      <w:r>
        <w:rPr>
          <w:rFonts w:hint="eastAsia" w:ascii="宋体" w:hAnsi="宋体" w:cs="宋体"/>
          <w:b w:val="0"/>
          <w:bCs w:val="0"/>
          <w:color w:val="FF0000"/>
          <w:sz w:val="28"/>
          <w:szCs w:val="28"/>
          <w:lang w:eastAsia="zh-CN"/>
        </w:rPr>
        <w:t>；</w:t>
      </w:r>
    </w:p>
    <w:p w14:paraId="325BE74C">
      <w:pPr>
        <w:bidi w:val="0"/>
        <w:spacing w:line="360" w:lineRule="auto"/>
        <w:rPr>
          <w:rFonts w:hint="eastAsia" w:ascii="宋体" w:hAnsi="宋体" w:eastAsia="宋体" w:cs="宋体"/>
          <w:b w:val="0"/>
          <w:bCs w:val="0"/>
          <w:color w:val="FF0000"/>
          <w:sz w:val="28"/>
          <w:szCs w:val="28"/>
          <w:lang w:eastAsia="zh-CN"/>
        </w:rPr>
      </w:pPr>
      <w:r>
        <w:rPr>
          <w:rFonts w:hint="eastAsia" w:ascii="宋体" w:hAnsi="宋体" w:eastAsia="宋体" w:cs="宋体"/>
          <w:b w:val="0"/>
          <w:bCs w:val="0"/>
          <w:color w:val="FF0000"/>
          <w:sz w:val="28"/>
          <w:szCs w:val="28"/>
          <w:lang w:eastAsia="zh-CN"/>
        </w:rPr>
        <w:t>第5项：中控管理系统—路由器</w:t>
      </w:r>
      <w:r>
        <w:rPr>
          <w:rFonts w:hint="eastAsia" w:ascii="宋体" w:hAnsi="宋体" w:cs="宋体"/>
          <w:b w:val="0"/>
          <w:bCs w:val="0"/>
          <w:color w:val="FF0000"/>
          <w:sz w:val="28"/>
          <w:szCs w:val="28"/>
          <w:lang w:eastAsia="zh-CN"/>
        </w:rPr>
        <w:t>；</w:t>
      </w:r>
    </w:p>
    <w:p w14:paraId="34941FCA">
      <w:pPr>
        <w:bidi w:val="0"/>
        <w:spacing w:line="360" w:lineRule="auto"/>
        <w:rPr>
          <w:rFonts w:hint="default" w:ascii="宋体" w:hAnsi="宋体" w:eastAsia="宋体" w:cs="宋体"/>
          <w:b w:val="0"/>
          <w:bCs w:val="0"/>
          <w:color w:val="FF0000"/>
          <w:sz w:val="28"/>
          <w:szCs w:val="28"/>
          <w:lang w:val="en-US" w:eastAsia="zh-CN"/>
        </w:rPr>
      </w:pPr>
      <w:r>
        <w:rPr>
          <w:rFonts w:hint="eastAsia" w:ascii="宋体" w:hAnsi="宋体" w:eastAsia="宋体" w:cs="宋体"/>
          <w:b w:val="0"/>
          <w:bCs w:val="0"/>
          <w:color w:val="FF0000"/>
          <w:sz w:val="28"/>
          <w:szCs w:val="28"/>
          <w:lang w:eastAsia="zh-CN"/>
        </w:rPr>
        <w:t>第9项的9.1周边配套设备：网络连接设备</w:t>
      </w:r>
      <w:r>
        <w:rPr>
          <w:rFonts w:hint="eastAsia" w:ascii="宋体" w:hAnsi="宋体" w:cs="宋体"/>
          <w:b w:val="0"/>
          <w:bCs w:val="0"/>
          <w:color w:val="FF0000"/>
          <w:sz w:val="28"/>
          <w:szCs w:val="28"/>
          <w:lang w:eastAsia="zh-CN"/>
        </w:rPr>
        <w:t>。</w:t>
      </w:r>
    </w:p>
    <w:sectPr>
      <w:footerReference r:id="rId8" w:type="default"/>
      <w:pgSz w:w="11906" w:h="16838"/>
      <w:pgMar w:top="1440" w:right="1080" w:bottom="1440" w:left="108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altName w:val="Calibri"/>
    <w:panose1 w:val="020F0302020204030204"/>
    <w:charset w:val="00"/>
    <w:family w:val="swiss"/>
    <w:pitch w:val="default"/>
    <w:sig w:usb0="00000000" w:usb1="00000000" w:usb2="00000009" w:usb3="00000000" w:csb0="200001FF" w:csb1="00000000"/>
  </w:font>
  <w:font w:name="Meiryo UI">
    <w:panose1 w:val="020B0604030504040204"/>
    <w:charset w:val="80"/>
    <w:family w:val="swiss"/>
    <w:pitch w:val="default"/>
    <w:sig w:usb0="E10102FF" w:usb1="EAC7FFFF" w:usb2="00010012" w:usb3="00000000" w:csb0="6002009F" w:csb1="DFD70000"/>
  </w:font>
  <w:font w:name="Segoe UI Symbol">
    <w:panose1 w:val="020B0502040204020203"/>
    <w:charset w:val="00"/>
    <w:family w:val="auto"/>
    <w:pitch w:val="default"/>
    <w:sig w:usb0="8000006F" w:usb1="1200FBEF" w:usb2="0064C000" w:usb3="00000002" w:csb0="00000001" w:csb1="40000000"/>
  </w:font>
  <w:font w:name="仿宋">
    <w:panose1 w:val="02010609060101010101"/>
    <w:charset w:val="86"/>
    <w:family w:val="modern"/>
    <w:pitch w:val="default"/>
    <w:sig w:usb0="800002BF" w:usb1="38CF7CFA" w:usb2="00000016" w:usb3="00000000" w:csb0="00040001" w:csb1="00000000"/>
  </w:font>
  <w:font w:name="华文行楷">
    <w:panose1 w:val="02010800040101010101"/>
    <w:charset w:val="86"/>
    <w:family w:val="auto"/>
    <w:pitch w:val="default"/>
    <w:sig w:usb0="00000001" w:usb1="080F0000" w:usb2="0000000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1B02DB">
    <w:pPr>
      <w:pStyle w:val="14"/>
      <w:framePr w:wrap="around" w:vAnchor="text" w:hAnchor="margin" w:xAlign="center" w:y="1"/>
      <w:rPr>
        <w:rStyle w:val="25"/>
      </w:rPr>
    </w:pPr>
    <w:r>
      <w:fldChar w:fldCharType="begin"/>
    </w:r>
    <w:r>
      <w:rPr>
        <w:rStyle w:val="25"/>
      </w:rPr>
      <w:instrText xml:space="preserve">PAGE  </w:instrText>
    </w:r>
    <w:r>
      <w:fldChar w:fldCharType="end"/>
    </w:r>
  </w:p>
  <w:p w14:paraId="46546808">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387AC1">
    <w:pPr>
      <w:pStyle w:val="8"/>
      <w:spacing w:line="14" w:lineRule="auto"/>
      <w:rPr>
        <w:sz w:val="1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4F9471">
    <w:pPr>
      <w:pStyle w:val="1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47F7A1">
                          <w:pPr>
                            <w:pStyle w:val="14"/>
                          </w:pPr>
                          <w:r>
                            <w:fldChar w:fldCharType="begin"/>
                          </w:r>
                          <w:r>
                            <w:instrText xml:space="preserve"> PAGE  \* MERGEFORMAT </w:instrText>
                          </w:r>
                          <w:r>
                            <w:fldChar w:fldCharType="separate"/>
                          </w:r>
                          <w:r>
                            <w:t>32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D47F7A1">
                    <w:pPr>
                      <w:pStyle w:val="14"/>
                    </w:pPr>
                    <w:r>
                      <w:fldChar w:fldCharType="begin"/>
                    </w:r>
                    <w:r>
                      <w:instrText xml:space="preserve"> PAGE  \* MERGEFORMAT </w:instrText>
                    </w:r>
                    <w:r>
                      <w:fldChar w:fldCharType="separate"/>
                    </w:r>
                    <w:r>
                      <w:t>32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DAE1FF">
    <w:pPr>
      <w:pStyle w:val="15"/>
      <w:jc w:val="right"/>
    </w:pPr>
    <w:r>
      <w:rPr>
        <w:rFonts w:hint="eastAsia"/>
      </w:rPr>
      <w:t>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1BDFD6">
    <w:pPr>
      <w:pStyle w:val="15"/>
      <w:pBdr>
        <w:bottom w:val="none" w:color="auto" w:sz="0" w:space="0"/>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F45BF9">
    <w:pPr>
      <w:pStyle w:val="15"/>
      <w:pBdr>
        <w:bottom w:val="none" w:color="auto" w:sz="0" w:space="0"/>
      </w:pBdr>
      <w:tabs>
        <w:tab w:val="left" w:pos="284"/>
        <w:tab w:val="clear" w:pos="4153"/>
        <w:tab w:val="clear" w:pos="8306"/>
      </w:tabs>
      <w:ind w:right="7920"/>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liZjQxYWQ3NGZjODZjMDc3ZjI0YWQ2MDU1NzlkNzMifQ=="/>
  </w:docVars>
  <w:rsids>
    <w:rsidRoot w:val="00DF5B0B"/>
    <w:rsid w:val="00000521"/>
    <w:rsid w:val="00026BA3"/>
    <w:rsid w:val="00031350"/>
    <w:rsid w:val="0003153E"/>
    <w:rsid w:val="00032049"/>
    <w:rsid w:val="0004217B"/>
    <w:rsid w:val="00047A19"/>
    <w:rsid w:val="00067E47"/>
    <w:rsid w:val="00070213"/>
    <w:rsid w:val="000854BB"/>
    <w:rsid w:val="000A4C98"/>
    <w:rsid w:val="000B7331"/>
    <w:rsid w:val="000E28EA"/>
    <w:rsid w:val="000F07CF"/>
    <w:rsid w:val="00105640"/>
    <w:rsid w:val="00162EB1"/>
    <w:rsid w:val="00167AA6"/>
    <w:rsid w:val="00177E57"/>
    <w:rsid w:val="001825F1"/>
    <w:rsid w:val="001B10BF"/>
    <w:rsid w:val="001E3AD2"/>
    <w:rsid w:val="001F255F"/>
    <w:rsid w:val="001F45CB"/>
    <w:rsid w:val="00205A7B"/>
    <w:rsid w:val="002074D0"/>
    <w:rsid w:val="00215BC0"/>
    <w:rsid w:val="00255EF8"/>
    <w:rsid w:val="002571FC"/>
    <w:rsid w:val="002768AA"/>
    <w:rsid w:val="0028266F"/>
    <w:rsid w:val="002A249A"/>
    <w:rsid w:val="002A2BF1"/>
    <w:rsid w:val="002A5597"/>
    <w:rsid w:val="002B74C4"/>
    <w:rsid w:val="002C42F6"/>
    <w:rsid w:val="002D0865"/>
    <w:rsid w:val="00303AF8"/>
    <w:rsid w:val="00317171"/>
    <w:rsid w:val="0032543E"/>
    <w:rsid w:val="00354027"/>
    <w:rsid w:val="00354F18"/>
    <w:rsid w:val="00364F6F"/>
    <w:rsid w:val="00366DEF"/>
    <w:rsid w:val="00394234"/>
    <w:rsid w:val="003C0ED1"/>
    <w:rsid w:val="003D4A97"/>
    <w:rsid w:val="00420AC2"/>
    <w:rsid w:val="004233DA"/>
    <w:rsid w:val="00443EBD"/>
    <w:rsid w:val="00494098"/>
    <w:rsid w:val="00495D10"/>
    <w:rsid w:val="004978F8"/>
    <w:rsid w:val="004A021C"/>
    <w:rsid w:val="004B4750"/>
    <w:rsid w:val="004C2C5A"/>
    <w:rsid w:val="004C669D"/>
    <w:rsid w:val="004E4BAE"/>
    <w:rsid w:val="004F565C"/>
    <w:rsid w:val="004F7FA5"/>
    <w:rsid w:val="0050269C"/>
    <w:rsid w:val="005248BC"/>
    <w:rsid w:val="0053036D"/>
    <w:rsid w:val="005316AB"/>
    <w:rsid w:val="005801C0"/>
    <w:rsid w:val="00581B46"/>
    <w:rsid w:val="005B0F97"/>
    <w:rsid w:val="005B3865"/>
    <w:rsid w:val="005C61BB"/>
    <w:rsid w:val="005D4E4A"/>
    <w:rsid w:val="005F5722"/>
    <w:rsid w:val="0061264E"/>
    <w:rsid w:val="00627D1C"/>
    <w:rsid w:val="00640F9F"/>
    <w:rsid w:val="0064352F"/>
    <w:rsid w:val="00681D50"/>
    <w:rsid w:val="00690B31"/>
    <w:rsid w:val="006A477E"/>
    <w:rsid w:val="006D021D"/>
    <w:rsid w:val="006E2E27"/>
    <w:rsid w:val="00740063"/>
    <w:rsid w:val="00744AFF"/>
    <w:rsid w:val="007452B0"/>
    <w:rsid w:val="007507D3"/>
    <w:rsid w:val="00757F57"/>
    <w:rsid w:val="00764FC5"/>
    <w:rsid w:val="00775948"/>
    <w:rsid w:val="00777F63"/>
    <w:rsid w:val="00797A85"/>
    <w:rsid w:val="007A3CA8"/>
    <w:rsid w:val="007B478A"/>
    <w:rsid w:val="007B7B3F"/>
    <w:rsid w:val="007C66D6"/>
    <w:rsid w:val="007C6886"/>
    <w:rsid w:val="007D626E"/>
    <w:rsid w:val="00800D0D"/>
    <w:rsid w:val="00843D9B"/>
    <w:rsid w:val="00850E32"/>
    <w:rsid w:val="00877AA6"/>
    <w:rsid w:val="008B313A"/>
    <w:rsid w:val="008F5CF1"/>
    <w:rsid w:val="0092509D"/>
    <w:rsid w:val="00944A15"/>
    <w:rsid w:val="009564EB"/>
    <w:rsid w:val="00964840"/>
    <w:rsid w:val="00965A2F"/>
    <w:rsid w:val="009F55B0"/>
    <w:rsid w:val="00A00229"/>
    <w:rsid w:val="00A11A68"/>
    <w:rsid w:val="00A23D32"/>
    <w:rsid w:val="00A660E2"/>
    <w:rsid w:val="00A82403"/>
    <w:rsid w:val="00AB1B17"/>
    <w:rsid w:val="00AB70A3"/>
    <w:rsid w:val="00AC6E05"/>
    <w:rsid w:val="00AD47CE"/>
    <w:rsid w:val="00AD4DDE"/>
    <w:rsid w:val="00AF0DDE"/>
    <w:rsid w:val="00B305DB"/>
    <w:rsid w:val="00B37A1A"/>
    <w:rsid w:val="00B47B1D"/>
    <w:rsid w:val="00B67615"/>
    <w:rsid w:val="00B72C4D"/>
    <w:rsid w:val="00B772F1"/>
    <w:rsid w:val="00B84A77"/>
    <w:rsid w:val="00BC71F4"/>
    <w:rsid w:val="00BE0AA1"/>
    <w:rsid w:val="00BE4E4C"/>
    <w:rsid w:val="00C04CE1"/>
    <w:rsid w:val="00C14DEF"/>
    <w:rsid w:val="00C15BD8"/>
    <w:rsid w:val="00C23685"/>
    <w:rsid w:val="00C37C81"/>
    <w:rsid w:val="00C549D4"/>
    <w:rsid w:val="00C573CD"/>
    <w:rsid w:val="00C6567F"/>
    <w:rsid w:val="00C77A08"/>
    <w:rsid w:val="00C837FC"/>
    <w:rsid w:val="00C924B3"/>
    <w:rsid w:val="00C960A4"/>
    <w:rsid w:val="00CE0CA3"/>
    <w:rsid w:val="00CF7A33"/>
    <w:rsid w:val="00D53A25"/>
    <w:rsid w:val="00D54358"/>
    <w:rsid w:val="00D5538F"/>
    <w:rsid w:val="00D62E57"/>
    <w:rsid w:val="00D67096"/>
    <w:rsid w:val="00D67595"/>
    <w:rsid w:val="00D72254"/>
    <w:rsid w:val="00D73F17"/>
    <w:rsid w:val="00D7497B"/>
    <w:rsid w:val="00D80098"/>
    <w:rsid w:val="00D84A43"/>
    <w:rsid w:val="00D961F9"/>
    <w:rsid w:val="00DA6E06"/>
    <w:rsid w:val="00DB76B8"/>
    <w:rsid w:val="00DC1506"/>
    <w:rsid w:val="00DC6AB1"/>
    <w:rsid w:val="00DC6D25"/>
    <w:rsid w:val="00DD6912"/>
    <w:rsid w:val="00DF448A"/>
    <w:rsid w:val="00DF5B0B"/>
    <w:rsid w:val="00E034A1"/>
    <w:rsid w:val="00E15BDD"/>
    <w:rsid w:val="00E1620A"/>
    <w:rsid w:val="00E209B8"/>
    <w:rsid w:val="00E331F9"/>
    <w:rsid w:val="00E46D92"/>
    <w:rsid w:val="00E47920"/>
    <w:rsid w:val="00E50170"/>
    <w:rsid w:val="00E62F9D"/>
    <w:rsid w:val="00E811A5"/>
    <w:rsid w:val="00EA6807"/>
    <w:rsid w:val="00EB21B9"/>
    <w:rsid w:val="00ED25AD"/>
    <w:rsid w:val="00F058C2"/>
    <w:rsid w:val="00F468FE"/>
    <w:rsid w:val="00F549B7"/>
    <w:rsid w:val="00F943FC"/>
    <w:rsid w:val="00FB2D8A"/>
    <w:rsid w:val="00FC617A"/>
    <w:rsid w:val="00FF1E51"/>
    <w:rsid w:val="01A26771"/>
    <w:rsid w:val="04FB3D68"/>
    <w:rsid w:val="051B6ABC"/>
    <w:rsid w:val="057C552B"/>
    <w:rsid w:val="06A52757"/>
    <w:rsid w:val="06A61747"/>
    <w:rsid w:val="09B46B8F"/>
    <w:rsid w:val="09F132EA"/>
    <w:rsid w:val="0A1A2AD5"/>
    <w:rsid w:val="0A884A60"/>
    <w:rsid w:val="0AE06C52"/>
    <w:rsid w:val="0AE72D04"/>
    <w:rsid w:val="0D251F9D"/>
    <w:rsid w:val="0D3C254C"/>
    <w:rsid w:val="0DC26A63"/>
    <w:rsid w:val="0E5C6130"/>
    <w:rsid w:val="0ED80288"/>
    <w:rsid w:val="0F7C2B49"/>
    <w:rsid w:val="102D2316"/>
    <w:rsid w:val="11D64215"/>
    <w:rsid w:val="15A309DC"/>
    <w:rsid w:val="163F2CF9"/>
    <w:rsid w:val="16CF2F33"/>
    <w:rsid w:val="190D739F"/>
    <w:rsid w:val="19E679C4"/>
    <w:rsid w:val="1C2E0184"/>
    <w:rsid w:val="1C57790E"/>
    <w:rsid w:val="1C9A0C60"/>
    <w:rsid w:val="1E5D655D"/>
    <w:rsid w:val="207F2647"/>
    <w:rsid w:val="20A64565"/>
    <w:rsid w:val="217D4492"/>
    <w:rsid w:val="220F4650"/>
    <w:rsid w:val="22A15F6F"/>
    <w:rsid w:val="23E45DF0"/>
    <w:rsid w:val="24CD2851"/>
    <w:rsid w:val="251B2BA7"/>
    <w:rsid w:val="26D02350"/>
    <w:rsid w:val="272A11D3"/>
    <w:rsid w:val="273C1351"/>
    <w:rsid w:val="27BB0366"/>
    <w:rsid w:val="28F22217"/>
    <w:rsid w:val="2A000F1D"/>
    <w:rsid w:val="2A426494"/>
    <w:rsid w:val="2C040A80"/>
    <w:rsid w:val="2C13581B"/>
    <w:rsid w:val="2F4A3E20"/>
    <w:rsid w:val="312B28BA"/>
    <w:rsid w:val="31931765"/>
    <w:rsid w:val="31D93074"/>
    <w:rsid w:val="326054FA"/>
    <w:rsid w:val="33883169"/>
    <w:rsid w:val="33935522"/>
    <w:rsid w:val="33A3246C"/>
    <w:rsid w:val="36853990"/>
    <w:rsid w:val="37CF5A51"/>
    <w:rsid w:val="37D5281F"/>
    <w:rsid w:val="386E2DF5"/>
    <w:rsid w:val="3905525C"/>
    <w:rsid w:val="39445D84"/>
    <w:rsid w:val="39B8407C"/>
    <w:rsid w:val="3B9E52A3"/>
    <w:rsid w:val="3C320116"/>
    <w:rsid w:val="3DA93037"/>
    <w:rsid w:val="3DDB6B7F"/>
    <w:rsid w:val="3E063AC3"/>
    <w:rsid w:val="3E134DA3"/>
    <w:rsid w:val="3E4747AC"/>
    <w:rsid w:val="3E6B458B"/>
    <w:rsid w:val="3E8B6203"/>
    <w:rsid w:val="3FC97621"/>
    <w:rsid w:val="3FE745AF"/>
    <w:rsid w:val="40037DBD"/>
    <w:rsid w:val="400C551E"/>
    <w:rsid w:val="402E5098"/>
    <w:rsid w:val="40CC6B1F"/>
    <w:rsid w:val="40F13C24"/>
    <w:rsid w:val="411032CB"/>
    <w:rsid w:val="41962EF5"/>
    <w:rsid w:val="42321C18"/>
    <w:rsid w:val="42477F39"/>
    <w:rsid w:val="430E3FBE"/>
    <w:rsid w:val="43736DBA"/>
    <w:rsid w:val="43F403A7"/>
    <w:rsid w:val="44463EBA"/>
    <w:rsid w:val="466D47D6"/>
    <w:rsid w:val="47B51FB9"/>
    <w:rsid w:val="48FC057F"/>
    <w:rsid w:val="49CB0A20"/>
    <w:rsid w:val="4A1346CF"/>
    <w:rsid w:val="4B5F69AD"/>
    <w:rsid w:val="4D525001"/>
    <w:rsid w:val="4E5C487A"/>
    <w:rsid w:val="510A745C"/>
    <w:rsid w:val="513A613C"/>
    <w:rsid w:val="5204289F"/>
    <w:rsid w:val="522B7478"/>
    <w:rsid w:val="525E6B01"/>
    <w:rsid w:val="52856670"/>
    <w:rsid w:val="533C0389"/>
    <w:rsid w:val="541A5C08"/>
    <w:rsid w:val="553B3647"/>
    <w:rsid w:val="5642720A"/>
    <w:rsid w:val="56931F4A"/>
    <w:rsid w:val="58A40E4A"/>
    <w:rsid w:val="5A380B96"/>
    <w:rsid w:val="5A525F59"/>
    <w:rsid w:val="5AF33D2F"/>
    <w:rsid w:val="5B1F58B2"/>
    <w:rsid w:val="5B423ACD"/>
    <w:rsid w:val="5DDA06E8"/>
    <w:rsid w:val="5F313E05"/>
    <w:rsid w:val="602542FD"/>
    <w:rsid w:val="602E29D0"/>
    <w:rsid w:val="605E6679"/>
    <w:rsid w:val="625C1559"/>
    <w:rsid w:val="63721D0E"/>
    <w:rsid w:val="64116075"/>
    <w:rsid w:val="64343281"/>
    <w:rsid w:val="64AB7FC7"/>
    <w:rsid w:val="65DD6A95"/>
    <w:rsid w:val="67B16388"/>
    <w:rsid w:val="6988389A"/>
    <w:rsid w:val="6A5167DD"/>
    <w:rsid w:val="6A75729C"/>
    <w:rsid w:val="6B7F12E5"/>
    <w:rsid w:val="6D315BAE"/>
    <w:rsid w:val="6D3423E8"/>
    <w:rsid w:val="6E7F08CB"/>
    <w:rsid w:val="6E846C45"/>
    <w:rsid w:val="714D63CB"/>
    <w:rsid w:val="75C438F9"/>
    <w:rsid w:val="76D2392D"/>
    <w:rsid w:val="789F7357"/>
    <w:rsid w:val="7916237E"/>
    <w:rsid w:val="7A321E45"/>
    <w:rsid w:val="7ADC4023"/>
    <w:rsid w:val="7ADC7B9B"/>
    <w:rsid w:val="7C0F7407"/>
    <w:rsid w:val="7C484810"/>
    <w:rsid w:val="7CA852AF"/>
    <w:rsid w:val="7CF624BE"/>
    <w:rsid w:val="7D0D27F8"/>
    <w:rsid w:val="7D5D2301"/>
    <w:rsid w:val="7FC814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120" w:after="120" w:line="360" w:lineRule="auto"/>
      <w:outlineLvl w:val="0"/>
    </w:pPr>
    <w:rPr>
      <w:rFonts w:ascii="Calibri" w:hAnsi="Calibri" w:cs="宋体"/>
      <w:b/>
      <w:bCs/>
      <w:kern w:val="44"/>
      <w:sz w:val="30"/>
      <w:szCs w:val="44"/>
    </w:rPr>
  </w:style>
  <w:style w:type="paragraph" w:styleId="3">
    <w:name w:val="heading 2"/>
    <w:basedOn w:val="1"/>
    <w:next w:val="1"/>
    <w:qFormat/>
    <w:uiPriority w:val="0"/>
    <w:pPr>
      <w:keepNext/>
      <w:keepLines/>
      <w:spacing w:before="260" w:after="260" w:line="413" w:lineRule="auto"/>
      <w:jc w:val="center"/>
      <w:outlineLvl w:val="1"/>
    </w:pPr>
    <w:rPr>
      <w:rFonts w:ascii="Arial" w:hAnsi="Arial"/>
      <w:b/>
      <w:sz w:val="32"/>
    </w:rPr>
  </w:style>
  <w:style w:type="paragraph" w:styleId="4">
    <w:name w:val="heading 3"/>
    <w:basedOn w:val="1"/>
    <w:next w:val="1"/>
    <w:qFormat/>
    <w:uiPriority w:val="0"/>
    <w:pPr>
      <w:keepNext/>
      <w:keepLines/>
      <w:spacing w:before="260" w:after="260" w:line="413" w:lineRule="auto"/>
      <w:outlineLvl w:val="2"/>
    </w:pPr>
    <w:rPr>
      <w:b/>
      <w:sz w:val="32"/>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5">
    <w:name w:val="index 8"/>
    <w:basedOn w:val="1"/>
    <w:next w:val="1"/>
    <w:qFormat/>
    <w:uiPriority w:val="0"/>
    <w:pPr>
      <w:ind w:left="1400" w:leftChars="1400"/>
    </w:pPr>
  </w:style>
  <w:style w:type="paragraph" w:styleId="6">
    <w:name w:val="Normal Indent"/>
    <w:basedOn w:val="1"/>
    <w:qFormat/>
    <w:uiPriority w:val="0"/>
    <w:pPr>
      <w:spacing w:before="60" w:after="60" w:line="440" w:lineRule="exact"/>
      <w:ind w:right="-8" w:rightChars="-4" w:firstLine="490" w:firstLineChars="204"/>
    </w:pPr>
    <w:rPr>
      <w:bCs/>
      <w:color w:val="000000"/>
      <w:sz w:val="24"/>
      <w:szCs w:val="20"/>
    </w:rPr>
  </w:style>
  <w:style w:type="paragraph" w:styleId="7">
    <w:name w:val="Body Text 3"/>
    <w:basedOn w:val="1"/>
    <w:qFormat/>
    <w:uiPriority w:val="0"/>
    <w:rPr>
      <w:rFonts w:hAnsi="Calibri"/>
      <w:sz w:val="24"/>
      <w:szCs w:val="20"/>
    </w:rPr>
  </w:style>
  <w:style w:type="paragraph" w:styleId="8">
    <w:name w:val="Body Text"/>
    <w:basedOn w:val="1"/>
    <w:qFormat/>
    <w:uiPriority w:val="0"/>
    <w:rPr>
      <w:rFonts w:ascii="Calibri" w:hAnsi="Calibri"/>
      <w:szCs w:val="21"/>
    </w:rPr>
  </w:style>
  <w:style w:type="paragraph" w:styleId="9">
    <w:name w:val="Body Text Indent"/>
    <w:basedOn w:val="1"/>
    <w:semiHidden/>
    <w:unhideWhenUsed/>
    <w:qFormat/>
    <w:uiPriority w:val="99"/>
    <w:pPr>
      <w:spacing w:after="120"/>
      <w:ind w:left="420" w:leftChars="200"/>
    </w:pPr>
  </w:style>
  <w:style w:type="paragraph" w:styleId="10">
    <w:name w:val="toc 3"/>
    <w:basedOn w:val="1"/>
    <w:next w:val="1"/>
    <w:qFormat/>
    <w:uiPriority w:val="39"/>
    <w:pPr>
      <w:ind w:left="840" w:leftChars="400"/>
    </w:pPr>
  </w:style>
  <w:style w:type="paragraph" w:styleId="11">
    <w:name w:val="Plain Text"/>
    <w:basedOn w:val="1"/>
    <w:link w:val="36"/>
    <w:qFormat/>
    <w:uiPriority w:val="0"/>
    <w:rPr>
      <w:rFonts w:ascii="宋体" w:hAnsi="Courier New" w:cs="Courier New"/>
      <w:szCs w:val="21"/>
    </w:rPr>
  </w:style>
  <w:style w:type="paragraph" w:styleId="12">
    <w:name w:val="Body Text Indent 2"/>
    <w:basedOn w:val="1"/>
    <w:link w:val="39"/>
    <w:qFormat/>
    <w:uiPriority w:val="0"/>
    <w:pPr>
      <w:spacing w:after="120" w:line="480" w:lineRule="auto"/>
      <w:ind w:left="420" w:leftChars="200"/>
    </w:pPr>
    <w:rPr>
      <w:rFonts w:asciiTheme="minorHAnsi" w:hAnsiTheme="minorHAnsi" w:cstheme="minorBidi"/>
    </w:rPr>
  </w:style>
  <w:style w:type="paragraph" w:styleId="13">
    <w:name w:val="Balloon Text"/>
    <w:basedOn w:val="1"/>
    <w:link w:val="33"/>
    <w:qFormat/>
    <w:uiPriority w:val="0"/>
    <w:rPr>
      <w:sz w:val="18"/>
      <w:szCs w:val="18"/>
    </w:rPr>
  </w:style>
  <w:style w:type="paragraph" w:styleId="14">
    <w:name w:val="footer"/>
    <w:basedOn w:val="1"/>
    <w:link w:val="35"/>
    <w:qFormat/>
    <w:uiPriority w:val="99"/>
    <w:pPr>
      <w:tabs>
        <w:tab w:val="center" w:pos="4153"/>
        <w:tab w:val="right" w:pos="8306"/>
      </w:tabs>
      <w:snapToGrid w:val="0"/>
      <w:jc w:val="left"/>
    </w:pPr>
    <w:rPr>
      <w:sz w:val="18"/>
      <w:szCs w:val="18"/>
    </w:rPr>
  </w:style>
  <w:style w:type="paragraph" w:styleId="1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39"/>
  </w:style>
  <w:style w:type="paragraph" w:styleId="17">
    <w:name w:val="toc 2"/>
    <w:basedOn w:val="1"/>
    <w:next w:val="1"/>
    <w:qFormat/>
    <w:uiPriority w:val="39"/>
    <w:pPr>
      <w:ind w:left="420" w:leftChars="200"/>
    </w:pPr>
  </w:style>
  <w:style w:type="paragraph" w:styleId="18">
    <w:name w:val="Body Text 2"/>
    <w:basedOn w:val="1"/>
    <w:qFormat/>
    <w:uiPriority w:val="0"/>
    <w:pPr>
      <w:adjustRightInd w:val="0"/>
      <w:snapToGrid w:val="0"/>
      <w:jc w:val="center"/>
    </w:pPr>
    <w:rPr>
      <w:rFonts w:ascii="宋体" w:hAnsi="宋体"/>
      <w:color w:val="000000"/>
      <w:kern w:val="0"/>
      <w:sz w:val="24"/>
    </w:rPr>
  </w:style>
  <w:style w:type="paragraph" w:styleId="19">
    <w:name w:val="Normal (Web)"/>
    <w:basedOn w:val="1"/>
    <w:qFormat/>
    <w:uiPriority w:val="0"/>
    <w:pPr>
      <w:spacing w:beforeAutospacing="1" w:after="100" w:afterAutospacing="1"/>
    </w:pPr>
    <w:rPr>
      <w:rFonts w:ascii="Calibri" w:hAnsi="Calibri"/>
      <w:sz w:val="24"/>
    </w:rPr>
  </w:style>
  <w:style w:type="paragraph" w:styleId="20">
    <w:name w:val="Body Text First Indent 2"/>
    <w:basedOn w:val="9"/>
    <w:qFormat/>
    <w:uiPriority w:val="0"/>
    <w:pPr>
      <w:ind w:firstLine="420" w:firstLineChars="200"/>
    </w:pPr>
  </w:style>
  <w:style w:type="table" w:styleId="22">
    <w:name w:val="Table Grid"/>
    <w:basedOn w:val="21"/>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Strong"/>
    <w:basedOn w:val="23"/>
    <w:qFormat/>
    <w:uiPriority w:val="0"/>
    <w:rPr>
      <w:b/>
    </w:rPr>
  </w:style>
  <w:style w:type="character" w:styleId="25">
    <w:name w:val="page number"/>
    <w:qFormat/>
    <w:uiPriority w:val="0"/>
  </w:style>
  <w:style w:type="character" w:styleId="26">
    <w:name w:val="Hyperlink"/>
    <w:qFormat/>
    <w:uiPriority w:val="99"/>
    <w:rPr>
      <w:color w:val="0000FF"/>
      <w:u w:val="single"/>
    </w:rPr>
  </w:style>
  <w:style w:type="character" w:styleId="27">
    <w:name w:val="annotation reference"/>
    <w:qFormat/>
    <w:uiPriority w:val="0"/>
    <w:rPr>
      <w:sz w:val="21"/>
      <w:szCs w:val="21"/>
    </w:rPr>
  </w:style>
  <w:style w:type="paragraph" w:customStyle="1" w:styleId="28">
    <w:name w:val="标书正文1"/>
    <w:basedOn w:val="1"/>
    <w:qFormat/>
    <w:uiPriority w:val="0"/>
    <w:pPr>
      <w:spacing w:line="520" w:lineRule="exact"/>
      <w:ind w:firstLine="640" w:firstLineChars="200"/>
    </w:pPr>
    <w:rPr>
      <w:rFonts w:ascii="Calibri" w:hAnsi="Calibri"/>
    </w:rPr>
  </w:style>
  <w:style w:type="paragraph" w:customStyle="1" w:styleId="29">
    <w:name w:val="正文_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0">
    <w:name w:val="Table Paragraph"/>
    <w:basedOn w:val="1"/>
    <w:qFormat/>
    <w:uiPriority w:val="1"/>
    <w:rPr>
      <w:rFonts w:ascii="Calibri" w:hAnsi="Calibri"/>
    </w:rPr>
  </w:style>
  <w:style w:type="character" w:customStyle="1" w:styleId="31">
    <w:name w:val="p121"/>
    <w:basedOn w:val="23"/>
    <w:qFormat/>
    <w:uiPriority w:val="0"/>
  </w:style>
  <w:style w:type="paragraph" w:customStyle="1" w:styleId="32">
    <w:name w:val="1正文"/>
    <w:basedOn w:val="1"/>
    <w:qFormat/>
    <w:uiPriority w:val="0"/>
    <w:pPr>
      <w:widowControl/>
      <w:tabs>
        <w:tab w:val="left" w:pos="377"/>
      </w:tabs>
      <w:spacing w:beforeLines="10" w:afterLines="10" w:line="360" w:lineRule="auto"/>
      <w:ind w:firstLine="200" w:firstLineChars="200"/>
      <w:jc w:val="left"/>
      <w:textAlignment w:val="baseline"/>
    </w:pPr>
    <w:rPr>
      <w:kern w:val="0"/>
      <w:sz w:val="24"/>
      <w:szCs w:val="20"/>
    </w:rPr>
  </w:style>
  <w:style w:type="character" w:customStyle="1" w:styleId="33">
    <w:name w:val="批注框文本 Char"/>
    <w:basedOn w:val="23"/>
    <w:link w:val="13"/>
    <w:qFormat/>
    <w:uiPriority w:val="0"/>
    <w:rPr>
      <w:kern w:val="2"/>
      <w:sz w:val="18"/>
      <w:szCs w:val="18"/>
    </w:rPr>
  </w:style>
  <w:style w:type="paragraph" w:styleId="34">
    <w:name w:val="List Paragraph"/>
    <w:basedOn w:val="1"/>
    <w:unhideWhenUsed/>
    <w:qFormat/>
    <w:uiPriority w:val="99"/>
    <w:pPr>
      <w:ind w:firstLine="420" w:firstLineChars="200"/>
    </w:pPr>
  </w:style>
  <w:style w:type="character" w:customStyle="1" w:styleId="35">
    <w:name w:val="页脚 Char"/>
    <w:basedOn w:val="23"/>
    <w:link w:val="14"/>
    <w:qFormat/>
    <w:uiPriority w:val="99"/>
    <w:rPr>
      <w:kern w:val="2"/>
      <w:sz w:val="18"/>
      <w:szCs w:val="18"/>
    </w:rPr>
  </w:style>
  <w:style w:type="character" w:customStyle="1" w:styleId="36">
    <w:name w:val="纯文本 Char"/>
    <w:link w:val="11"/>
    <w:qFormat/>
    <w:uiPriority w:val="0"/>
    <w:rPr>
      <w:rFonts w:ascii="宋体" w:hAnsi="Courier New" w:cs="Courier New"/>
      <w:kern w:val="2"/>
      <w:sz w:val="21"/>
      <w:szCs w:val="21"/>
    </w:rPr>
  </w:style>
  <w:style w:type="paragraph" w:customStyle="1" w:styleId="37">
    <w:name w:val="TOC 标题1"/>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2E54A1" w:themeColor="accent1" w:themeShade="BF"/>
      <w:kern w:val="0"/>
      <w:sz w:val="28"/>
      <w:szCs w:val="28"/>
    </w:rPr>
  </w:style>
  <w:style w:type="paragraph" w:customStyle="1" w:styleId="38">
    <w:name w:val="Normal_0"/>
    <w:qFormat/>
    <w:uiPriority w:val="0"/>
    <w:pPr>
      <w:widowControl w:val="0"/>
      <w:jc w:val="both"/>
    </w:pPr>
    <w:rPr>
      <w:rFonts w:ascii="Calibri" w:hAnsi="Calibri" w:eastAsia="宋体" w:cs="Times New Roman"/>
      <w:lang w:val="en-US" w:eastAsia="zh-CN" w:bidi="ar-SA"/>
    </w:rPr>
  </w:style>
  <w:style w:type="character" w:customStyle="1" w:styleId="39">
    <w:name w:val="正文文本缩进 2 Char"/>
    <w:basedOn w:val="23"/>
    <w:link w:val="12"/>
    <w:qFormat/>
    <w:uiPriority w:val="0"/>
    <w:rPr>
      <w:rFonts w:asciiTheme="minorHAnsi" w:hAnsiTheme="minorHAnsi" w:cstheme="minorBidi"/>
      <w:kern w:val="2"/>
      <w:sz w:val="21"/>
      <w:szCs w:val="24"/>
    </w:rPr>
  </w:style>
  <w:style w:type="character" w:customStyle="1" w:styleId="40">
    <w:name w:val="font21"/>
    <w:basedOn w:val="23"/>
    <w:qFormat/>
    <w:uiPriority w:val="0"/>
    <w:rPr>
      <w:rFonts w:hint="eastAsia" w:ascii="宋体" w:hAnsi="宋体" w:eastAsia="宋体" w:cs="宋体"/>
      <w:color w:val="000000"/>
      <w:sz w:val="20"/>
      <w:szCs w:val="20"/>
      <w:u w:val="none"/>
    </w:rPr>
  </w:style>
  <w:style w:type="character" w:customStyle="1" w:styleId="41">
    <w:name w:val="font41"/>
    <w:basedOn w:val="23"/>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585393D-A4DB-48E9-BEC0-939FB2A690A2}">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84</Pages>
  <Words>46179</Words>
  <Characters>50688</Characters>
  <Lines>153</Lines>
  <Paragraphs>43</Paragraphs>
  <TotalTime>23</TotalTime>
  <ScaleCrop>false</ScaleCrop>
  <LinksUpToDate>false</LinksUpToDate>
  <CharactersWithSpaces>52805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2024-08-12T01:31:00Z</dcterms:created>
  <dc:creator>lenovo</dc:creator>
  <cp:lastModifiedBy>Nayoah</cp:lastModifiedBy>
  <cp:lastPrinted>2025-10-31T08:23:00Z</cp:lastPrinted>
  <dcterms:modified xsi:type="dcterms:W3CDTF">2026-08-03T01:58:31Z</dcterms:modified>
  <cp:revision>99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EEB6E7B6DEE54E52A6030836B9BF6117_13</vt:lpwstr>
  </property>
  <property fmtid="{D5CDD505-2E9C-101B-9397-08002B2CF9AE}" pid="4" name="KSOTemplateDocerSaveRecord">
    <vt:lpwstr>eyJoZGlkIjoiNDc1MGQwZWJlZGFiMDA2OWUwZjI3MTU2YjZjMzg4ZTciLCJ1c2VySWQiOiI5MjExMDk5NDQifQ==</vt:lpwstr>
  </property>
</Properties>
</file>