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  <w:ind w:firstLine="0"/>
        <w:rPr>
          <w:rFonts w:ascii="Times New Roman" w:eastAsia="方正黑体_GBK" w:cs="Times New Roman" w:hAnsi="Times New Roman"/>
          <w:sz w:val="32"/>
          <w:szCs w:val="32"/>
          <w:lang w:bidi="ar-SA"/>
        </w:rPr>
      </w:pPr>
      <w:bookmarkStart w:id="0" w:name="_GoBack"/>
      <w:bookmarkEnd w:id="0"/>
      <w:r>
        <w:rPr>
          <w:rFonts w:ascii="Times New Roman" w:eastAsia="方正黑体_GBK" w:cs="Times New Roman" w:hAnsi="Times New Roman"/>
          <w:sz w:val="32"/>
          <w:szCs w:val="32"/>
          <w:lang w:bidi="ar-SA"/>
        </w:rPr>
        <w:t>附件1</w:t>
      </w:r>
    </w:p>
    <w:p>
      <w:pPr>
        <w:pStyle w:val="16"/>
        <w:spacing w:line="560" w:lineRule="exact"/>
        <w:jc w:val="center"/>
        <w:rPr>
          <w:rFonts w:ascii="Times New Roman" w:eastAsia="方正小标宋_GBK" w:cs="Times New Roman" w:hAnsi="Times New Roman"/>
          <w:sz w:val="44"/>
          <w:szCs w:val="44"/>
          <w:lang w:bidi="ar-SA"/>
        </w:rPr>
      </w:pPr>
      <w:r>
        <w:rPr>
          <w:rFonts w:ascii="Times New Roman" w:eastAsia="方正小标宋_GBK" w:cs="Times New Roman" w:hAnsi="Times New Roman"/>
          <w:sz w:val="44"/>
          <w:szCs w:val="44"/>
          <w:lang w:bidi="ar-SA"/>
        </w:rPr>
        <w:t>比选采购需求书</w:t>
      </w:r>
    </w:p>
    <w:tbl>
      <w:tblPr>
        <w:jc w:val="center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楷体_GBK" w:cs="Times New Roman" w:hAnsi="Times New Roman"/>
                <w:sz w:val="32"/>
                <w:szCs w:val="32"/>
                <w:lang w:bidi="ar-SA"/>
              </w:rPr>
              <w:t>基础信息栏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项目名称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东乌海关</w:t>
            </w:r>
            <w:r>
              <w:rPr>
                <w:rFonts w:ascii="Times New Roman" w:eastAsia="方正仿宋_GBK" w:cs="方正仿宋_GBK" w:hAnsi="Times New Roman"/>
                <w:sz w:val="32"/>
                <w:szCs w:val="32"/>
              </w:rPr>
              <w:t>红外体温监测设备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采购项目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需求部门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20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中华人民共和国东乌海关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采购预算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21"/>
              <w:spacing w:line="560" w:lineRule="exact"/>
              <w:jc w:val="center"/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  <w:t>14.3万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审批文件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spacing w:line="560" w:lineRule="exact"/>
              <w:jc w:val="center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——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经费来源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spacing w:line="560" w:lineRule="exact"/>
              <w:jc w:val="center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财政拨款</w:t>
            </w: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评审方法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400" w:lineRule="exact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bidi="ar-SA"/>
              </w:rPr>
              <w:t>√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最低价法</w:t>
            </w:r>
          </w:p>
          <w:p>
            <w:pPr>
              <w:pStyle w:val="16"/>
              <w:spacing w:line="400" w:lineRule="exact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sym w:font="Wingdings 2" w:char="A3"/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综合评分法（权重：价格XX%.评审因素XX%）</w:t>
            </w:r>
          </w:p>
        </w:tc>
      </w:tr>
      <w:tr>
        <w:trPr>
          <w:trHeight w:val="567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编制人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复核人</w:t>
            </w:r>
          </w:p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（科室负责人）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  <w:t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审核人</w:t>
            </w:r>
          </w:p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（主管关领导）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  <w:tr>
        <w:tc>
          <w:tcPr>
            <w:tcW w:w="90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楷体_GBK" w:cs="Times New Roman" w:hAnsi="Times New Roman"/>
                <w:sz w:val="32"/>
                <w:szCs w:val="32"/>
                <w:lang w:bidi="ar-SA"/>
              </w:rPr>
              <w:t>详细需求栏</w:t>
            </w:r>
          </w:p>
        </w:tc>
      </w:tr>
      <w:tr>
        <w:trPr>
          <w:trHeight w:val="3155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说明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400" w:lineRule="exact"/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1.不满足资格条件的响应文件将按无效响应文件处理。</w:t>
            </w:r>
          </w:p>
          <w:p>
            <w:pPr>
              <w:pStyle w:val="16"/>
              <w:spacing w:line="400" w:lineRule="exact"/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2.详细需求栏中所有加“</w:t>
            </w:r>
            <w:r>
              <w:rPr>
                <w:rFonts w:ascii="Times New Roman" w:eastAsia="方正仿宋_GBK" w:cs="Nimbus Roman" w:hAnsi="Times New Roman"/>
                <w:sz w:val="28"/>
                <w:szCs w:val="28"/>
                <w:lang w:bidi="ar-SA"/>
              </w:rPr>
              <w:t>★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”项的需求均为实质性要求，不满足实质性要求的响应文件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  <w:t>将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按无效响应文件处理。</w:t>
            </w:r>
          </w:p>
        </w:tc>
      </w:tr>
      <w:tr>
        <w:trPr>
          <w:trHeight w:val="2627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资格条件</w:t>
            </w:r>
          </w:p>
        </w:tc>
        <w:tc>
          <w:tcPr>
            <w:tcW w:w="6862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1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eastAsia="zh-CN"/>
              </w:rPr>
              <w:t>.</w:t>
            </w:r>
            <w:r>
              <w:rPr>
                <w:rFonts w:ascii="Nimbus Roman" w:eastAsia="方正仿宋_GBK" w:cs="Nimbus Roman" w:hAnsi="Nimbus Roman"/>
                <w:kern w:val="2"/>
                <w:sz w:val="28"/>
                <w:szCs w:val="28"/>
              </w:rPr>
              <w:t>法人或者其他组织提供营业执照等证明文件，自然人提供身份证明；报名人出示身份证原件，提供复印件；报名人出具经法定代表人签字.公司盖章的“授权委托书”。</w:t>
            </w:r>
          </w:p>
          <w:p>
            <w:pPr>
              <w:pStyle w:val="16"/>
              <w:spacing w:line="400" w:lineRule="exact"/>
              <w:rPr>
                <w:rFonts w:ascii="Nimbus Roman" w:eastAsia="方正仿宋_GBK" w:cs="Nimbus Roman" w:hAnsi="Nimbus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2.三年内在经营活动中没有重大违法记录的书面证明（须有“信用中国”或“中国政府采购网”等机构查询记录）。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rPr>
                <w:rFonts w:ascii="Nimbus Roman" w:eastAsia="方正仿宋_GBK" w:cs="Nimbus Roman" w:hAnsi="Nimbus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kern w:val="2"/>
                <w:sz w:val="28"/>
                <w:szCs w:val="28"/>
                <w:lang w:val="en-US" w:eastAsia="zh-CN"/>
              </w:rPr>
              <w:t>3.所供货产品具备计量测试技术研究院出具的校准证书；具备国家权威机构出具的产品检测报告。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</w:pPr>
            <w:r>
              <w:rPr>
                <w:rFonts w:ascii="Nimbus Roman" w:eastAsia="方正仿宋_GBK" w:cs="Nimbus Roman" w:hAnsi="Nimbus Roman"/>
                <w:kern w:val="2"/>
                <w:sz w:val="28"/>
                <w:szCs w:val="28"/>
                <w:lang w:val="en-US" w:eastAsia="zh-CN"/>
              </w:rPr>
              <w:t>4.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所供货的产品生产商提供医疗器械生产/经营许可证，医疗器械注册证。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  <w:t>5.</w:t>
            </w:r>
            <w:r>
              <w:rPr>
                <w:rFonts w:ascii="Nimbus Roman" w:eastAsia="方正仿宋_GBK" w:cs="Nimbus Roman" w:hAnsi="Nimbus Roman"/>
                <w:kern w:val="2"/>
                <w:sz w:val="28"/>
                <w:szCs w:val="28"/>
                <w:lang w:val="en-US" w:eastAsia="zh-CN"/>
              </w:rPr>
              <w:t>所供货产品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  <w:t>满足电器安全和电磁兼容性满足GB/T19146-2010红外人体表面温度快速筛检仪6.8和6.9要求，提供检测报告证明。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rPr>
                <w:rFonts w:ascii="Nimbus Roman" w:eastAsia="方正仿宋_GBK" w:cs="Nimbus Roman" w:hAnsi="Nimbus Roman"/>
                <w:sz w:val="28"/>
                <w:szCs w:val="28"/>
                <w:lang w:val="en-US" w:bidi="ar-SA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 w:bidi="ar-SA"/>
              </w:rPr>
              <w:t>6.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bidi="ar-SA"/>
              </w:rPr>
              <w:t>能够及时提供售后服务。</w:t>
            </w:r>
          </w:p>
        </w:tc>
      </w:tr>
      <w:tr>
        <w:trPr>
          <w:trHeight w:val="1082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400" w:lineRule="exact"/>
              <w:ind w:left="0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★</w:t>
            </w:r>
          </w:p>
          <w:p>
            <w:pPr>
              <w:pStyle w:val="16"/>
              <w:spacing w:line="400" w:lineRule="exact"/>
              <w:ind w:left="0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  <w:tcBorders>
              <w:tl2br w:val="nil"/>
              <w:tr2bl w:val="nil"/>
            </w:tcBorders>
          </w:tcPr>
          <w:p>
            <w:pPr>
              <w:pStyle w:val="16"/>
              <w:spacing w:line="560" w:lineRule="exact"/>
              <w:ind w:left="0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一、设施设备需求</w:t>
            </w:r>
          </w:p>
          <w:p>
            <w:pPr>
              <w:pStyle w:val="16"/>
              <w:spacing w:line="560" w:lineRule="exact"/>
              <w:ind w:left="0" w:firstLineChars="200" w:firstLine="560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设备名称：红外体温监测设备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line="560" w:lineRule="exact"/>
              <w:rPr>
                <w:rFonts w:ascii="Nimbus Roman" w:eastAsia="方正仿宋_GBK" w:cs="Nimbus Roman" w:hAnsi="Nimbus Roma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 xml:space="preserve">    需求数量：2套</w:t>
            </w:r>
          </w:p>
          <w:p>
            <w:pPr>
              <w:pStyle w:val="16"/>
              <w:spacing w:line="560" w:lineRule="exact"/>
              <w:ind w:left="0" w:firstLineChars="200" w:firstLine="560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主要技术指标：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1.探测器材料类型：氧化钒非制冷焦平面（具有自主知识产权）；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2.探测器像数： ≥384×288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3.视场角：≥35°× 26°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4.测温范围：-10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~50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5.测温精度：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≦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±0.3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(环温16~32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6.黑体，靶面均匀性：≤0.1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黑体稳定精度：≤±0.2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（单点）；辐射面尺寸：≥72mmx72mm,温度分辨率：0.01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,测温精度：±0.1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，测温范围：0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~40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，稳定性：±（0.1~0.2）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/30min，有效发射率：0.97±0.02，工作温度：0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~40</w:t>
            </w:r>
            <w:r>
              <w:rPr>
                <w:rFonts w:ascii="Times New Roman" w:eastAsia="方正仿宋_GBK" w:cs="Nimbus Roman" w:hAnsi="Times New Roman" w:hint="eastAsia"/>
                <w:sz w:val="28"/>
                <w:szCs w:val="28"/>
                <w:lang w:val="en-US" w:eastAsia="zh-CN"/>
              </w:rPr>
              <w:t>℃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7.人脸识别：智能人脸识别，VI.0.9.0以上版本支持；</w:t>
              <w:br/>
              <w:t>具备去头发晒热功能，口罩识别功能，人脸检测功能（提供证明文件）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8.实时点测温：可监测场景内任意点的实时温度，全屏幕点测温，人脸识别和实时多目标跟踪功能，一帧画面能够检测不少于20张人脸并同步测温，框出人脸叠加实时人体测温数据；（提供证明文件）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9.报警：支持超温报警，追踪超温目标并报警抓取人脸图片，系统录制的红外图像或图片，除及时弹出锁定报警目标功能外，还可支持智能搜索.回放功能，以便后期查看和分析处理等工作；（提供证明文件）</w:t>
            </w:r>
          </w:p>
          <w:p>
            <w:pPr>
              <w:keepNext w:val="0"/>
              <w:keepLines w:val="0"/>
              <w:widowControl/>
              <w:suppressLineNumbers w:val="0"/>
              <w:spacing w:line="560" w:lineRule="exact"/>
              <w:ind w:left="0"/>
              <w:jc w:val="lef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10.黑体异常报警提醒。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eastAsia="zh-CN"/>
              </w:rPr>
              <w:t xml:space="preserve"> </w:t>
            </w:r>
          </w:p>
          <w:p>
            <w:pPr>
              <w:pStyle w:val="2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="0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二、服务要求：上门安装调试、质量三包、售后退换、应急响应。</w:t>
            </w:r>
          </w:p>
          <w:p>
            <w:pPr>
              <w:pStyle w:val="27"/>
              <w:spacing w:line="400" w:lineRule="exac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三、供货地点：锡林郭勒盟东乌珠穆沁旗珠恩嘎达布其口岸。</w:t>
            </w:r>
          </w:p>
          <w:p>
            <w:pPr>
              <w:pStyle w:val="27"/>
              <w:spacing w:line="400" w:lineRule="exac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四、支付方式：验收合格后付全款，采购方付款前需要供货方开具发票等结算材料。</w:t>
            </w:r>
          </w:p>
          <w:p>
            <w:pPr>
              <w:pStyle w:val="28"/>
              <w:spacing w:line="360" w:lineRule="exac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五、成交条件：符合采购要求且报价最低的供应商为成交供应商。成交供应商应在规定时间内与采购人签订合同。若成交供应商无正当理由放弃成交、未按时签订合同构成违约的，应向采购人书面说明，并支付违约金。违约金的计算方式为：本项目预算金额的3%，采购人有权取消其成交资格，并可按报价由低到高的顺序顺延确定下一候选供应商为成交供应商。</w:t>
            </w:r>
          </w:p>
          <w:p>
            <w:pPr>
              <w:pStyle w:val="28"/>
              <w:spacing w:line="360" w:lineRule="exac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六、供货方式：自合同签订之日起</w:t>
            </w:r>
            <w:r>
              <w:rPr>
                <w:rFonts w:ascii="Nimbus Roman" w:eastAsia="方正仿宋_GBK" w:cs="Nimbus Roman" w:hAnsi="Nimbus Roman"/>
                <w:sz w:val="28"/>
                <w:szCs w:val="28"/>
                <w:lang w:val="en-US" w:eastAsia="zh-CN"/>
              </w:rPr>
              <w:t>15</w:t>
            </w: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天交货。</w:t>
            </w:r>
          </w:p>
          <w:p>
            <w:pPr>
              <w:pStyle w:val="15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line="560" w:lineRule="exact"/>
              <w:ind w:left="0"/>
              <w:rPr>
                <w:rFonts w:ascii="Nimbus Roman" w:cs="Nimbus Roman" w:hAnsi="Nimbus Roman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七、产品质保期：不低于1年。</w:t>
            </w:r>
          </w:p>
        </w:tc>
      </w:tr>
      <w:tr>
        <w:trPr>
          <w:trHeight w:val="3753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评审因素</w:t>
            </w:r>
          </w:p>
        </w:tc>
        <w:tc>
          <w:tcPr>
            <w:tcW w:w="6862" w:type="dxa"/>
            <w:tcBorders>
              <w:tl2br w:val="nil"/>
              <w:tr2bl w:val="nil"/>
            </w:tcBorders>
          </w:tcPr>
          <w:p>
            <w:pPr>
              <w:pStyle w:val="16"/>
              <w:spacing w:line="560" w:lineRule="exact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  <w:tr>
        <w:trPr>
          <w:trHeight w:val="2545"/>
        </w:trPr>
        <w:tc>
          <w:tcPr>
            <w:tcW w:w="2198" w:type="dxa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其他因素</w:t>
            </w:r>
          </w:p>
        </w:tc>
        <w:tc>
          <w:tcPr>
            <w:tcW w:w="6862" w:type="dxa"/>
            <w:tcBorders>
              <w:tl2br w:val="nil"/>
              <w:tr2bl w:val="nil"/>
            </w:tcBorders>
          </w:tcPr>
          <w:p>
            <w:pPr>
              <w:pStyle w:val="16"/>
              <w:spacing w:line="400" w:lineRule="exact"/>
              <w:jc w:val="left"/>
              <w:rPr>
                <w:rFonts w:ascii="Nimbus Roman" w:eastAsia="方正仿宋_GBK" w:cs="Nimbus Roman" w:hAnsi="Nimbus Roman"/>
                <w:sz w:val="28"/>
                <w:szCs w:val="28"/>
              </w:rPr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1.公告期限（3个工作日）</w:t>
            </w:r>
          </w:p>
          <w:p>
            <w:pPr>
              <w:pStyle w:val="16"/>
              <w:spacing w:line="400" w:lineRule="exact"/>
              <w:jc w:val="left"/>
            </w:pPr>
            <w:r>
              <w:rPr>
                <w:rFonts w:ascii="Nimbus Roman" w:eastAsia="方正仿宋_GBK" w:cs="Nimbus Roman" w:hAnsi="Nimbus Roman"/>
                <w:sz w:val="28"/>
                <w:szCs w:val="28"/>
              </w:rPr>
              <w:t>2.响应文件份数（3份）</w:t>
            </w:r>
          </w:p>
        </w:tc>
      </w:tr>
    </w:tbl>
    <w:p>
      <w:pPr>
        <w:pStyle w:val="16"/>
        <w:spacing w:line="240" w:lineRule="auto"/>
        <w:rPr>
          <w:rFonts w:ascii="Times New Roman" w:eastAsia="方正仿宋_GBK" w:cs="Times New Roman" w:hAnsi="Times New Roman"/>
          <w:sz w:val="32"/>
          <w:szCs w:val="32"/>
          <w:lang w:bidi="ar-SA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阳光吾坚体"/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方正黑体_GBK">
    <w:altName w:val="微软雅黑"/>
    <w:panose1 w:val="03000509000000000000"/>
    <w:charset w:val="86"/>
    <w:family w:val="script"/>
    <w:pitch w:val="variable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variable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variable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Nimbus Roman">
    <w:altName w:val="Courier New"/>
    <w:panose1 w:val="00000500000000000000"/>
    <w:charset w:val="00"/>
    <w:family w:val="auto"/>
    <w:pitch w:val="variable"/>
    <w:sig w:usb0="00000287" w:usb1="00000800" w:usb2="00000000" w:usb3="00000000" w:csb0="6000009F" w:csb1="00000000"/>
  </w:font>
  <w:font w:name="Wingdings 2">
    <w:altName w:val="DejaVu Sans"/>
    <w:panose1 w:val="05020102010507070707"/>
    <w:charset w:val="02"/>
    <w:family w:val="auto"/>
    <w:pitch w:val="variable"/>
    <w:sig w:usb0="00000000" w:usb1="00000000" w:usb2="00000000" w:usb3="00000000" w:csb0="80000000" w:csb1="00000000"/>
  </w:font>
  <w:font w:name="宋体">
    <w:altName w:val="华文宋体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方正兰亭黑_GBK">
    <w:altName w:val="Arial Unicode MS"/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Courier New">
    <w:altName w:val="DejaVu Sans"/>
    <w:panose1 w:val="02070309020205020404"/>
    <w:charset w:val="01"/>
    <w:family w:val="modern"/>
    <w:pitch w:val="variable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szCs w:val="24"/>
      <w:lang w:val="en-US" w:eastAsia="zh-CN" w:bidi="ar-SA"/>
    </w:rPr>
  </w:style>
  <w:style w:type="paragraph" w:customStyle="1" w:styleId="16">
    <w:name w:val="样式 18 10 磅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7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2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442</TotalTime>
  <Application>Yozo_Office</Application>
  <Pages>4</Pages>
  <Words>1228</Words>
  <Characters>1351</Characters>
  <Lines>66</Lines>
  <Paragraphs>57</Paragraphs>
  <CharactersWithSpaces>1359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wangdong</dc:creator>
  <cp:lastModifiedBy>安国强</cp:lastModifiedBy>
  <cp:revision>0</cp:revision>
  <dcterms:created xsi:type="dcterms:W3CDTF">2026-04-13T03:33:00Z</dcterms:created>
  <dcterms:modified xsi:type="dcterms:W3CDTF">2026-09-30T01:23:58Z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eyJoZGlkIjoiYzdiOWIxNmIwYTBiODI2NzlkZjI1MzgzMmQ3YWExYzUiLCJ1c2VySWQiOiI3NzMwMiJ9</vt:lpwstr>
  </property>
  <property fmtid="{D5CDD505-2E9C-101B-9397-08002B2CF9AE}" pid="4" name="ICV">
    <vt:lpwstr>095A75B494F44005AF1EE4E9B0A92696_12</vt:lpwstr>
  </property>
</Properties>
</file>