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Ind w:w="0" w:type="dxa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2400"/>
        <w:gridCol w:w="850"/>
        <w:gridCol w:w="3962"/>
      </w:tblGrid>
      <w:tr>
        <w:tc>
          <w:tcPr>
            <w:tcW w:w="9060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184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7212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包头海关综合技术服务中心 净气型储药柜及易制毒易制爆试剂柜采购项目</w:t>
            </w:r>
          </w:p>
        </w:tc>
      </w:tr>
      <w:tr>
        <w:tc>
          <w:tcPr>
            <w:tcW w:w="184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需求部门</w:t>
            </w:r>
          </w:p>
        </w:tc>
        <w:tc>
          <w:tcPr>
            <w:tcW w:w="7212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包头海关综合技术服务中心</w:t>
            </w:r>
          </w:p>
        </w:tc>
      </w:tr>
      <w:tr>
        <w:trPr>
          <w:trHeight w:val="175"/>
        </w:trPr>
        <w:tc>
          <w:tcPr>
            <w:tcW w:w="184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7212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89000元</w:t>
            </w:r>
          </w:p>
        </w:tc>
      </w:tr>
      <w:tr>
        <w:tc>
          <w:tcPr>
            <w:tcW w:w="184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7212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综合评分法</w:t>
            </w:r>
          </w:p>
        </w:tc>
      </w:tr>
      <w:tr>
        <w:tc>
          <w:tcPr>
            <w:tcW w:w="184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编制人</w:t>
            </w:r>
          </w:p>
        </w:tc>
        <w:tc>
          <w:tcPr>
            <w:tcW w:w="7212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 xml:space="preserve">               </w:t>
            </w:r>
          </w:p>
        </w:tc>
      </w:tr>
      <w:tr>
        <w:tc>
          <w:tcPr>
            <w:tcW w:w="184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复核人</w:t>
            </w:r>
          </w:p>
        </w:tc>
        <w:tc>
          <w:tcPr>
            <w:tcW w:w="721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184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审核人</w:t>
            </w:r>
          </w:p>
        </w:tc>
        <w:tc>
          <w:tcPr>
            <w:tcW w:w="7212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9060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90"/>
        </w:trPr>
        <w:tc>
          <w:tcPr>
            <w:tcW w:w="184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说明</w:t>
            </w:r>
          </w:p>
        </w:tc>
        <w:tc>
          <w:tcPr>
            <w:tcW w:w="7212" w:type="dxa"/>
            <w:gridSpan w:val="3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、不满足资格条件的响应文件将按无效响应文件处理。</w:t>
            </w:r>
          </w:p>
          <w:p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、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详细需求栏中所有加“★”项的需求均为实质性要求，不满足实质性要求的响应文件将按无效响应文件处理。注：本采购项目为固定单价采购模式，比价方式以各设备计量校准费用总和进行比价，采购清单以实际发生量乘以供货方投标单价进行结算，总额不超过预算金额。</w:t>
            </w:r>
          </w:p>
        </w:tc>
      </w:tr>
      <w:tr>
        <w:trPr>
          <w:trHeight w:val="705"/>
        </w:trPr>
        <w:tc>
          <w:tcPr>
            <w:tcW w:w="184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资格条件</w:t>
            </w:r>
          </w:p>
        </w:tc>
        <w:tc>
          <w:tcPr>
            <w:tcW w:w="7212" w:type="dxa"/>
            <w:gridSpan w:val="3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1.供应商需提供营业执照。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单位负责人为同一人或者存在直接控股、管理关系的不同供应商，不得参加同一合同项下的采购活动。</w:t>
            </w:r>
          </w:p>
          <w:p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rPr>
          <w:trHeight w:val="2560"/>
        </w:trPr>
        <w:tc>
          <w:tcPr>
            <w:tcW w:w="184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7212" w:type="dxa"/>
            <w:gridSpan w:val="3"/>
          </w:tcPr>
          <w:p>
            <w:pPr>
              <w:pStyle w:val="84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净气型储药柜（预算65000元）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color w:val="0000FF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净气型储药柜×1 外部尺寸不小于1500*500*1900mm</w:t>
            </w:r>
          </w:p>
          <w:p>
            <w:pPr>
              <w:numPr>
                <w:ilvl w:val="0"/>
                <w:numId w:val="2"/>
              </w:num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为有毒有害、危险化学品存储设计，具备高效过滤系统，可对柜内挥发气体进行24小时不间断净化。★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（2）除设备原配过滤器耗材外，额外配套同型号过滤器耗材 3 套。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（3）柜体外壳采用厚度超过1mm钢制耐腐蚀材料。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（4）柜体内部板材为耐腐蚀材料，托盘数量≥12，都可防渗漏，柜体内部最下层为防渗漏托盘，层板及挂钩沉重能力强。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（5）具有可设置双人双锁模式锁具，支持多种通讯接口，开锁数据可与实际管理系统联动，另配应急锁具。★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（6）配备液晶触屏微电脑控制系统，实时监控温湿度、风机状态、VOC浓度监控等功能。★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（7）未关门、未上锁可报警或提示。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（8）风机转速可调，高效静音，无火花静电，门开启时风机转速自动加大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（9）过滤系统需高效，可吸附有机溶剂、酸性气体和粉尘，滤芯有分子筛、活性炭配比而成或优于该配置。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（10）滤芯原材料需提供</w:t>
            </w:r>
            <w:r>
              <w:rPr>
                <w:rFonts w:ascii="Times New Roman" w:eastAsia="方正仿宋_GBK" w:cs="Times New Roman" w:hAnsi="Times New Roman" w:hint="eastAsia"/>
                <w:b/>
                <w:sz w:val="28"/>
                <w:szCs w:val="28"/>
              </w:rPr>
              <w:t>第三方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检测机构出具的吸附能力检测报告，加盖制造商公章。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（11）过滤器对酸、醇及其他有机溶剂吸附量，需提供资质</w:t>
            </w:r>
            <w:r>
              <w:rPr>
                <w:rFonts w:ascii="Times New Roman" w:eastAsia="方正仿宋_GBK" w:cs="Times New Roman" w:hAnsi="Times New Roman" w:hint="eastAsia"/>
                <w:b/>
                <w:sz w:val="28"/>
                <w:szCs w:val="28"/>
              </w:rPr>
              <w:t>第三方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检测机构出具的检测报告，加盖制造商公章。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（12）过滤器吸附效能，需提供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具备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CNAS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或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CMA资质</w:t>
            </w:r>
            <w:r>
              <w:rPr>
                <w:rFonts w:ascii="Times New Roman" w:eastAsia="方正仿宋_GBK" w:cs="Times New Roman" w:hAnsi="Times New Roman" w:hint="eastAsia"/>
                <w:b/>
                <w:sz w:val="28"/>
                <w:szCs w:val="28"/>
              </w:rPr>
              <w:t>第三方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 xml:space="preserve">检测机构出具的检测报告，加盖制造商公章。 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（13）产品抗爆、防水、耐火性能，需提供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具备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CNAS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或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CMA资质</w:t>
            </w:r>
            <w:r>
              <w:rPr>
                <w:rFonts w:ascii="Times New Roman" w:eastAsia="方正仿宋_GBK" w:cs="Times New Roman" w:hAnsi="Times New Roman" w:hint="eastAsia"/>
                <w:b/>
                <w:sz w:val="28"/>
                <w:szCs w:val="28"/>
              </w:rPr>
              <w:t>第三方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检测机构出具的检测报告，加盖制造商公章。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（14）产品耐腐蚀性能，需提供</w:t>
            </w:r>
            <w:r>
              <w:rPr>
                <w:rFonts w:ascii="Times New Roman" w:eastAsia="方正仿宋_GBK" w:cs="Times New Roman" w:hAnsi="Times New Roman" w:hint="eastAsia"/>
                <w:b/>
                <w:sz w:val="28"/>
                <w:szCs w:val="28"/>
              </w:rPr>
              <w:t>第三方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检测机构出具的检测报告，加盖制造商公章。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（15）产品柜内洁净度，需提供</w:t>
            </w:r>
            <w:r>
              <w:rPr>
                <w:rFonts w:ascii="Times New Roman" w:eastAsia="方正仿宋_GBK" w:cs="Times New Roman" w:hAnsi="Times New Roman" w:hint="eastAsia"/>
                <w:b/>
                <w:sz w:val="28"/>
                <w:szCs w:val="28"/>
              </w:rPr>
              <w:t>第三方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检测机构出具的检测报告，加盖制造商公章。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（16）配置：柜主体+3套过滤器耗材，柜内体积≥1500×500×1900mm；层板承重≥120kg；容量≥300瓶（500mL）；风机220V；空气处理量≥200m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/h；配备液晶触屏微电脑控制系统；双人双锁锁具和应急锁具；具有温湿度、风量和VOC浓度等各类参数监控报警装置。过滤系统可容纳过滤器2个、初效过滤器1个。</w:t>
            </w:r>
          </w:p>
        </w:tc>
      </w:tr>
      <w:tr>
        <w:trPr>
          <w:trHeight w:val="13420"/>
        </w:trPr>
        <w:tc>
          <w:tcPr>
            <w:tcW w:w="1848" w:type="dxa"/>
            <w:vMerge/>
            <w:vAlign w:val="center"/>
          </w:tcPr>
          <w:p/>
        </w:tc>
        <w:tc>
          <w:tcPr>
            <w:tcW w:w="7212" w:type="dxa"/>
            <w:gridSpan w:val="3"/>
          </w:tcPr>
          <w:p>
            <w:pPr>
              <w:pStyle w:val="84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易制毒易制爆试剂柜（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预算24000元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）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color w:val="0000FF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易制毒易制爆试剂柜×1 外部尺寸不小于800*450*1700mm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（1）具备防爆、防盗、阻燃、耐腐蚀、通风等综合安全性能。★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（2）柜体采用钢质耐腐蚀材料，内外表面经酸洗磷化环氧树脂粉末喷涂，烘热固化处理。供应商须提供具备CNAS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或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CMA资质机构出具的板材及盐雾性能检测报告。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（3）柜体内部为耐腐蚀材料，柜体底部有可调式进风口及风量调节阀，通风管道材质及规格符合实验室通风规范，管材耐高温、阻燃、耐腐蚀。柜体底部设置一体式防泄漏填埋腔，挡板与柜体连为一体。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（4）柜内设至少三层阶梯式活动搁板，层板开设通风孔。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（5）柜体顶部设置通风口。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（6）柜体应填充具有保温隔热作用的防火材料。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（7）柜门可实现大角度开启，柜门与柜体之间设置防火膨胀密封条，符合国标要求，高温环境下可自动膨胀密封。（8）设备电源应符合国标要求，具备防漏电、耐高温能力。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（9）安全性要求：柜体采用电子密码锁+机械锁双人双锁配置。★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（10）配有微电脑时控开关，可调控风机开闭及状态。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（11）产品整体防护性能符合现行国家相关标准，满足危化品耐火储存安全要求。供应商须提供CNAS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或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 xml:space="preserve">CMA资质检测机构出具的完整检测报告（加盖厂家公章）。 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（12）参数配置：双门，开门方式：手动，锁具配置：电子密码锁，双锁配置，层板：至少3块活动层板，其他配置：时控开关，温湿度监控。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（13）本次采购全套通风设施及相关安装费用全部包含在投标总价内。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</w:p>
        </w:tc>
      </w:tr>
      <w:tr>
        <w:trPr>
          <w:trHeight w:val="2576"/>
        </w:trPr>
        <w:tc>
          <w:tcPr>
            <w:tcW w:w="1848" w:type="dxa"/>
            <w:vMerge/>
            <w:vAlign w:val="center"/>
          </w:tcPr>
          <w:p/>
        </w:tc>
        <w:tc>
          <w:tcPr>
            <w:tcW w:w="7212" w:type="dxa"/>
            <w:gridSpan w:val="3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三、付款条件：</w:t>
            </w:r>
          </w:p>
          <w:p>
            <w:pPr>
              <w:spacing w:line="40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宋体" w:cs="宋体" w:hint="eastAsia"/>
                <w:sz w:val="24"/>
              </w:rPr>
              <w:t>（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）签订合同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后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支付货款50%，供应商完成供货及安装调试，甲方自验收通过之日起一个月内剩余50%尾款，供应商需提供产品合格证书、说明书、发票、收据等结算材料。</w:t>
            </w:r>
          </w:p>
          <w:p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）因财政集中支付延误时间不计算在内，供应商提交付款单据迟延或缺失的，采购人有权相应顺延付款期限。</w:t>
            </w:r>
          </w:p>
        </w:tc>
      </w:tr>
      <w:tr>
        <w:trPr>
          <w:trHeight w:val="673"/>
        </w:trPr>
        <w:tc>
          <w:tcPr>
            <w:tcW w:w="184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7212" w:type="dxa"/>
            <w:gridSpan w:val="3"/>
            <w:vAlign w:val="center"/>
          </w:tcPr>
          <w:p>
            <w:pPr>
              <w:pStyle w:val="43"/>
              <w:spacing w:line="3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本项目采用综合评分法进行比选。</w:t>
            </w:r>
          </w:p>
        </w:tc>
      </w:tr>
      <w:tr>
        <w:trPr>
          <w:trHeight w:val="168"/>
        </w:trPr>
        <w:tc>
          <w:tcPr>
            <w:tcW w:w="1848" w:type="dxa"/>
            <w:vMerge/>
            <w:vAlign w:val="center"/>
          </w:tcPr>
          <w:p/>
        </w:tc>
        <w:tc>
          <w:tcPr>
            <w:tcW w:w="2400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评分因素及权值</w:t>
            </w:r>
          </w:p>
        </w:tc>
        <w:tc>
          <w:tcPr>
            <w:tcW w:w="850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分值</w:t>
            </w:r>
          </w:p>
        </w:tc>
        <w:tc>
          <w:tcPr>
            <w:tcW w:w="3962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评分标准</w:t>
            </w:r>
          </w:p>
        </w:tc>
      </w:tr>
      <w:tr>
        <w:trPr>
          <w:trHeight w:val="168"/>
        </w:trPr>
        <w:tc>
          <w:tcPr>
            <w:tcW w:w="1848" w:type="dxa"/>
            <w:vMerge/>
            <w:vAlign w:val="center"/>
          </w:tcPr>
          <w:p/>
        </w:tc>
        <w:tc>
          <w:tcPr>
            <w:tcW w:w="2400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投标报价（</w:t>
            </w:r>
            <w:r>
              <w:rPr>
                <w:rFonts w:ascii="Times New Roman" w:eastAsia="方正仿宋_GBK" w:cs="Times New Roman" w:hAnsi="Times New Roman"/>
                <w:bCs/>
                <w:kern w:val="0"/>
                <w:sz w:val="24"/>
                <w:szCs w:val="28"/>
              </w:rPr>
              <w:t>3</w:t>
            </w: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0%）</w:t>
            </w:r>
          </w:p>
        </w:tc>
        <w:tc>
          <w:tcPr>
            <w:tcW w:w="850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3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0分</w:t>
            </w:r>
          </w:p>
        </w:tc>
        <w:tc>
          <w:tcPr>
            <w:tcW w:w="3962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bCs/>
                <w:kern w:val="0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采用低价优先法计算，即满足比选文件要求且投标价格最低的投标报价为评标基准价，其价格分为满分。其他满足招标文件要求的供应商的价格分统一按照下列公式计算：</w:t>
            </w:r>
          </w:p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投标报价得分</w:t>
            </w: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= (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评标基准价／投标报价</w:t>
            </w: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)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×</w:t>
            </w: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3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0（得分保留两位小数）</w:t>
            </w:r>
          </w:p>
        </w:tc>
      </w:tr>
      <w:tr>
        <w:trPr>
          <w:trHeight w:val="168"/>
        </w:trPr>
        <w:tc>
          <w:tcPr>
            <w:tcW w:w="1848" w:type="dxa"/>
            <w:vMerge/>
            <w:vAlign w:val="center"/>
          </w:tcPr>
          <w:p/>
        </w:tc>
        <w:tc>
          <w:tcPr>
            <w:tcW w:w="2400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参数（40%）</w:t>
            </w:r>
          </w:p>
        </w:tc>
        <w:tc>
          <w:tcPr>
            <w:tcW w:w="850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40分</w:t>
            </w:r>
          </w:p>
        </w:tc>
        <w:tc>
          <w:tcPr>
            <w:tcW w:w="3962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bCs/>
                <w:kern w:val="0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参数方案，满分：40分</w:t>
            </w:r>
          </w:p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bCs/>
                <w:kern w:val="0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第一个档次（31-40分）：完全符合并超过实质需求。</w:t>
            </w:r>
          </w:p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bCs/>
                <w:kern w:val="0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第二个档次（21-30分）：基本符合实质需求。</w:t>
            </w:r>
          </w:p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bCs/>
                <w:kern w:val="0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第三个档次（11-20分）：有部分参数未达实质需求要求。</w:t>
            </w:r>
          </w:p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第四个档次（0-10分）：提供产品与实质需求完全不符。</w:t>
            </w:r>
          </w:p>
        </w:tc>
      </w:tr>
      <w:tr>
        <w:trPr>
          <w:trHeight w:val="168"/>
        </w:trPr>
        <w:tc>
          <w:tcPr>
            <w:tcW w:w="1848" w:type="dxa"/>
            <w:vMerge/>
            <w:vAlign w:val="center"/>
          </w:tcPr>
          <w:p/>
        </w:tc>
        <w:tc>
          <w:tcPr>
            <w:tcW w:w="2400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商务部分（</w:t>
            </w: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15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%）</w:t>
            </w:r>
          </w:p>
        </w:tc>
        <w:tc>
          <w:tcPr>
            <w:tcW w:w="850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15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分</w:t>
            </w:r>
          </w:p>
        </w:tc>
        <w:tc>
          <w:tcPr>
            <w:tcW w:w="3962" w:type="dxa"/>
            <w:vAlign w:val="center"/>
          </w:tcPr>
          <w:p>
            <w:pPr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投标人项目业绩，满分：15分。</w:t>
            </w:r>
          </w:p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提供相关业绩3例，1例5分，没有不得分。</w:t>
            </w:r>
          </w:p>
        </w:tc>
      </w:tr>
      <w:tr>
        <w:trPr>
          <w:trHeight w:val="168"/>
        </w:trPr>
        <w:tc>
          <w:tcPr>
            <w:tcW w:w="1848" w:type="dxa"/>
            <w:vAlign w:val="center"/>
          </w:tcPr>
          <w:p/>
        </w:tc>
        <w:tc>
          <w:tcPr>
            <w:tcW w:w="2400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售后服务（15%）</w:t>
            </w:r>
          </w:p>
        </w:tc>
        <w:tc>
          <w:tcPr>
            <w:tcW w:w="850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15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分</w:t>
            </w:r>
          </w:p>
        </w:tc>
        <w:tc>
          <w:tcPr>
            <w:tcW w:w="3962" w:type="dxa"/>
            <w:vAlign w:val="center"/>
          </w:tcPr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bCs/>
                <w:kern w:val="0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8"/>
              </w:rPr>
              <w:t>售后服务</w:t>
            </w: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，满分：15分</w:t>
            </w:r>
          </w:p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bCs/>
                <w:kern w:val="0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第一个档次（11-15分）：响应及时，质保期长于实质需求，核心耗材及质保期外基础维修价格低</w:t>
            </w:r>
            <w:r>
              <w:rPr>
                <w:rFonts w:ascii="Times New Roman" w:eastAsia="方正仿宋_GBK" w:cs="Times New Roman" w:hAnsi="Times New Roman"/>
                <w:bCs/>
                <w:kern w:val="0"/>
                <w:sz w:val="24"/>
                <w:szCs w:val="28"/>
              </w:rPr>
              <w:t>。需</w:t>
            </w: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列明核心耗材及基础维修费，实质需求质保期2年。</w:t>
            </w:r>
          </w:p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bCs/>
                <w:kern w:val="0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第二个档次（6-10分）：响应基本及时，质保期及使用周期内费用无明显优势。</w:t>
            </w:r>
          </w:p>
          <w:p>
            <w:pPr>
              <w:pStyle w:val="43"/>
              <w:spacing w:line="360" w:lineRule="exact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bCs/>
                <w:kern w:val="0"/>
                <w:sz w:val="24"/>
                <w:szCs w:val="28"/>
              </w:rPr>
              <w:t>第三个档次（0-5分）：售后及相关服务水平较低。</w:t>
            </w:r>
          </w:p>
        </w:tc>
      </w:tr>
      <w:tr>
        <w:trPr>
          <w:trHeight w:val="2545"/>
        </w:trPr>
        <w:tc>
          <w:tcPr>
            <w:tcW w:w="184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其他因素</w:t>
            </w:r>
          </w:p>
        </w:tc>
        <w:tc>
          <w:tcPr>
            <w:tcW w:w="7212" w:type="dxa"/>
            <w:gridSpan w:val="3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采购需求书公示期：3个工作日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提交响应文件份数：3份。</w:t>
            </w:r>
          </w:p>
          <w:p>
            <w:pPr>
              <w:spacing w:line="400" w:lineRule="exact"/>
              <w:ind w:leftChars="-1400" w:left="-2940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.在评审过程中，供。</w:t>
            </w:r>
          </w:p>
        </w:tc>
      </w:tr>
    </w:tbl>
    <w:p/>
    <w:p>
      <w:pPr>
        <w:snapToGrid w:val="0"/>
        <w:spacing w:line="560" w:lineRule="exact"/>
        <w:rPr>
          <w:rFonts w:ascii="方正仿宋_GBK" w:eastAsia="方正仿宋_GBK" w:cs="方正仿宋_GBK"/>
          <w:sz w:val="32"/>
          <w:szCs w:val="32"/>
        </w:rPr>
      </w:pPr>
    </w:p>
    <w:sectPr>
      <w:footerReference w:type="default" r:id="rId2"/>
      <w:footerReference w:type="even" r:id="rId3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Arial Unicode MS"/>
    <w:panose1 w:val="00000000000000000000"/>
    <w:charset w:val="86"/>
    <w:family w:val="script"/>
    <w:pitch w:val="variable"/>
    <w:sig w:usb0="00000000" w:usb1="080E0000" w:usb2="00000000" w:usb3="00000000" w:csb0="00040000" w:csb1="00000000"/>
  </w:font>
  <w:font w:name="方正楷体_GBK">
    <w:altName w:val="Arial Unicode MS"/>
    <w:panose1 w:val="00000000000000000000"/>
    <w:charset w:val="86"/>
    <w:family w:val="script"/>
    <w:pitch w:val="variable"/>
    <w:sig w:usb0="00000000" w:usb1="080E0000" w:usb2="00000000" w:usb3="00000000" w:csb0="00040000" w:csb1="00000000"/>
  </w:font>
  <w:font w:name="方正仿宋_GBK">
    <w:altName w:val="Arial Unicode MS"/>
    <w:panose1 w:val="00000000000000000000"/>
    <w:charset w:val="86"/>
    <w:family w:val="script"/>
    <w:pitch w:val="variable"/>
    <w:sig w:usb0="00000000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0"/>
      <w:framePr w:w="0" w:hRule="auto" w:wrap="around" w:vAnchor="text" w:hAnchor="margin" w:xAlign="right" w:y="1" w:anchorLock="0"/>
      <w:tabs>
        <w:tab w:val="center" w:pos="4153"/>
        <w:tab w:val="right" w:pos="8306"/>
      </w:tabs>
    </w:pPr>
    <w:r>
      <w:rPr>
        <w:rStyle w:val="24"/>
      </w:rPr>
      <w:fldChar w:fldCharType="begin"/>
    </w:r>
    <w:r>
      <w:rPr>
        <w:rStyle w:val="24"/>
      </w:rPr>
      <w:instrText>Page</w:instrText>
    </w:r>
    <w:r>
      <w:rPr>
        <w:rStyle w:val="24"/>
      </w:rPr>
      <w:fldChar w:fldCharType="separate"/>
    </w:r>
    <w:r>
      <w:rPr>
        <w:rStyle w:val="24"/>
      </w:rPr>
      <w:t>3</w:t>
    </w:r>
    <w:r>
      <w:rPr>
        <w:rStyle w:val="24"/>
      </w:rPr>
      <w:fldChar w:fldCharType="end"/>
    </w:r>
  </w:p>
  <w:p>
    <w:pPr>
      <w:pStyle w:val="20"/>
      <w:tabs>
        <w:tab w:val="center" w:pos="4153"/>
        <w:tab w:val="right" w:pos="8306"/>
      </w:tabs>
      <w:ind w:right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0"/>
      <w:framePr w:w="0" w:hRule="auto" w:wrap="around" w:vAnchor="text" w:hAnchor="margin" w:xAlign="right" w:y="1" w:anchorLock="0"/>
      <w:tabs>
        <w:tab w:val="center" w:pos="4153"/>
        <w:tab w:val="right" w:pos="8306"/>
      </w:tabs>
    </w:pPr>
    <w:r>
      <w:rPr>
        <w:rStyle w:val="24"/>
      </w:rPr>
      <w:fldChar w:fldCharType="begin"/>
    </w:r>
    <w:r>
      <w:rPr>
        <w:rStyle w:val="24"/>
      </w:rPr>
      <w:instrText>Page</w:instrText>
    </w:r>
    <w:r>
      <w:rPr>
        <w:rStyle w:val="24"/>
      </w:rPr>
      <w:fldChar w:fldCharType="separate"/>
    </w:r>
    <w:r>
      <w:rPr>
        <w:rStyle w:val="24"/>
      </w:rPr>
      <w:t>1</w:t>
    </w:r>
    <w:r>
      <w:rPr>
        <w:rStyle w:val="24"/>
      </w:rPr>
      <w:fldChar w:fldCharType="end"/>
    </w:r>
  </w:p>
  <w:p>
    <w:pPr>
      <w:pStyle w:val="20"/>
      <w:tabs>
        <w:tab w:val="center" w:pos="4153"/>
        <w:tab w:val="right" w:pos="8306"/>
      </w:tabs>
      <w:ind w:right="360"/>
    </w:pP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11A700E"/>
    <w:multiLevelType w:val="multilevel"/>
    <w:tmpl w:val="011A700E"/>
    <w:lvl w:ilvl="0">
      <w:start w:val="1"/>
      <w:numFmt w:val="japaneseCounting"/>
      <w:lvlRestart w:val="0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23DB66B"/>
    <w:multiLevelType w:val="singleLevel"/>
    <w:tmpl w:val="623DB66B"/>
    <w:lvl w:ilvl="0">
      <w:start w:val="1"/>
      <w:numFmt w:val="decimal"/>
      <w:lvlRestart w:val="0"/>
      <w:suff w:val="nothing"/>
      <w:lvlText w:val="（%1）"/>
      <w:lvlJc w:val="left"/>
      <w:pPr>
        <w:ind w:left="0" w:hanging="0"/>
      </w:pPr>
    </w:lvl>
  </w:abstractNum>
  <w:abstractNum w:abstractNumId="2">
    <w:nsid w:val="821637C9"/>
    <w:multiLevelType w:val="multilevel"/>
    <w:tmpl w:val="821637C9"/>
    <w:lvl w:ilvl="0">
      <w:start w:val="0"/>
      <w:numFmt w:val="decimal"/>
      <w:lvlRestart w:val="0"/>
      <w:pStyle w:val="68"/>
      <w:lvlJc w:val="left"/>
      <w:pPr>
        <w:ind w:left="0" w:hanging="0"/>
      </w:pPr>
    </w:lvl>
    <w:lvl w:ilvl="1">
      <w:start w:val="0"/>
      <w:numFmt w:val="decimal"/>
      <w:lvlJc w:val="left"/>
      <w:pPr>
        <w:ind w:left="0" w:hanging="0"/>
      </w:pPr>
    </w:lvl>
    <w:lvl w:ilvl="2">
      <w:start w:val="0"/>
      <w:numFmt w:val="decimal"/>
      <w:lvlJc w:val="left"/>
      <w:pPr>
        <w:ind w:left="0" w:hanging="0"/>
      </w:pPr>
    </w:lvl>
    <w:lvl w:ilvl="3">
      <w:start w:val="0"/>
      <w:numFmt w:val="decimal"/>
      <w:lvlJc w:val="left"/>
      <w:pPr>
        <w:ind w:left="0" w:hanging="0"/>
      </w:pPr>
    </w:lvl>
    <w:lvl w:ilvl="4">
      <w:start w:val="0"/>
      <w:numFmt w:val="decimal"/>
      <w:lvlJc w:val="left"/>
      <w:pPr>
        <w:ind w:left="0" w:hanging="0"/>
      </w:pPr>
    </w:lvl>
    <w:lvl w:ilvl="5">
      <w:start w:val="0"/>
      <w:numFmt w:val="decimal"/>
      <w:lvlJc w:val="left"/>
      <w:pPr>
        <w:ind w:left="0" w:hanging="0"/>
      </w:pPr>
    </w:lvl>
    <w:lvl w:ilvl="6">
      <w:start w:val="0"/>
      <w:numFmt w:val="decimal"/>
      <w:lvlJc w:val="left"/>
      <w:pPr>
        <w:ind w:left="0" w:hanging="0"/>
      </w:pPr>
    </w:lvl>
    <w:lvl w:ilvl="7">
      <w:start w:val="0"/>
      <w:numFmt w:val="decimal"/>
      <w:lvlJc w:val="left"/>
      <w:pPr>
        <w:ind w:left="0" w:hanging="0"/>
      </w:pPr>
    </w:lvl>
    <w:lvl w:ilvl="8">
      <w:start w:val="0"/>
      <w:numFmt w:val="decimal"/>
      <w:lvlJc w:val="left"/>
      <w:pPr>
        <w:ind w:left="0" w:hanging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Indent"/>
    <w:basedOn w:val="0"/>
    <w:pPr>
      <w:spacing w:line="360" w:lineRule="auto"/>
      <w:ind w:firstLineChars="200" w:firstLine="200"/>
    </w:pPr>
    <w:rPr>
      <w:rFonts w:ascii="Times New Roman" w:cs="Times New Roman" w:hAnsi="Times New Roman"/>
      <w:sz w:val="24"/>
    </w:rPr>
  </w:style>
  <w:style w:type="paragraph" w:styleId="16">
    <w:name w:val="annotation text"/>
    <w:basedOn w:val="0"/>
    <w:pPr>
      <w:jc w:val="left"/>
    </w:pPr>
  </w:style>
  <w:style w:type="paragraph" w:styleId="17">
    <w:name w:val="Body Text"/>
    <w:basedOn w:val="0"/>
    <w:pPr>
      <w:spacing w:line="440" w:lineRule="exact"/>
    </w:pPr>
    <w:rPr>
      <w:rFonts w:ascii="Times New Roman" w:cs="Times New Roman" w:hAnsi="Times New Roman"/>
      <w:b/>
      <w:color w:val="000000"/>
      <w:sz w:val="24"/>
    </w:rPr>
  </w:style>
  <w:style w:type="paragraph" w:styleId="18">
    <w:name w:val="List Continue"/>
    <w:basedOn w:val="0"/>
    <w:pPr>
      <w:spacing w:after="120"/>
      <w:ind w:left="420"/>
    </w:pPr>
    <w:rPr>
      <w:rFonts w:ascii="Times New Roman" w:cs="Times New Roman" w:hAnsi="Times New Roman"/>
      <w:szCs w:val="21"/>
    </w:rPr>
  </w:style>
  <w:style w:type="paragraph" w:styleId="19">
    <w:name w:val="Balloon Text"/>
    <w:basedOn w:val="0"/>
    <w:rPr>
      <w:sz w:val="18"/>
      <w:szCs w:val="18"/>
    </w:rPr>
  </w:style>
  <w:style w:type="paragraph" w:styleId="20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1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2">
    <w:name w:val="index heading"/>
    <w:basedOn w:val="0"/>
    <w:rPr>
      <w:rFonts w:ascii="Arial" w:hAnsi="Arial"/>
      <w:b/>
    </w:rPr>
  </w:style>
  <w:style w:type="paragraph" w:styleId="23">
    <w:name w:val="Normal (Web)"/>
    <w:pPr>
      <w:spacing w:before="100" w:beforeAutospacing="1" w:after="100" w:afterAutospacing="1"/>
    </w:pPr>
    <w:rPr>
      <w:rFonts w:ascii="宋体" w:eastAsia="宋体" w:cs="宋体"/>
      <w:sz w:val="24"/>
      <w:szCs w:val="24"/>
      <w:lang w:val="en-US" w:eastAsia="zh-CN" w:bidi="ar-SA"/>
    </w:rPr>
  </w:style>
  <w:style w:type="character" w:styleId="24">
    <w:name w:val="page number"/>
    <w:basedOn w:val="10"/>
  </w:style>
  <w:style w:type="character" w:styleId="25">
    <w:name w:val="FollowedHyperlink"/>
    <w:basedOn w:val="10"/>
    <w:rPr>
      <w:color w:val="800080"/>
      <w:u w:val="single"/>
    </w:rPr>
  </w:style>
  <w:style w:type="character" w:styleId="26">
    <w:name w:val="Hyperlink"/>
    <w:basedOn w:val="10"/>
    <w:rPr>
      <w:color w:val="0000FF"/>
      <w:u w:val="single"/>
    </w:rPr>
  </w:style>
  <w:style w:type="paragraph" w:customStyle="1" w:styleId="27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8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9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5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6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7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8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9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2">
    <w:name w:val="样式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3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6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7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9">
    <w:name w:val="样式 27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60">
    <w:name w:val="样式 28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61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2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3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4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5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6">
    <w:name w:val="正文文本2"/>
    <w:pPr>
      <w:widowControl w:val="0"/>
      <w:jc w:val="both"/>
    </w:pPr>
    <w:rPr>
      <w:rFonts w:ascii="Calibri" w:eastAsia="宋体" w:cs="Times New Roman" w:hAnsi="Calibri"/>
      <w:kern w:val="2"/>
      <w:sz w:val="28"/>
      <w:szCs w:val="22"/>
      <w:lang w:val="en-US" w:eastAsia="zh-CN" w:bidi="ar-SA"/>
    </w:rPr>
  </w:style>
  <w:style w:type="paragraph" w:customStyle="1" w:styleId="67">
    <w:name w:val="样式 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8">
    <w:name w:val="样式 10 磅1"/>
    <w:pPr>
      <w:widowControl w:val="0"/>
      <w:numPr>
        <w:ilvl w:val="0"/>
        <w:numId w:val="3"/>
      </w:numPr>
      <w:jc w:val="both"/>
    </w:pPr>
    <w:rPr>
      <w:rFonts w:ascii="宋体" w:eastAsia="宋体" w:cs="Times New Roman"/>
      <w:kern w:val="2"/>
      <w:sz w:val="21"/>
      <w:szCs w:val="21"/>
      <w:lang w:val="en-US" w:eastAsia="zh-CN" w:bidi="ar-SA"/>
    </w:rPr>
  </w:style>
  <w:style w:type="character" w:customStyle="1" w:styleId="69">
    <w:name w:val="正文文本 Char"/>
    <w:basedOn w:val="10"/>
    <w:rPr>
      <w:rFonts w:ascii="Calibri" w:cs="Arial" w:hAnsi="Calibri"/>
      <w:kern w:val="2"/>
      <w:sz w:val="21"/>
      <w:szCs w:val="24"/>
    </w:rPr>
  </w:style>
  <w:style w:type="paragraph" w:customStyle="1" w:styleId="70">
    <w:name w:val="font5"/>
    <w:basedOn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8"/>
      <w:szCs w:val="18"/>
    </w:rPr>
  </w:style>
  <w:style w:type="paragraph" w:customStyle="1" w:styleId="71">
    <w:name w:val="font6"/>
    <w:basedOn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8"/>
      <w:szCs w:val="18"/>
    </w:rPr>
  </w:style>
  <w:style w:type="paragraph" w:customStyle="1" w:styleId="72">
    <w:name w:val="font7"/>
    <w:basedOn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6"/>
      <w:szCs w:val="16"/>
    </w:rPr>
  </w:style>
  <w:style w:type="paragraph" w:customStyle="1" w:styleId="73">
    <w:name w:val="font8"/>
    <w:basedOn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6"/>
      <w:szCs w:val="16"/>
    </w:rPr>
  </w:style>
  <w:style w:type="paragraph" w:customStyle="1" w:styleId="74">
    <w:name w:val="font9"/>
    <w:basedOn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6"/>
      <w:szCs w:val="16"/>
    </w:rPr>
  </w:style>
  <w:style w:type="paragraph" w:customStyle="1" w:styleId="75">
    <w:name w:val="font10"/>
    <w:basedOn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6"/>
      <w:szCs w:val="16"/>
    </w:rPr>
  </w:style>
  <w:style w:type="paragraph" w:customStyle="1" w:styleId="76">
    <w:name w:val="font11"/>
    <w:basedOn w:val="0"/>
    <w:pPr>
      <w:widowControl/>
      <w:spacing w:before="100" w:beforeAutospacing="1" w:after="100" w:afterAutospacing="1"/>
      <w:jc w:val="left"/>
    </w:pPr>
    <w:rPr>
      <w:rFonts w:ascii="Times New Roman" w:cs="Times New Roman" w:hAnsi="Times New Roman"/>
      <w:kern w:val="0"/>
      <w:sz w:val="16"/>
      <w:szCs w:val="16"/>
    </w:rPr>
  </w:style>
  <w:style w:type="paragraph" w:customStyle="1" w:styleId="77">
    <w:name w:val="xl63"/>
    <w:basedOn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customStyle="1" w:styleId="78">
    <w:name w:val="xl64"/>
    <w:basedOn w:val="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cs="宋体"/>
      <w:kern w:val="0"/>
      <w:sz w:val="16"/>
      <w:szCs w:val="16"/>
    </w:rPr>
  </w:style>
  <w:style w:type="paragraph" w:customStyle="1" w:styleId="79">
    <w:name w:val="xl65"/>
    <w:basedOn w:val="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cs="宋体"/>
      <w:kern w:val="0"/>
      <w:sz w:val="16"/>
      <w:szCs w:val="16"/>
    </w:rPr>
  </w:style>
  <w:style w:type="paragraph" w:customStyle="1" w:styleId="80">
    <w:name w:val="xl66"/>
    <w:basedOn w:val="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cs="宋体"/>
      <w:kern w:val="0"/>
      <w:sz w:val="16"/>
      <w:szCs w:val="16"/>
    </w:rPr>
  </w:style>
  <w:style w:type="paragraph" w:customStyle="1" w:styleId="81">
    <w:name w:val="xl67"/>
    <w:basedOn w:val="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cs="宋体"/>
      <w:kern w:val="0"/>
      <w:sz w:val="16"/>
      <w:szCs w:val="16"/>
    </w:rPr>
  </w:style>
  <w:style w:type="paragraph" w:customStyle="1" w:styleId="82">
    <w:name w:val="xl68"/>
    <w:basedOn w:val="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cs="宋体"/>
      <w:kern w:val="0"/>
      <w:sz w:val="16"/>
      <w:szCs w:val="16"/>
    </w:rPr>
  </w:style>
  <w:style w:type="paragraph" w:customStyle="1" w:styleId="83">
    <w:name w:val="xl69"/>
    <w:basedOn w:val="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cs="宋体"/>
      <w:kern w:val="0"/>
      <w:sz w:val="16"/>
      <w:szCs w:val="16"/>
    </w:rPr>
  </w:style>
  <w:style w:type="paragraph" w:customStyle="1" w:styleId="84">
    <w:name w:val="List Paragraph"/>
    <w:basedOn w:val="0"/>
    <w:pPr>
      <w:ind w:firstLineChars="200" w:firstLine="200"/>
    </w:pPr>
  </w:style>
  <w:style w:type="paragraph" w:customStyle="1" w:styleId="85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numbering" Target="numbering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892</TotalTime>
  <Application>Yozo_Office</Application>
  <Pages>5</Pages>
  <Words>2247</Words>
  <Characters>2412</Characters>
  <Lines>124</Lines>
  <Paragraphs>86</Paragraphs>
  <CharactersWithSpaces>2437</CharactersWithSpaces>
  <Company>Micorosoft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李紫萌</cp:lastModifiedBy>
  <cp:revision>5</cp:revision>
  <cp:lastPrinted>2026-09-21T08:12:39Z</cp:lastPrinted>
  <dcterms:created xsi:type="dcterms:W3CDTF">2026-05-22T04:58:00Z</dcterms:created>
  <dcterms:modified xsi:type="dcterms:W3CDTF">2026-09-22T12:12:23Z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2052-12.1.0.28043</vt:lpwstr>
  </property>
  <property fmtid="{D5CDD505-2E9C-101B-9397-08002B2CF9AE}" pid="3" name="ICV">
    <vt:lpwstr>B75D79CA63084244B1ADB1244273CD64_13</vt:lpwstr>
  </property>
  <property fmtid="{D5CDD505-2E9C-101B-9397-08002B2CF9AE}" pid="4" name="KSOTemplateDocerSaveRecord">
    <vt:lpwstr>eyJoZGlkIjoiODI5MDBmMzc4ZjdiYTA3MWYwMWNhMTU5Yzc4M2MyNjgiLCJ1c2VySWQiOiIzODYyNTMzNDYifQ==</vt:lpwstr>
  </property>
</Properties>
</file>