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方正黑体_GBK" w:eastAsia="方正黑体_GBK" w:cs="方正黑体_GBK"/>
          <w:sz w:val="32"/>
          <w:szCs w:val="32"/>
        </w:rPr>
      </w:pPr>
      <w:bookmarkStart w:id="0" w:name="_GoBack"/>
      <w:bookmarkEnd w:id="0"/>
      <w:r>
        <w:rPr>
          <w:rFonts w:ascii="方正黑体_GBK" w:eastAsia="方正黑体_GBK" w:cs="方正黑体_GBK" w:hint="eastAsia"/>
          <w:sz w:val="32"/>
          <w:szCs w:val="32"/>
        </w:rPr>
        <w:t>附件1</w:t>
      </w:r>
    </w:p>
    <w:p>
      <w:pPr>
        <w:spacing w:line="56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rPr>
        <w:t>比选采购需求书</w:t>
      </w:r>
    </w:p>
    <w:tbl>
      <w:tblPr>
        <w:jc w:val="left"/>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98"/>
        <w:gridCol w:w="6862"/>
      </w:tblGrid>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基础信息栏</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项目名称</w:t>
            </w:r>
          </w:p>
        </w:tc>
        <w:tc>
          <w:tcPr>
            <w:tcW w:w="6862"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赛罕海关机房综合布线改造采购项目</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采购预算</w:t>
            </w:r>
          </w:p>
        </w:tc>
        <w:tc>
          <w:tcPr>
            <w:tcW w:w="6862"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sz w:val="28"/>
                <w:szCs w:val="28"/>
              </w:rPr>
              <w:t>40000</w:t>
            </w:r>
            <w:r>
              <w:rPr>
                <w:rFonts w:ascii="方正仿宋_GBK" w:eastAsia="方正仿宋_GBK" w:cs="方正仿宋_GBK" w:hint="eastAsia"/>
                <w:sz w:val="28"/>
                <w:szCs w:val="28"/>
              </w:rPr>
              <w:t>元</w:t>
            </w:r>
          </w:p>
        </w:tc>
      </w:tr>
      <w:t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评审方法</w:t>
            </w:r>
          </w:p>
        </w:tc>
        <w:tc>
          <w:tcPr>
            <w:tcW w:w="6862" w:type="dxa"/>
            <w:vAlign w:val="center"/>
          </w:tcPr>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rPr>
              <w:t>综合评分法（权重：价格30%、评审因素</w:t>
            </w:r>
            <w:r>
              <w:rPr>
                <w:rFonts w:ascii="方正仿宋_GBK" w:eastAsia="方正仿宋_GBK" w:cs="方正仿宋_GBK"/>
                <w:sz w:val="28"/>
                <w:szCs w:val="28"/>
              </w:rPr>
              <w:t>70</w:t>
            </w:r>
            <w:r>
              <w:rPr>
                <w:rFonts w:ascii="方正仿宋_GBK" w:eastAsia="方正仿宋_GBK" w:cs="方正仿宋_GBK" w:hint="eastAsia"/>
                <w:sz w:val="28"/>
                <w:szCs w:val="28"/>
              </w:rPr>
              <w:t>%）</w:t>
            </w:r>
          </w:p>
        </w:tc>
      </w:tr>
      <w:tr>
        <w:tc>
          <w:tcPr>
            <w:tcW w:w="9060" w:type="dxa"/>
            <w:gridSpan w:val="2"/>
            <w:vAlign w:val="center"/>
          </w:tcPr>
          <w:p>
            <w:pPr>
              <w:spacing w:line="560" w:lineRule="exact"/>
              <w:jc w:val="center"/>
              <w:rPr>
                <w:rFonts w:ascii="方正仿宋_GBK" w:eastAsia="方正仿宋_GBK" w:cs="方正仿宋_GBK"/>
                <w:sz w:val="28"/>
                <w:szCs w:val="28"/>
              </w:rPr>
            </w:pPr>
            <w:r>
              <w:rPr>
                <w:rFonts w:ascii="方正楷体_GBK" w:eastAsia="方正楷体_GBK" w:cs="方正楷体_GBK" w:hint="eastAsia"/>
                <w:sz w:val="32"/>
                <w:szCs w:val="32"/>
              </w:rPr>
              <w:t>详细需求栏</w:t>
            </w:r>
          </w:p>
        </w:tc>
      </w:tr>
      <w:tr>
        <w:trPr>
          <w:trHeight w:val="4731"/>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说明</w:t>
            </w:r>
          </w:p>
        </w:tc>
        <w:tc>
          <w:tcPr>
            <w:tcW w:w="6862" w:type="dxa"/>
            <w:vAlign w:val="center"/>
          </w:tcPr>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1.不满足资格条件的响应文件将按无效响应文件处理。</w:t>
            </w:r>
          </w:p>
          <w:p>
            <w:pPr>
              <w:spacing w:line="400" w:lineRule="exact"/>
              <w:rPr>
                <w:rFonts w:ascii="方正仿宋_GBK" w:eastAsia="方正仿宋_GBK" w:cs="方正仿宋_GBK"/>
                <w:sz w:val="28"/>
                <w:szCs w:val="28"/>
              </w:rPr>
            </w:pPr>
            <w:r>
              <w:rPr>
                <w:rFonts w:ascii="Times New Roman" w:eastAsia="方正仿宋_GBK" w:cs="Times New Roman" w:hAnsi="Times New Roman"/>
                <w:sz w:val="28"/>
                <w:szCs w:val="28"/>
              </w:rPr>
              <w:t>2.</w:t>
            </w:r>
            <w:r>
              <w:rPr>
                <w:rFonts w:ascii="方正仿宋_GBK" w:eastAsia="方正仿宋_GBK" w:cs="方正仿宋_GBK" w:hint="eastAsia"/>
                <w:sz w:val="28"/>
                <w:szCs w:val="28"/>
              </w:rPr>
              <w:t>详细需求栏中所有加“★”项的需求均为实质性要求，不满足实质性要求的响应文件将按无效响应文件处理。</w:t>
            </w:r>
          </w:p>
          <w:p>
            <w:pPr>
              <w:spacing w:line="400" w:lineRule="exact"/>
              <w:rPr>
                <w:rFonts w:ascii="Times New Roman" w:eastAsia="方正仿宋_GBK" w:cs="Times New Roman" w:hAnsi="Times New Roman"/>
                <w:sz w:val="28"/>
                <w:szCs w:val="28"/>
              </w:rPr>
            </w:pPr>
            <w:r>
              <w:rPr>
                <w:rFonts w:ascii="方正仿宋_GBK" w:eastAsia="方正仿宋_GBK" w:cs="方正仿宋_GBK" w:hint="eastAsia"/>
                <w:sz w:val="28"/>
                <w:szCs w:val="28"/>
              </w:rPr>
              <w:t>3.</w:t>
            </w:r>
            <w:r>
              <w:rPr>
                <w:rFonts w:ascii="Times New Roman" w:eastAsia="方正仿宋_GBK" w:cs="Times New Roman" w:hAnsi="Times New Roman"/>
                <w:sz w:val="28"/>
                <w:szCs w:val="28"/>
              </w:rPr>
              <w:t>预算金额共</w:t>
            </w:r>
            <w:r>
              <w:rPr>
                <w:rFonts w:ascii="Times New Roman" w:eastAsia="方正仿宋_GBK" w:cs="Times New Roman" w:hAnsi="Times New Roman" w:hint="eastAsia"/>
                <w:sz w:val="28"/>
                <w:szCs w:val="28"/>
              </w:rPr>
              <w:t>40000</w:t>
            </w:r>
            <w:r>
              <w:rPr>
                <w:rFonts w:ascii="Times New Roman" w:eastAsia="方正仿宋_GBK" w:cs="Times New Roman" w:hAnsi="Times New Roman"/>
                <w:sz w:val="28"/>
                <w:szCs w:val="28"/>
              </w:rPr>
              <w:t>元，如超过此金额</w:t>
            </w:r>
            <w:r>
              <w:rPr>
                <w:rFonts w:ascii="方正仿宋_GBK" w:eastAsia="方正仿宋_GBK" w:cs="方正仿宋_GBK" w:hint="eastAsia"/>
                <w:sz w:val="28"/>
                <w:szCs w:val="28"/>
              </w:rPr>
              <w:t>将按无效响应文件处理</w:t>
            </w:r>
            <w:r>
              <w:rPr>
                <w:rFonts w:ascii="Times New Roman" w:eastAsia="方正仿宋_GBK" w:cs="Times New Roman" w:hAnsi="Times New Roman"/>
                <w:sz w:val="28"/>
                <w:szCs w:val="28"/>
              </w:rPr>
              <w:t>。</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4.投标报价须包含拆装、走线架辅材、全新网线光纤、标签耗材、人工、垃圾清运、质保、各类税费等全部费用，不得分项漏报，报价为固定含税总价，采购人无需支付任何额外费用，如不满足</w:t>
            </w:r>
            <w:r>
              <w:rPr>
                <w:rFonts w:ascii="方正仿宋_GBK" w:eastAsia="方正仿宋_GBK" w:cs="方正仿宋_GBK" w:hint="eastAsia"/>
                <w:sz w:val="28"/>
                <w:szCs w:val="28"/>
              </w:rPr>
              <w:t>将按无效响应文件处理。</w:t>
            </w:r>
          </w:p>
        </w:tc>
      </w:tr>
      <w:tr>
        <w:trPr>
          <w:trHeight w:val="3568"/>
        </w:trPr>
        <w:tc>
          <w:tcPr>
            <w:tcW w:w="2198" w:type="dxa"/>
            <w:vAlign w:val="center"/>
          </w:tcPr>
          <w:p>
            <w:pPr>
              <w:spacing w:line="560" w:lineRule="exact"/>
              <w:jc w:val="center"/>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资格条件</w:t>
            </w:r>
          </w:p>
        </w:tc>
        <w:tc>
          <w:tcPr>
            <w:tcW w:w="6862" w:type="dxa"/>
            <w:vAlign w:val="center"/>
          </w:tcPr>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1.具有独立承担民事责任的能力。</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2.单位负责人为同一人或者存在直接控股、管理关系的不同服务商，不得参加同一合同项下的采购活动。</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3.对在“信用中国”网站(www.creditchina.gov.cn)、中国政府采购网(www.ccgp.gov.cn)等渠道列入失信被执行人、重大税收违法失信主体、政府采购严重违法失信行为记录名单及其他不符合《中华人民共和国政府采购法》第二十二条规定条件的服务商，不得参与采购活动。</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4.参加政府采购前三年内，在经营活动中没有重大违法记录，提供书面承诺函。</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5.供应商具备实施弱电、综合布线、机房整治项目能力（提供承诺函）。</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6. 本项目</w:t>
            </w:r>
            <w:r>
              <w:rPr>
                <w:rFonts w:ascii="Times New Roman" w:eastAsia="方正仿宋_GBK" w:cs="Times New Roman" w:hAnsi="Times New Roman"/>
                <w:sz w:val="28"/>
                <w:szCs w:val="28"/>
              </w:rPr>
              <w:t>严禁</w:t>
            </w:r>
            <w:r>
              <w:rPr>
                <w:rFonts w:ascii="Times New Roman" w:eastAsia="方正仿宋_GBK" w:cs="Times New Roman" w:hAnsi="Times New Roman" w:hint="eastAsia"/>
                <w:sz w:val="28"/>
                <w:szCs w:val="28"/>
              </w:rPr>
              <w:t>联合体投标</w:t>
            </w:r>
            <w:r>
              <w:rPr>
                <w:rFonts w:ascii="Times New Roman" w:eastAsia="方正仿宋_GBK" w:cs="Times New Roman" w:hAnsi="Times New Roman"/>
                <w:sz w:val="28"/>
                <w:szCs w:val="28"/>
              </w:rPr>
              <w:t>、</w:t>
            </w:r>
            <w:r>
              <w:rPr>
                <w:rFonts w:ascii="Times New Roman" w:eastAsia="方正仿宋_GBK" w:cs="Times New Roman" w:hAnsi="Times New Roman" w:hint="eastAsia"/>
                <w:sz w:val="28"/>
                <w:szCs w:val="28"/>
              </w:rPr>
              <w:t>转包</w:t>
            </w:r>
            <w:r>
              <w:rPr>
                <w:rFonts w:ascii="Times New Roman" w:eastAsia="方正仿宋_GBK" w:cs="Times New Roman" w:hAnsi="Times New Roman"/>
                <w:sz w:val="28"/>
                <w:szCs w:val="28"/>
              </w:rPr>
              <w:t>，</w:t>
            </w:r>
            <w:r>
              <w:rPr>
                <w:rFonts w:ascii="Times New Roman" w:eastAsia="方正仿宋_GBK" w:cs="Times New Roman" w:hAnsi="Times New Roman" w:hint="eastAsia"/>
                <w:sz w:val="28"/>
                <w:szCs w:val="28"/>
              </w:rPr>
              <w:t>未经采购人书面同意不得分包。</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7. 项目实施团队配置要求：</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现场施工人员中必须至少1人持有有效低压电工特种作业操作证，需持证上岗；并有一人具备光缆熔接实操经验人员，自备光纤熔接机，中标后每日进场必须携带光纤熔接机；并且相关人员须为本单位在职人员；提供书面承诺函。</w:t>
            </w:r>
          </w:p>
        </w:tc>
      </w:tr>
      <w:tr>
        <w:trPr>
          <w:trHeight w:val="1082"/>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w:t>
            </w:r>
          </w:p>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实质性需求</w:t>
            </w:r>
          </w:p>
        </w:tc>
        <w:tc>
          <w:tcPr>
            <w:tcW w:w="6862" w:type="dxa"/>
          </w:tcPr>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一、废旧线缆清退要求</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1.机房内所有废弃、停用网线、光纤线缆全部撤出清理，机房地板下、机柜内无遗留废弃线缆；所有机柜内部、机柜表面全面清扫除尘，施工完成后现场无杂物、废料、积尘。</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二、线缆标签标准化施工要求</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1.机房所有在用网线、光纤必须统一制作、粘贴永久性对应标识标签；</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2. 本项目机房为四楼核心网络机房，机房引出连通 1-5 楼各办公室、会议室点位的网线及光纤，对应线缆标签需清晰标注对应楼层、房间（办公室、会议室）点位、机房机柜编号、端口信息，适应机房常温环境，≥5 年不脱落、字迹清晰。</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三、地板下走线架铺设施工标准</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1.走线架铺设起点：楼层弱电竖井穿墙孔进入防静电地板下位置，全程悬空架设走线架，严禁线缆、走线架直接贴地面放置；</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2.走线架敷设路径精准延伸至各目标机柜底部，利用机柜底部预留开孔引入线缆，不得私自开孔破坏机柜结构；</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3. 新铺设线缆实行同架分槽分离：网线与光纤在同一走线架内部进行物理分区布放，强弱线路物理分隔，严禁混束缠绕。</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四、线缆更换及产品技术参数硬性标准</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1.机柜内全部原有网线、光纤跳线统一更换为成品线缆；现场发现外皮破损、弯折老化、接头损坏的各类网络线缆全部换新；</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2. 机房内跨机柜互联线缆，现场核查存在长度不足、老化受损、无法满足规整走线及稳定运行要求的，须同步更换全新线缆；</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3.线缆最低技术规格不得低于以下标准，投标时须提供承诺函：</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（1）网线：国标六类及以上网线；</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（2）多模光纤：OM4 等级及以上；</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（3）单模光纤：G.652D 及以上标准。</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 xml:space="preserve">  五、走线架材质标准</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1.采用镀锌钢制机房专用走线架，板材厚度、防火等性能符合《通信机房线缆桥架技术规范》相关要求，禁止使用塑料、薄壁易变形劣质桥架。</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 xml:space="preserve">  六、线路整理</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1.强弱电线缆必须分离并规范捆绑，严禁混扎；</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2.交换机、路由器、防火墙等所有网络设备及配线架下方必须加装理线架；</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3.彻底清理飞线与裸露线缆，墙面线缆一律使用阻燃线槽覆盖，确保无安全隐患。</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七、施工、安全及交付实质性约束</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1.施工全过程不得损坏机房原有网络设备、服务器、供电、消防、防静电地板、墙体孔洞、视频监控、精密空调等原有基础设施，在施工操作中造成损坏的由中标单位全额赔偿修复（非中标单位施工操作原因造成的损坏除外）；</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2.施工周期：须承诺在甲方指定工期内完成全部理线、布线、清线、标签、清扫等工作，施工避开机关办公业务高峰时段。</w:t>
            </w:r>
          </w:p>
          <w:p>
            <w:pPr>
              <w:spacing w:line="400" w:lineRule="exact"/>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3. 本项目为在用核心机房不停机整治施工，施工全过程保障办公网络稳定运行。若因施工操作引发突发断网、业务掉线、系统异常故障，中标单位须立即停止施工，启动应急回切机制，单次故障断网恢复时长不得超过 20 分钟。因施工原因造成断网超时，引发业务中断、各类损失及不良影响，全部由中标单位承担。</w:t>
            </w:r>
          </w:p>
        </w:tc>
      </w:tr>
      <w:tr>
        <w:trPr>
          <w:trHeight w:val="3753"/>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评审因素</w:t>
            </w:r>
          </w:p>
        </w:tc>
        <w:tc>
          <w:tcPr>
            <w:tcW w:w="6862" w:type="dxa"/>
          </w:tcPr>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总分 100 分，综合评分法，价格分 30 分、商务部分 15分、技术施工方案 50 分、售后服务 5 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一、价格部分（30 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1.价格分统一采用低价优先法计算，满足招标文件全部实质性需求且投标报价最低的投标报价为评标基准价，价格满分 30 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2.其他投标人价格得分 =（评标基准价 ÷ 投标报价）×30，保留两位小数。评标委员会可对异常低价报价进行核查，要求投标人提供成本说明及合规承诺。</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二、商务部分（15分）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1.同类项目业绩（15 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近3年（2023年8月1日至递交响应文件截止之日完成的同类项目业绩）机房布线改造项目业绩，每份完整有效合同得3分，最高15分。（注：需提供业绩合同复印件并加盖公章，否则不得分）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三、技术施工方案（50分）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1.总体施工组织方案（15分）</w:t>
            </w:r>
          </w:p>
          <w:p>
            <w:pPr>
              <w:spacing w:line="560" w:lineRule="exact"/>
              <w:jc w:val="left"/>
              <w:rPr>
                <w:rFonts w:ascii="方正仿宋_GBK" w:eastAsia="方正仿宋_GBK" w:cs="方正仿宋_GBK"/>
                <w:sz w:val="28"/>
                <w:szCs w:val="28"/>
              </w:rPr>
            </w:pPr>
            <w:r>
              <w:rPr>
                <w:rFonts w:ascii="方正仿宋_GBK" w:eastAsia="方正仿宋_GBK" w:cs="方正仿宋_GBK"/>
                <w:sz w:val="28"/>
                <w:szCs w:val="28"/>
              </w:rPr>
              <w:t>根据供应商针对本项目提供的总体施工</w:t>
            </w:r>
            <w:r>
              <w:rPr>
                <w:rFonts w:ascii="方正仿宋_GBK" w:eastAsia="方正仿宋_GBK" w:cs="方正仿宋_GBK" w:hint="eastAsia"/>
                <w:sz w:val="28"/>
                <w:szCs w:val="28"/>
              </w:rPr>
              <w:t>组织</w:t>
            </w:r>
            <w:r>
              <w:rPr>
                <w:rFonts w:ascii="方正仿宋_GBK" w:eastAsia="方正仿宋_GBK" w:cs="方正仿宋_GBK"/>
                <w:sz w:val="28"/>
                <w:szCs w:val="28"/>
              </w:rPr>
              <w:t>方案，综合评定。</w:t>
            </w:r>
            <w:r>
              <w:rPr>
                <w:rFonts w:ascii="方正仿宋_GBK" w:eastAsia="方正仿宋_GBK" w:cs="方正仿宋_GBK" w:hint="eastAsia"/>
                <w:sz w:val="28"/>
                <w:szCs w:val="28"/>
              </w:rPr>
              <w:t>内容包含：结合本项目现状（机房至 1-5 楼线缆已敷设到位，不新增跨楼层布线），明确以下5项内容。1.施工流程；2.分区作业计划；3.错峰施工安排；4.废旧线缆清运安排；5.施工突发事件应急方案。</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评分标准：</w:t>
            </w:r>
            <w:r>
              <w:rPr>
                <w:rFonts w:ascii="方正仿宋_GBK" w:eastAsia="方正仿宋_GBK" w:cs="方正仿宋_GBK"/>
                <w:sz w:val="28"/>
                <w:szCs w:val="28"/>
              </w:rPr>
              <w:t>针对以上5项内容进行评审，每项</w:t>
            </w:r>
            <w:r>
              <w:rPr>
                <w:rFonts w:ascii="方正仿宋_GBK" w:eastAsia="方正仿宋_GBK" w:cs="方正仿宋_GBK" w:hint="eastAsia"/>
                <w:sz w:val="28"/>
                <w:szCs w:val="28"/>
              </w:rPr>
              <w:t>3</w:t>
            </w:r>
            <w:r>
              <w:rPr>
                <w:rFonts w:ascii="方正仿宋_GBK" w:eastAsia="方正仿宋_GBK" w:cs="方正仿宋_GBK"/>
                <w:sz w:val="28"/>
                <w:szCs w:val="28"/>
              </w:rPr>
              <w:t>分，最高得1</w:t>
            </w:r>
            <w:r>
              <w:rPr>
                <w:rFonts w:ascii="方正仿宋_GBK" w:eastAsia="方正仿宋_GBK" w:cs="方正仿宋_GBK" w:hint="eastAsia"/>
                <w:sz w:val="28"/>
                <w:szCs w:val="28"/>
              </w:rPr>
              <w:t>5</w:t>
            </w:r>
            <w:r>
              <w:rPr>
                <w:rFonts w:ascii="方正仿宋_GBK" w:eastAsia="方正仿宋_GBK" w:cs="方正仿宋_GBK"/>
                <w:sz w:val="28"/>
                <w:szCs w:val="28"/>
              </w:rPr>
              <w:t>分。每缺少1项内容扣</w:t>
            </w:r>
            <w:r>
              <w:rPr>
                <w:rFonts w:ascii="方正仿宋_GBK" w:eastAsia="方正仿宋_GBK" w:cs="方正仿宋_GBK" w:hint="eastAsia"/>
                <w:sz w:val="28"/>
                <w:szCs w:val="28"/>
              </w:rPr>
              <w:t>3</w:t>
            </w:r>
            <w:r>
              <w:rPr>
                <w:rFonts w:ascii="方正仿宋_GBK" w:eastAsia="方正仿宋_GBK" w:cs="方正仿宋_GBK"/>
                <w:sz w:val="28"/>
                <w:szCs w:val="28"/>
              </w:rPr>
              <w:t>分，每项中每存在1处缺陷扣1分，每项最多扣</w:t>
            </w:r>
            <w:r>
              <w:rPr>
                <w:rFonts w:ascii="方正仿宋_GBK" w:eastAsia="方正仿宋_GBK" w:cs="方正仿宋_GBK" w:hint="eastAsia"/>
                <w:sz w:val="28"/>
                <w:szCs w:val="28"/>
              </w:rPr>
              <w:t>3</w:t>
            </w:r>
            <w:r>
              <w:rPr>
                <w:rFonts w:ascii="方正仿宋_GBK" w:eastAsia="方正仿宋_GBK" w:cs="方正仿宋_GBK"/>
                <w:sz w:val="28"/>
                <w:szCs w:val="28"/>
              </w:rPr>
              <w:t>分。（注：“缺陷”指以下任意一种情形：内容不切合行业实际、不符合国家法规政策；或内容凭空编造，与实际情况不符，存在偏差；或内容过于简略；或存在与项目无关的文字内容；或内容不适用项目实际情况；或内容逻辑漏洞或原理错误；或地点区域错误；或套用其他项目方案；或前后内容互相矛盾；或专业领域知识阐述有误。）</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2. 线缆整治与标签实施方案（12 分）</w:t>
            </w:r>
          </w:p>
          <w:p>
            <w:pPr>
              <w:spacing w:line="560" w:lineRule="exact"/>
              <w:jc w:val="left"/>
              <w:rPr>
                <w:rFonts w:ascii="方正仿宋_GBK" w:eastAsia="方正仿宋_GBK" w:cs="方正仿宋_GBK"/>
                <w:sz w:val="28"/>
                <w:szCs w:val="28"/>
              </w:rPr>
            </w:pPr>
            <w:r>
              <w:rPr>
                <w:rFonts w:ascii="方正仿宋_GBK" w:eastAsia="方正仿宋_GBK" w:cs="方正仿宋_GBK"/>
                <w:sz w:val="28"/>
                <w:szCs w:val="28"/>
              </w:rPr>
              <w:t>根据供应商针对本项目提供的线缆整治与标签实施方案，综合评定。</w:t>
            </w:r>
            <w:r>
              <w:rPr>
                <w:rFonts w:ascii="方正仿宋_GBK" w:eastAsia="方正仿宋_GBK" w:cs="方正仿宋_GBK" w:hint="eastAsia"/>
                <w:sz w:val="28"/>
                <w:szCs w:val="28"/>
              </w:rPr>
              <w:t>内容包含：1.跳线更换、跨机柜线缆更换处置方案；2.线缆规整绑扎方案；3.机房端与楼层点位两端标签标准化实施方案。</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评分标准：</w:t>
            </w:r>
            <w:r>
              <w:rPr>
                <w:rFonts w:ascii="方正仿宋_GBK" w:eastAsia="方正仿宋_GBK" w:cs="方正仿宋_GBK"/>
                <w:sz w:val="28"/>
                <w:szCs w:val="28"/>
              </w:rPr>
              <w:t>针对以上</w:t>
            </w:r>
            <w:r>
              <w:rPr>
                <w:rFonts w:ascii="方正仿宋_GBK" w:eastAsia="方正仿宋_GBK" w:cs="方正仿宋_GBK" w:hint="eastAsia"/>
                <w:sz w:val="28"/>
                <w:szCs w:val="28"/>
              </w:rPr>
              <w:t>3</w:t>
            </w:r>
            <w:r>
              <w:rPr>
                <w:rFonts w:ascii="方正仿宋_GBK" w:eastAsia="方正仿宋_GBK" w:cs="方正仿宋_GBK"/>
                <w:sz w:val="28"/>
                <w:szCs w:val="28"/>
              </w:rPr>
              <w:t>项内容进行评审，每项</w:t>
            </w:r>
            <w:r>
              <w:rPr>
                <w:rFonts w:ascii="方正仿宋_GBK" w:eastAsia="方正仿宋_GBK" w:cs="方正仿宋_GBK" w:hint="eastAsia"/>
                <w:sz w:val="28"/>
                <w:szCs w:val="28"/>
              </w:rPr>
              <w:t>4</w:t>
            </w:r>
            <w:r>
              <w:rPr>
                <w:rFonts w:ascii="方正仿宋_GBK" w:eastAsia="方正仿宋_GBK" w:cs="方正仿宋_GBK"/>
                <w:sz w:val="28"/>
                <w:szCs w:val="28"/>
              </w:rPr>
              <w:t>分，最高得</w:t>
            </w:r>
            <w:r>
              <w:rPr>
                <w:rFonts w:ascii="方正仿宋_GBK" w:eastAsia="方正仿宋_GBK" w:cs="方正仿宋_GBK" w:hint="eastAsia"/>
                <w:sz w:val="28"/>
                <w:szCs w:val="28"/>
              </w:rPr>
              <w:t>12</w:t>
            </w:r>
            <w:r>
              <w:rPr>
                <w:rFonts w:ascii="方正仿宋_GBK" w:eastAsia="方正仿宋_GBK" w:cs="方正仿宋_GBK"/>
                <w:sz w:val="28"/>
                <w:szCs w:val="28"/>
              </w:rPr>
              <w:t>分。每缺少1项内容扣</w:t>
            </w:r>
            <w:r>
              <w:rPr>
                <w:rFonts w:ascii="方正仿宋_GBK" w:eastAsia="方正仿宋_GBK" w:cs="方正仿宋_GBK" w:hint="eastAsia"/>
                <w:sz w:val="28"/>
                <w:szCs w:val="28"/>
              </w:rPr>
              <w:t>4</w:t>
            </w:r>
            <w:r>
              <w:rPr>
                <w:rFonts w:ascii="方正仿宋_GBK" w:eastAsia="方正仿宋_GBK" w:cs="方正仿宋_GBK"/>
                <w:sz w:val="28"/>
                <w:szCs w:val="28"/>
              </w:rPr>
              <w:t>分，每项中每存在1处缺陷扣</w:t>
            </w:r>
            <w:r>
              <w:rPr>
                <w:rFonts w:ascii="方正仿宋_GBK" w:eastAsia="方正仿宋_GBK" w:cs="方正仿宋_GBK" w:hint="eastAsia"/>
                <w:sz w:val="28"/>
                <w:szCs w:val="28"/>
              </w:rPr>
              <w:t>2</w:t>
            </w:r>
            <w:r>
              <w:rPr>
                <w:rFonts w:ascii="方正仿宋_GBK" w:eastAsia="方正仿宋_GBK" w:cs="方正仿宋_GBK"/>
                <w:sz w:val="28"/>
                <w:szCs w:val="28"/>
              </w:rPr>
              <w:t>分，每项最多扣</w:t>
            </w:r>
            <w:r>
              <w:rPr>
                <w:rFonts w:ascii="方正仿宋_GBK" w:eastAsia="方正仿宋_GBK" w:cs="方正仿宋_GBK" w:hint="eastAsia"/>
                <w:sz w:val="28"/>
                <w:szCs w:val="28"/>
              </w:rPr>
              <w:t>4</w:t>
            </w:r>
            <w:r>
              <w:rPr>
                <w:rFonts w:ascii="方正仿宋_GBK" w:eastAsia="方正仿宋_GBK" w:cs="方正仿宋_GBK"/>
                <w:sz w:val="28"/>
                <w:szCs w:val="28"/>
              </w:rPr>
              <w:t>分。（注：“缺陷”指以下任意一种情形：内容不切合行业实际、不符合国家法规政策；或内容凭空编造，与实际情况不符，存在偏差；或内容过于简略；或存在与项目无关的文字内容；或内容不适用项目实际情况；或内容逻辑漏洞或原理错误；或地点区域错误；或套用其他项目方案；或前后内容互相矛盾；或专业领域知识阐述有误。）</w:t>
            </w:r>
            <w:r>
              <w:rPr>
                <w:rFonts w:ascii="方正仿宋_GBK" w:eastAsia="方正仿宋_GBK" w:cs="方正仿宋_GBK" w:hint="eastAsia"/>
                <w:sz w:val="28"/>
                <w:szCs w:val="28"/>
              </w:rPr>
              <w:t>。</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3. 走线架布设工艺方案（8 分）</w:t>
            </w:r>
          </w:p>
          <w:p>
            <w:pPr>
              <w:spacing w:line="560" w:lineRule="exact"/>
              <w:jc w:val="left"/>
              <w:rPr>
                <w:rFonts w:ascii="方正仿宋_GBK" w:eastAsia="方正仿宋_GBK" w:cs="方正仿宋_GBK"/>
                <w:sz w:val="28"/>
                <w:szCs w:val="28"/>
              </w:rPr>
            </w:pPr>
            <w:r>
              <w:rPr>
                <w:rFonts w:ascii="方正仿宋_GBK" w:eastAsia="方正仿宋_GBK" w:cs="方正仿宋_GBK"/>
                <w:sz w:val="28"/>
                <w:szCs w:val="28"/>
              </w:rPr>
              <w:t>根据供应商针对本项目提供的</w:t>
            </w:r>
            <w:r>
              <w:rPr>
                <w:rFonts w:ascii="方正仿宋_GBK" w:eastAsia="方正仿宋_GBK" w:cs="方正仿宋_GBK" w:hint="eastAsia"/>
                <w:sz w:val="28"/>
                <w:szCs w:val="28"/>
              </w:rPr>
              <w:t>走线架布设工艺方案</w:t>
            </w:r>
            <w:r>
              <w:rPr>
                <w:rFonts w:ascii="方正仿宋_GBK" w:eastAsia="方正仿宋_GBK" w:cs="方正仿宋_GBK"/>
                <w:sz w:val="28"/>
                <w:szCs w:val="28"/>
              </w:rPr>
              <w:t>，综合评定。</w:t>
            </w:r>
            <w:r>
              <w:rPr>
                <w:rFonts w:ascii="方正仿宋_GBK" w:eastAsia="方正仿宋_GBK" w:cs="方正仿宋_GBK" w:hint="eastAsia"/>
                <w:sz w:val="28"/>
                <w:szCs w:val="28"/>
              </w:rPr>
              <w:t>内容包含：1.地板下走线架悬空敷设；2.机柜进线处理；3.网线光纤分区布放；4.强弱电隔离施工工艺要求。</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评分标准：</w:t>
            </w:r>
            <w:r>
              <w:rPr>
                <w:rFonts w:ascii="方正仿宋_GBK" w:eastAsia="方正仿宋_GBK" w:cs="方正仿宋_GBK"/>
                <w:sz w:val="28"/>
                <w:szCs w:val="28"/>
              </w:rPr>
              <w:t>针对以上</w:t>
            </w:r>
            <w:r>
              <w:rPr>
                <w:rFonts w:ascii="方正仿宋_GBK" w:eastAsia="方正仿宋_GBK" w:cs="方正仿宋_GBK" w:hint="eastAsia"/>
                <w:sz w:val="28"/>
                <w:szCs w:val="28"/>
              </w:rPr>
              <w:t>4</w:t>
            </w:r>
            <w:r>
              <w:rPr>
                <w:rFonts w:ascii="方正仿宋_GBK" w:eastAsia="方正仿宋_GBK" w:cs="方正仿宋_GBK"/>
                <w:sz w:val="28"/>
                <w:szCs w:val="28"/>
              </w:rPr>
              <w:t>项内容进行评审，每项2分，最高得</w:t>
            </w:r>
            <w:r>
              <w:rPr>
                <w:rFonts w:ascii="方正仿宋_GBK" w:eastAsia="方正仿宋_GBK" w:cs="方正仿宋_GBK" w:hint="eastAsia"/>
                <w:sz w:val="28"/>
                <w:szCs w:val="28"/>
              </w:rPr>
              <w:t>8</w:t>
            </w:r>
            <w:r>
              <w:rPr>
                <w:rFonts w:ascii="方正仿宋_GBK" w:eastAsia="方正仿宋_GBK" w:cs="方正仿宋_GBK"/>
                <w:sz w:val="28"/>
                <w:szCs w:val="28"/>
              </w:rPr>
              <w:t>分。每缺少1项内容扣2分，每项中每存在1处缺陷扣1分，每项最多扣2分。（注：“缺陷”指以下任意一种情形：内容不切合行业实际、不符合国家法规政策；或内容凭空编造，与实际情况不符，存在偏差；或内容过于简略；或存在与项目无关的文字内容；或内容不适用项目实际情况；或内容逻辑漏洞或原理错误；或地点区域错误；或套用其他项目方案；或前后内容互相矛盾；或专业领域知识阐述有误。）</w:t>
            </w:r>
            <w:r>
              <w:rPr>
                <w:rFonts w:ascii="方正仿宋_GBK" w:eastAsia="方正仿宋_GBK" w:cs="方正仿宋_GBK" w:hint="eastAsia"/>
                <w:sz w:val="28"/>
                <w:szCs w:val="28"/>
              </w:rPr>
              <w:t>。</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4. 施工现场安全与成品保护方案（15 分）</w:t>
            </w:r>
          </w:p>
          <w:p>
            <w:pPr>
              <w:spacing w:line="560" w:lineRule="exact"/>
              <w:jc w:val="left"/>
              <w:rPr>
                <w:rFonts w:ascii="方正仿宋_GBK" w:eastAsia="方正仿宋_GBK" w:cs="方正仿宋_GBK"/>
                <w:sz w:val="28"/>
                <w:szCs w:val="28"/>
              </w:rPr>
            </w:pPr>
            <w:r>
              <w:rPr>
                <w:rFonts w:ascii="方正仿宋_GBK" w:eastAsia="方正仿宋_GBK" w:cs="方正仿宋_GBK"/>
                <w:sz w:val="28"/>
                <w:szCs w:val="28"/>
              </w:rPr>
              <w:t>根据供应商针对本项目提供的</w:t>
            </w:r>
            <w:r>
              <w:rPr>
                <w:rFonts w:ascii="方正仿宋_GBK" w:eastAsia="方正仿宋_GBK" w:cs="方正仿宋_GBK" w:hint="eastAsia"/>
                <w:sz w:val="28"/>
                <w:szCs w:val="28"/>
              </w:rPr>
              <w:t>施工现场安全与成品保护方案</w:t>
            </w:r>
            <w:r>
              <w:rPr>
                <w:rFonts w:ascii="方正仿宋_GBK" w:eastAsia="方正仿宋_GBK" w:cs="方正仿宋_GBK"/>
                <w:sz w:val="28"/>
                <w:szCs w:val="28"/>
              </w:rPr>
              <w:t>，综合评定。</w:t>
            </w:r>
            <w:r>
              <w:rPr>
                <w:rFonts w:ascii="方正仿宋_GBK" w:eastAsia="方正仿宋_GBK" w:cs="方正仿宋_GBK" w:hint="eastAsia"/>
                <w:sz w:val="28"/>
                <w:szCs w:val="28"/>
              </w:rPr>
              <w:t>内容包含：1.在用设备防护；2.防静电措施；3.机房施工安全管控；4.废料管理；5.设施损坏赔付承诺。</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评分标准：</w:t>
            </w:r>
            <w:r>
              <w:rPr>
                <w:rFonts w:ascii="方正仿宋_GBK" w:eastAsia="方正仿宋_GBK" w:cs="方正仿宋_GBK"/>
                <w:sz w:val="28"/>
                <w:szCs w:val="28"/>
              </w:rPr>
              <w:t>针对以上5项内容进行评审，每项</w:t>
            </w:r>
            <w:r>
              <w:rPr>
                <w:rFonts w:ascii="方正仿宋_GBK" w:eastAsia="方正仿宋_GBK" w:cs="方正仿宋_GBK" w:hint="eastAsia"/>
                <w:sz w:val="28"/>
                <w:szCs w:val="28"/>
              </w:rPr>
              <w:t>3</w:t>
            </w:r>
            <w:r>
              <w:rPr>
                <w:rFonts w:ascii="方正仿宋_GBK" w:eastAsia="方正仿宋_GBK" w:cs="方正仿宋_GBK"/>
                <w:sz w:val="28"/>
                <w:szCs w:val="28"/>
              </w:rPr>
              <w:t>分，最高得1</w:t>
            </w:r>
            <w:r>
              <w:rPr>
                <w:rFonts w:ascii="方正仿宋_GBK" w:eastAsia="方正仿宋_GBK" w:cs="方正仿宋_GBK" w:hint="eastAsia"/>
                <w:sz w:val="28"/>
                <w:szCs w:val="28"/>
              </w:rPr>
              <w:t>5</w:t>
            </w:r>
            <w:r>
              <w:rPr>
                <w:rFonts w:ascii="方正仿宋_GBK" w:eastAsia="方正仿宋_GBK" w:cs="方正仿宋_GBK"/>
                <w:sz w:val="28"/>
                <w:szCs w:val="28"/>
              </w:rPr>
              <w:t>分。每缺少1项内容扣</w:t>
            </w:r>
            <w:r>
              <w:rPr>
                <w:rFonts w:ascii="方正仿宋_GBK" w:eastAsia="方正仿宋_GBK" w:cs="方正仿宋_GBK" w:hint="eastAsia"/>
                <w:sz w:val="28"/>
                <w:szCs w:val="28"/>
              </w:rPr>
              <w:t>3</w:t>
            </w:r>
            <w:r>
              <w:rPr>
                <w:rFonts w:ascii="方正仿宋_GBK" w:eastAsia="方正仿宋_GBK" w:cs="方正仿宋_GBK"/>
                <w:sz w:val="28"/>
                <w:szCs w:val="28"/>
              </w:rPr>
              <w:t>分，每项中每存在1处缺陷扣1分，每项最多扣</w:t>
            </w:r>
            <w:r>
              <w:rPr>
                <w:rFonts w:ascii="方正仿宋_GBK" w:eastAsia="方正仿宋_GBK" w:cs="方正仿宋_GBK" w:hint="eastAsia"/>
                <w:sz w:val="28"/>
                <w:szCs w:val="28"/>
              </w:rPr>
              <w:t>3</w:t>
            </w:r>
            <w:r>
              <w:rPr>
                <w:rFonts w:ascii="方正仿宋_GBK" w:eastAsia="方正仿宋_GBK" w:cs="方正仿宋_GBK"/>
                <w:sz w:val="28"/>
                <w:szCs w:val="28"/>
              </w:rPr>
              <w:t>分。（注：“缺陷”指以下任意一种情形：内容不切合行业实际、不符合国家法规政策；或内容凭空编造，与实际情况不符，存在偏差；或内容过于简略；或存在与项目无关的文字内容；或内容不适用项目实际情况；或内容逻辑漏洞或原理错误；或地点区域错误；或套用其他项目方案；或前后内容互相矛盾；或专业领域知识阐述有误。）</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四、售后服务与质保（5分）</w:t>
            </w:r>
          </w:p>
          <w:p>
            <w:pPr>
              <w:spacing w:line="560" w:lineRule="exact"/>
              <w:jc w:val="left"/>
              <w:rPr>
                <w:rFonts w:ascii="方正仿宋_GBK" w:eastAsia="方正仿宋_GBK" w:cs="方正仿宋_GBK"/>
                <w:sz w:val="28"/>
                <w:szCs w:val="28"/>
              </w:rPr>
            </w:pPr>
            <w:r>
              <w:rPr>
                <w:rFonts w:ascii="方正仿宋_GBK" w:eastAsia="方正仿宋_GBK" w:cs="方正仿宋_GBK" w:hint="eastAsia"/>
                <w:sz w:val="28"/>
                <w:szCs w:val="28"/>
              </w:rPr>
              <w:t>承诺整体工程质保 2 年及以上得 5 分；承诺质保 1 年得 2 分；质保期限低于 1 年不得分；质保期自项目竣工验收合格之日起计算。</w:t>
            </w:r>
          </w:p>
        </w:tc>
      </w:tr>
      <w:tr>
        <w:trPr>
          <w:trHeight w:val="2545"/>
        </w:trPr>
        <w:tc>
          <w:tcPr>
            <w:tcW w:w="2198" w:type="dxa"/>
            <w:vAlign w:val="center"/>
          </w:tcPr>
          <w:p>
            <w:pPr>
              <w:spacing w:line="560" w:lineRule="exact"/>
              <w:jc w:val="center"/>
              <w:rPr>
                <w:rFonts w:ascii="方正仿宋_GBK" w:eastAsia="方正仿宋_GBK" w:cs="方正仿宋_GBK"/>
                <w:sz w:val="28"/>
                <w:szCs w:val="28"/>
              </w:rPr>
            </w:pPr>
            <w:r>
              <w:rPr>
                <w:rFonts w:ascii="方正仿宋_GBK" w:eastAsia="方正仿宋_GBK" w:cs="方正仿宋_GBK" w:hint="eastAsia"/>
                <w:sz w:val="28"/>
                <w:szCs w:val="28"/>
              </w:rPr>
              <w:t>其他因素</w:t>
            </w:r>
          </w:p>
        </w:tc>
        <w:tc>
          <w:tcPr>
            <w:tcW w:w="6862" w:type="dxa"/>
          </w:tcPr>
          <w:p>
            <w:pPr>
              <w:spacing w:line="400" w:lineRule="exact"/>
              <w:jc w:val="left"/>
              <w:rPr>
                <w:rFonts w:ascii="方正仿宋_GBK" w:eastAsia="方正仿宋_GBK" w:cs="方正仿宋_GBK"/>
                <w:sz w:val="28"/>
                <w:szCs w:val="28"/>
              </w:rPr>
            </w:pPr>
            <w:r>
              <w:rPr>
                <w:rFonts w:ascii="方正仿宋_GBK" w:eastAsia="方正仿宋_GBK" w:cs="方正仿宋_GBK" w:hint="eastAsia"/>
                <w:sz w:val="28"/>
                <w:szCs w:val="28"/>
              </w:rPr>
              <w:t>1.投标人应当对提供的材料的真实性负责，如有虚假甲方有权解除合同，并追究其法律责任。</w:t>
            </w:r>
          </w:p>
        </w:tc>
      </w:tr>
    </w:tbl>
    <w:p>
      <w:pPr>
        <w:rPr>
          <w:rFonts w:ascii="方正仿宋_GBK" w:eastAsia="方正仿宋_GBK" w:cs="方正仿宋_GBK"/>
          <w:sz w:val="32"/>
          <w:szCs w:val="32"/>
        </w:rPr>
      </w:pPr>
    </w:p>
    <w:p>
      <w:pPr>
        <w:spacing w:line="560" w:lineRule="exact"/>
        <w:jc w:val="right"/>
        <w:rPr>
          <w:rFonts w:ascii="方正仿宋_GBK" w:eastAsia="方正仿宋_GBK" w:cs="方正仿宋_GBK"/>
          <w:sz w:val="32"/>
          <w:szCs w:val="32"/>
        </w:rPr>
      </w:pPr>
    </w:p>
    <w:sectPr>
      <w:footerReference w:type="default" r:id="rId2"/>
      <w:footerReference w:type="even" r:id="rId3"/>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altName w:val="微软雅黑"/>
    <w:panose1 w:val="00000000000000000000"/>
    <w:charset w:val="86"/>
    <w:family w:val="script"/>
    <w:pitch w:val="variable"/>
    <w:sig w:usb0="00000000" w:usb1="00000000" w:usb2="00082016" w:usb3="00000000" w:csb0="00040001" w:csb1="00000000"/>
  </w:font>
  <w:font w:name="方正小标宋_GBK">
    <w:altName w:val="微软雅黑"/>
    <w:panose1 w:val="00000000000000000000"/>
    <w:charset w:val="86"/>
    <w:family w:val="script"/>
    <w:pitch w:val="variable"/>
    <w:sig w:usb0="00000000" w:usb1="00000000" w:usb2="00082016" w:usb3="00000000" w:csb0="00040001" w:csb1="00000000"/>
  </w:font>
  <w:font w:name="方正楷体_GBK">
    <w:altName w:val="微软雅黑"/>
    <w:panose1 w:val="00000000000000000000"/>
    <w:charset w:val="86"/>
    <w:family w:val="script"/>
    <w:pitch w:val="variable"/>
    <w:sig w:usb0="00000000" w:usb1="00000000" w:usb2="00000000" w:usb3="00000000" w:csb0="00040000" w:csb1="00000000"/>
  </w:font>
  <w:font w:name="方正仿宋_GBK">
    <w:altName w:val="微软雅黑"/>
    <w:panose1 w:val="00000000000000000000"/>
    <w:charset w:val="86"/>
    <w:family w:val="script"/>
    <w:pitch w:val="variable"/>
    <w:sig w:usb0="00000000" w:usb1="00000000" w:usb2="00000000" w:usb3="00000000" w:csb0="0004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right" w:y="1" w:anchorLock="0"/>
      <w:tabs>
        <w:tab w:val="center" w:pos="4153"/>
        <w:tab w:val="right" w:pos="8306"/>
      </w:tabs>
    </w:pPr>
    <w:r>
      <w:rPr>
        <w:rStyle w:val="19"/>
      </w:rPr>
      <w:fldChar w:fldCharType="begin"/>
    </w:r>
    <w:r>
      <w:rPr>
        <w:rStyle w:val="19"/>
      </w:rPr>
      <w:instrText>Page</w:instrText>
    </w:r>
    <w:r>
      <w:rPr>
        <w:rStyle w:val="19"/>
      </w:rPr>
      <w:fldChar w:fldCharType="separate"/>
    </w:r>
    <w:r>
      <w:rPr>
        <w:rStyle w:val="19"/>
      </w:rPr>
      <w:t>1</w:t>
    </w:r>
    <w:r>
      <w:rPr>
        <w:rStyle w:val="19"/>
      </w:rPr>
      <w:fldChar w:fldCharType="end"/>
    </w:r>
  </w:p>
  <w:p>
    <w:pPr>
      <w:pStyle w:val="16"/>
      <w:tabs>
        <w:tab w:val="center" w:pos="4153"/>
        <w:tab w:val="right" w:pos="8306"/>
      </w:tabs>
      <w:ind w:right="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right" w:y="1" w:anchorLock="0"/>
      <w:tabs>
        <w:tab w:val="center" w:pos="4153"/>
        <w:tab w:val="right" w:pos="8306"/>
      </w:tabs>
    </w:pPr>
    <w:r>
      <w:rPr>
        <w:rStyle w:val="19"/>
      </w:rPr>
      <w:fldChar w:fldCharType="begin"/>
    </w:r>
    <w:r>
      <w:rPr>
        <w:rStyle w:val="19"/>
      </w:rPr>
      <w:instrText>Page</w:instrText>
    </w:r>
    <w:r>
      <w:rPr>
        <w:rStyle w:val="19"/>
      </w:rPr>
      <w:fldChar w:fldCharType="separate"/>
    </w:r>
    <w:r>
      <w:rPr>
        <w:rStyle w:val="19"/>
      </w:rPr>
      <w:t>1</w:t>
    </w:r>
    <w:r>
      <w:rPr>
        <w:rStyle w:val="19"/>
      </w:rPr>
      <w:fldChar w:fldCharType="end"/>
    </w:r>
  </w:p>
  <w:p>
    <w:pPr>
      <w:pStyle w:val="16"/>
      <w:tabs>
        <w:tab w:val="center" w:pos="4153"/>
        <w:tab w:val="right" w:pos="8306"/>
      </w:tabs>
      <w:ind w:right="360"/>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OWRlNmFjNTE0YmQzNDgwNGMxODI4OWJlYzRjMWE3MTc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character" w:default="1" w:styleId="10">
    <w:name w:val="Default Paragraph Font"/>
  </w:style>
  <w:style w:type="paragraph" w:styleId="15">
    <w:name w:val="annotation text"/>
    <w:basedOn w:val="0"/>
    <w:pPr>
      <w:jc w:val="left"/>
    </w:p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index heading"/>
    <w:basedOn w:val="0"/>
    <w:rPr>
      <w:rFonts w:ascii="Arial" w:hAnsi="Arial"/>
      <w:b/>
    </w:rPr>
  </w:style>
  <w:style w:type="character" w:styleId="19">
    <w:name w:val="page number"/>
    <w:basedOn w:val="10"/>
  </w:style>
  <w:style w:type="paragraph" w:customStyle="1" w:styleId="20">
    <w:name w:val="样式 10 磅"/>
    <w:pPr>
      <w:widowControl w:val="0"/>
      <w:jc w:val="both"/>
    </w:pPr>
    <w:rPr>
      <w:rFonts w:ascii="Times New Roman" w:eastAsia="宋体" w:cs="Times New Roman" w:hAnsi="Times New Roman"/>
      <w:kern w:val="2"/>
      <w:sz w:val="21"/>
      <w:szCs w:val="21"/>
      <w:lang w:val="en-US" w:eastAsia="zh-CN" w:bidi="ar-SA"/>
    </w:rPr>
  </w:style>
  <w:style w:type="paragraph" w:customStyle="1" w:styleId="21">
    <w:name w:val="样式 1 10 磅"/>
    <w:pPr>
      <w:widowControl w:val="0"/>
      <w:jc w:val="both"/>
    </w:pPr>
    <w:rPr>
      <w:rFonts w:ascii="Calibri" w:eastAsia="宋体" w:cs="Arial" w:hAnsi="Calibri"/>
      <w:kern w:val="2"/>
      <w:sz w:val="21"/>
      <w:szCs w:val="24"/>
      <w:lang w:val="en-US" w:eastAsia="zh-CN" w:bidi="ar-SA"/>
    </w:rPr>
  </w:style>
  <w:style w:type="paragraph" w:customStyle="1" w:styleId="22">
    <w:name w:val="样式 2 10 磅"/>
    <w:pPr>
      <w:widowControl w:val="0"/>
      <w:jc w:val="both"/>
    </w:pPr>
    <w:rPr>
      <w:rFonts w:ascii="Calibri" w:eastAsia="宋体" w:cs="Arial" w:hAnsi="Calibri"/>
      <w:kern w:val="2"/>
      <w:sz w:val="21"/>
      <w:szCs w:val="24"/>
      <w:lang w:val="en-US" w:eastAsia="zh-CN" w:bidi="ar-SA"/>
    </w:rPr>
  </w:style>
  <w:style w:type="paragraph" w:customStyle="1" w:styleId="23">
    <w:name w:val="样式 3 10 磅"/>
    <w:pPr>
      <w:widowControl w:val="0"/>
      <w:jc w:val="both"/>
    </w:pPr>
    <w:rPr>
      <w:rFonts w:ascii="Calibri" w:eastAsia="宋体" w:cs="Arial" w:hAnsi="Calibri"/>
      <w:kern w:val="2"/>
      <w:sz w:val="21"/>
      <w:szCs w:val="24"/>
      <w:lang w:val="en-US" w:eastAsia="zh-CN" w:bidi="ar-SA"/>
    </w:rPr>
  </w:style>
  <w:style w:type="paragraph" w:customStyle="1" w:styleId="24">
    <w:name w:val="样式 4 10 磅"/>
    <w:pPr>
      <w:widowControl w:val="0"/>
      <w:jc w:val="both"/>
    </w:pPr>
    <w:rPr>
      <w:rFonts w:ascii="Calibri" w:eastAsia="宋体" w:cs="Arial" w:hAnsi="Calibri"/>
      <w:kern w:val="2"/>
      <w:sz w:val="21"/>
      <w:szCs w:val="24"/>
      <w:lang w:val="en-US" w:eastAsia="zh-CN" w:bidi="ar-SA"/>
    </w:rPr>
  </w:style>
  <w:style w:type="paragraph" w:customStyle="1" w:styleId="25">
    <w:name w:val="样式 5 10 磅"/>
    <w:pPr>
      <w:widowControl w:val="0"/>
      <w:jc w:val="both"/>
    </w:pPr>
    <w:rPr>
      <w:rFonts w:ascii="Calibri" w:eastAsia="宋体" w:cs="Arial" w:hAnsi="Calibri"/>
      <w:kern w:val="2"/>
      <w:sz w:val="21"/>
      <w:szCs w:val="24"/>
      <w:lang w:val="en-US" w:eastAsia="zh-CN" w:bidi="ar-SA"/>
    </w:rPr>
  </w:style>
  <w:style w:type="paragraph" w:customStyle="1" w:styleId="26">
    <w:name w:val="样式 6 10 磅"/>
    <w:pPr>
      <w:widowControl w:val="0"/>
      <w:jc w:val="both"/>
    </w:pPr>
    <w:rPr>
      <w:rFonts w:ascii="Calibri" w:eastAsia="宋体" w:cs="Arial" w:hAnsi="Calibri"/>
      <w:kern w:val="2"/>
      <w:sz w:val="21"/>
      <w:szCs w:val="24"/>
      <w:lang w:val="en-US" w:eastAsia="zh-CN" w:bidi="ar-SA"/>
    </w:rPr>
  </w:style>
  <w:style w:type="paragraph" w:customStyle="1" w:styleId="27">
    <w:name w:val="样式 7 10 磅"/>
    <w:pPr>
      <w:widowControl w:val="0"/>
      <w:jc w:val="both"/>
    </w:pPr>
    <w:rPr>
      <w:rFonts w:ascii="Calibri" w:eastAsia="宋体" w:cs="Arial" w:hAnsi="Calibri"/>
      <w:kern w:val="2"/>
      <w:sz w:val="21"/>
      <w:szCs w:val="24"/>
      <w:lang w:val="en-US" w:eastAsia="zh-CN" w:bidi="ar-SA"/>
    </w:rPr>
  </w:style>
  <w:style w:type="paragraph" w:customStyle="1" w:styleId="28">
    <w:name w:val="样式 8 10 磅"/>
    <w:pPr>
      <w:widowControl w:val="0"/>
      <w:jc w:val="both"/>
    </w:pPr>
    <w:rPr>
      <w:rFonts w:ascii="Calibri" w:eastAsia="宋体" w:cs="Arial" w:hAnsi="Calibri"/>
      <w:kern w:val="2"/>
      <w:sz w:val="21"/>
      <w:szCs w:val="24"/>
      <w:lang w:val="en-US" w:eastAsia="zh-CN" w:bidi="ar-SA"/>
    </w:rPr>
  </w:style>
  <w:style w:type="paragraph" w:customStyle="1" w:styleId="29">
    <w:name w:val="样式 9 10 磅"/>
    <w:pPr>
      <w:widowControl w:val="0"/>
      <w:jc w:val="both"/>
    </w:pPr>
    <w:rPr>
      <w:rFonts w:ascii="Calibri" w:eastAsia="宋体" w:cs="Arial" w:hAnsi="Calibri"/>
      <w:kern w:val="2"/>
      <w:sz w:val="21"/>
      <w:szCs w:val="24"/>
      <w:lang w:val="en-US" w:eastAsia="zh-CN" w:bidi="ar-SA"/>
    </w:rPr>
  </w:style>
  <w:style w:type="paragraph" w:customStyle="1" w:styleId="30">
    <w:name w:val="样式 10 10 磅"/>
    <w:pPr>
      <w:widowControl w:val="0"/>
      <w:jc w:val="both"/>
    </w:pPr>
    <w:rPr>
      <w:rFonts w:ascii="Calibri" w:eastAsia="宋体" w:cs="Arial" w:hAnsi="Calibri"/>
      <w:kern w:val="2"/>
      <w:sz w:val="21"/>
      <w:szCs w:val="24"/>
      <w:lang w:val="en-US" w:eastAsia="zh-CN" w:bidi="ar-SA"/>
    </w:rPr>
  </w:style>
  <w:style w:type="paragraph" w:customStyle="1" w:styleId="31">
    <w:name w:val="样式 11 10 磅"/>
    <w:pPr>
      <w:widowControl w:val="0"/>
      <w:jc w:val="both"/>
    </w:pPr>
    <w:rPr>
      <w:rFonts w:ascii="Calibri" w:eastAsia="宋体" w:cs="Arial" w:hAnsi="Calibri"/>
      <w:kern w:val="2"/>
      <w:sz w:val="21"/>
      <w:szCs w:val="24"/>
      <w:lang w:val="en-US" w:eastAsia="zh-CN" w:bidi="ar-SA"/>
    </w:rPr>
  </w:style>
  <w:style w:type="paragraph" w:customStyle="1" w:styleId="32">
    <w:name w:val="样式 12 10 磅"/>
    <w:pPr>
      <w:widowControl w:val="0"/>
      <w:jc w:val="both"/>
    </w:pPr>
    <w:rPr>
      <w:rFonts w:ascii="Calibri" w:eastAsia="宋体" w:cs="Arial" w:hAnsi="Calibri"/>
      <w:kern w:val="2"/>
      <w:sz w:val="21"/>
      <w:szCs w:val="24"/>
      <w:lang w:val="en-US" w:eastAsia="zh-CN" w:bidi="ar-SA"/>
    </w:rPr>
  </w:style>
  <w:style w:type="paragraph" w:customStyle="1" w:styleId="33">
    <w:name w:val="样式 13 10 磅"/>
    <w:pPr>
      <w:widowControl w:val="0"/>
      <w:jc w:val="both"/>
    </w:pPr>
    <w:rPr>
      <w:rFonts w:ascii="Calibri" w:eastAsia="宋体" w:cs="Arial" w:hAnsi="Calibri"/>
      <w:kern w:val="2"/>
      <w:sz w:val="21"/>
      <w:szCs w:val="24"/>
      <w:lang w:val="en-US" w:eastAsia="zh-CN" w:bidi="ar-SA"/>
    </w:rPr>
  </w:style>
  <w:style w:type="paragraph" w:customStyle="1" w:styleId="34">
    <w:name w:val="样式 14 10 磅"/>
    <w:pPr>
      <w:widowControl w:val="0"/>
      <w:jc w:val="both"/>
    </w:pPr>
    <w:rPr>
      <w:rFonts w:ascii="Calibri" w:eastAsia="宋体" w:cs="Arial" w:hAnsi="Calibri"/>
      <w:kern w:val="2"/>
      <w:sz w:val="21"/>
      <w:szCs w:val="24"/>
      <w:lang w:val="en-US" w:eastAsia="zh-CN" w:bidi="ar-SA"/>
    </w:rPr>
  </w:style>
  <w:style w:type="paragraph" w:customStyle="1" w:styleId="35">
    <w:name w:val="样式 15 10 磅"/>
    <w:pPr>
      <w:widowControl w:val="0"/>
      <w:jc w:val="both"/>
    </w:pPr>
    <w:rPr>
      <w:rFonts w:ascii="Calibri" w:eastAsia="宋体" w:cs="Arial" w:hAnsi="Calibri"/>
      <w:kern w:val="2"/>
      <w:sz w:val="21"/>
      <w:szCs w:val="24"/>
      <w:lang w:val="en-US" w:eastAsia="zh-CN" w:bidi="ar-SA"/>
    </w:rPr>
  </w:style>
  <w:style w:type="paragraph" w:customStyle="1" w:styleId="36">
    <w:name w:val="样式 16 10 磅"/>
    <w:pPr>
      <w:widowControl w:val="0"/>
      <w:jc w:val="both"/>
    </w:pPr>
    <w:rPr>
      <w:rFonts w:ascii="Calibri" w:eastAsia="宋体" w:cs="Arial" w:hAnsi="Calibri"/>
      <w:kern w:val="2"/>
      <w:sz w:val="21"/>
      <w:szCs w:val="24"/>
      <w:lang w:val="en-US" w:eastAsia="zh-CN" w:bidi="ar-SA"/>
    </w:rPr>
  </w:style>
  <w:style w:type="paragraph" w:customStyle="1" w:styleId="37">
    <w:name w:val="样式 17 10 磅"/>
    <w:pPr>
      <w:widowControl w:val="0"/>
      <w:jc w:val="both"/>
    </w:pPr>
    <w:rPr>
      <w:rFonts w:ascii="Calibri" w:eastAsia="宋体" w:cs="Arial" w:hAnsi="Calibri"/>
      <w:kern w:val="2"/>
      <w:sz w:val="21"/>
      <w:szCs w:val="24"/>
      <w:lang w:val="en-US" w:eastAsia="zh-CN" w:bidi="ar-SA"/>
    </w:rPr>
  </w:style>
  <w:style w:type="paragraph" w:customStyle="1" w:styleId="38">
    <w:name w:val="样式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39">
    <w:name w:val="样式 1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40">
    <w:name w:val="样式 18 10 磅"/>
    <w:pPr>
      <w:widowControl w:val="0"/>
      <w:jc w:val="both"/>
    </w:pPr>
    <w:rPr>
      <w:rFonts w:ascii="Calibri" w:eastAsia="宋体" w:cs="Arial" w:hAnsi="Calibri"/>
      <w:kern w:val="2"/>
      <w:sz w:val="21"/>
      <w:szCs w:val="24"/>
      <w:lang w:val="en-US" w:eastAsia="zh-CN" w:bidi="ar-SA"/>
    </w:rPr>
  </w:style>
  <w:style w:type="paragraph" w:customStyle="1" w:styleId="41">
    <w:name w:val="样式 19 10 磅"/>
    <w:pPr>
      <w:widowControl w:val="0"/>
      <w:jc w:val="both"/>
    </w:pPr>
    <w:rPr>
      <w:rFonts w:ascii="Calibri" w:eastAsia="宋体" w:cs="Arial" w:hAnsi="Calibri"/>
      <w:kern w:val="2"/>
      <w:sz w:val="21"/>
      <w:szCs w:val="24"/>
      <w:lang w:val="en-US" w:eastAsia="zh-CN" w:bidi="ar-SA"/>
    </w:rPr>
  </w:style>
  <w:style w:type="paragraph" w:customStyle="1" w:styleId="42">
    <w:name w:val="样式 20 10 磅"/>
    <w:pPr>
      <w:widowControl w:val="0"/>
      <w:jc w:val="both"/>
    </w:pPr>
    <w:rPr>
      <w:rFonts w:ascii="Calibri" w:eastAsia="宋体" w:cs="Arial" w:hAnsi="Calibri"/>
      <w:kern w:val="2"/>
      <w:sz w:val="21"/>
      <w:szCs w:val="24"/>
      <w:lang w:val="en-US" w:eastAsia="zh-CN" w:bidi="ar-SA"/>
    </w:rPr>
  </w:style>
  <w:style w:type="paragraph" w:customStyle="1" w:styleId="43">
    <w:name w:val="样式 21 10 磅"/>
    <w:pPr>
      <w:widowControl w:val="0"/>
      <w:jc w:val="both"/>
    </w:pPr>
    <w:rPr>
      <w:rFonts w:ascii="Calibri" w:eastAsia="宋体" w:cs="Arial" w:hAnsi="Calibri"/>
      <w:kern w:val="2"/>
      <w:sz w:val="21"/>
      <w:szCs w:val="24"/>
      <w:lang w:val="en-US" w:eastAsia="zh-CN" w:bidi="ar-SA"/>
    </w:rPr>
  </w:style>
  <w:style w:type="paragraph" w:customStyle="1" w:styleId="44">
    <w:name w:val="样式 22 10 磅"/>
    <w:pPr>
      <w:widowControl w:val="0"/>
      <w:jc w:val="both"/>
    </w:pPr>
    <w:rPr>
      <w:rFonts w:ascii="Calibri" w:eastAsia="宋体" w:cs="Arial" w:hAnsi="Calibri"/>
      <w:kern w:val="2"/>
      <w:sz w:val="21"/>
      <w:szCs w:val="24"/>
      <w:lang w:val="en-US" w:eastAsia="zh-CN" w:bidi="ar-SA"/>
    </w:rPr>
  </w:style>
  <w:style w:type="paragraph" w:customStyle="1" w:styleId="45">
    <w:name w:val="样式 小四"/>
    <w:pPr>
      <w:widowControl w:val="0"/>
    </w:pPr>
    <w:rPr>
      <w:rFonts w:ascii="宋体" w:eastAsia="宋体" w:cs="Times New Roman"/>
      <w:kern w:val="2"/>
      <w:sz w:val="24"/>
      <w:szCs w:val="21"/>
      <w:lang w:val="en-US" w:eastAsia="zh-CN" w:bidi="ar-SA"/>
    </w:rPr>
  </w:style>
  <w:style w:type="paragraph" w:customStyle="1" w:styleId="46">
    <w:name w:val="样式 23 10 磅"/>
    <w:pPr>
      <w:widowControl w:val="0"/>
      <w:jc w:val="both"/>
    </w:pPr>
    <w:rPr>
      <w:rFonts w:ascii="Calibri" w:eastAsia="宋体" w:cs="Arial" w:hAnsi="Calibri"/>
      <w:kern w:val="2"/>
      <w:sz w:val="21"/>
      <w:szCs w:val="24"/>
      <w:lang w:val="en-US" w:eastAsia="zh-CN" w:bidi="ar-SA"/>
    </w:rPr>
  </w:style>
  <w:style w:type="paragraph" w:customStyle="1" w:styleId="47">
    <w:name w:val="样式 24 10 磅"/>
    <w:pPr>
      <w:widowControl w:val="0"/>
      <w:jc w:val="both"/>
    </w:pPr>
    <w:rPr>
      <w:rFonts w:ascii="Calibri" w:eastAsia="宋体" w:cs="Arial" w:hAnsi="Calibri"/>
      <w:kern w:val="2"/>
      <w:sz w:val="21"/>
      <w:szCs w:val="24"/>
      <w:lang w:val="en-US" w:eastAsia="zh-CN" w:bidi="ar-SA"/>
    </w:rPr>
  </w:style>
  <w:style w:type="paragraph" w:customStyle="1" w:styleId="48">
    <w:name w:val="样式 2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49">
    <w:name w:val="样式 3 三号"/>
    <w:pPr>
      <w:widowControl w:val="0"/>
      <w:spacing w:line="560" w:lineRule="exact"/>
      <w:jc w:val="both"/>
    </w:pPr>
    <w:rPr>
      <w:rFonts w:ascii="Times New Roman" w:eastAsia="方正仿宋_GBK" w:cs="Times New Roman" w:hAnsi="Times New Roman"/>
      <w:kern w:val="2"/>
      <w:sz w:val="32"/>
      <w:lang w:val="en-US" w:eastAsia="zh-CN" w:bidi="ar-SA"/>
    </w:rPr>
  </w:style>
  <w:style w:type="paragraph" w:customStyle="1" w:styleId="50">
    <w:name w:val="样式 25 10 磅"/>
    <w:pPr>
      <w:widowControl w:val="0"/>
      <w:jc w:val="both"/>
    </w:pPr>
    <w:rPr>
      <w:rFonts w:ascii="Calibri" w:eastAsia="宋体" w:cs="Arial" w:hAnsi="Calibri"/>
      <w:kern w:val="2"/>
      <w:sz w:val="21"/>
      <w:szCs w:val="24"/>
      <w:lang w:val="en-US" w:eastAsia="zh-CN" w:bidi="ar-SA"/>
    </w:rPr>
  </w:style>
  <w:style w:type="paragraph" w:customStyle="1" w:styleId="51">
    <w:name w:val="样式 26 10 磅"/>
    <w:pPr>
      <w:widowControl w:val="0"/>
      <w:jc w:val="both"/>
    </w:pPr>
    <w:rPr>
      <w:rFonts w:ascii="Calibri" w:eastAsia="宋体" w:cs="Arial" w:hAnsi="Calibri"/>
      <w:kern w:val="2"/>
      <w:sz w:val="21"/>
      <w:szCs w:val="24"/>
      <w:lang w:val="en-US" w:eastAsia="zh-CN" w:bidi="ar-SA"/>
    </w:rPr>
  </w:style>
  <w:style w:type="paragraph" w:customStyle="1" w:styleId="52">
    <w:name w:val="样式 27 10 磅"/>
    <w:pPr>
      <w:widowControl w:val="0"/>
      <w:jc w:val="both"/>
    </w:pPr>
    <w:rPr>
      <w:rFonts w:ascii="Calibri" w:eastAsia="宋体" w:cs="Times New Roman" w:hAnsi="Calibri"/>
      <w:kern w:val="2"/>
      <w:sz w:val="21"/>
      <w:szCs w:val="22"/>
      <w:lang w:val="en-US" w:eastAsia="zh-CN" w:bidi="ar-SA"/>
    </w:rPr>
  </w:style>
  <w:style w:type="paragraph" w:customStyle="1" w:styleId="53">
    <w:name w:val="样式 28 10 磅"/>
    <w:pPr>
      <w:widowControl w:val="0"/>
      <w:jc w:val="both"/>
    </w:pPr>
    <w:rPr>
      <w:rFonts w:ascii="Calibri" w:eastAsia="宋体" w:cs="Times New Roman" w:hAnsi="Calibri"/>
      <w:kern w:val="2"/>
      <w:sz w:val="21"/>
      <w:szCs w:val="22"/>
      <w:lang w:val="en-US" w:eastAsia="zh-CN" w:bidi="ar-SA"/>
    </w:rPr>
  </w:style>
  <w:style w:type="paragraph" w:customStyle="1" w:styleId="54">
    <w:name w:val="样式 29 10 磅"/>
    <w:pPr>
      <w:widowControl w:val="0"/>
      <w:jc w:val="both"/>
    </w:pPr>
    <w:rPr>
      <w:rFonts w:ascii="Calibri" w:eastAsia="宋体" w:cs="Arial" w:hAnsi="Calibri"/>
      <w:kern w:val="2"/>
      <w:sz w:val="21"/>
      <w:szCs w:val="24"/>
      <w:lang w:val="en-US" w:eastAsia="zh-CN" w:bidi="ar-SA"/>
    </w:rPr>
  </w:style>
  <w:style w:type="paragraph" w:customStyle="1" w:styleId="55">
    <w:name w:val="样式 30 10 磅"/>
    <w:pPr>
      <w:widowControl w:val="0"/>
      <w:jc w:val="both"/>
    </w:pPr>
    <w:rPr>
      <w:rFonts w:ascii="Calibri" w:eastAsia="宋体" w:cs="Arial" w:hAnsi="Calibri"/>
      <w:kern w:val="2"/>
      <w:sz w:val="21"/>
      <w:szCs w:val="24"/>
      <w:lang w:val="en-US" w:eastAsia="zh-CN" w:bidi="ar-SA"/>
    </w:rPr>
  </w:style>
  <w:style w:type="paragraph" w:customStyle="1" w:styleId="56">
    <w:name w:val="样式 31 10 磅"/>
    <w:pPr>
      <w:widowControl w:val="0"/>
      <w:jc w:val="both"/>
    </w:pPr>
    <w:rPr>
      <w:rFonts w:ascii="Calibri" w:eastAsia="宋体" w:cs="Arial" w:hAnsi="Calibri"/>
      <w:kern w:val="2"/>
      <w:sz w:val="21"/>
      <w:szCs w:val="24"/>
      <w:lang w:val="en-US" w:eastAsia="zh-CN" w:bidi="ar-SA"/>
    </w:rPr>
  </w:style>
  <w:style w:type="paragraph" w:customStyle="1" w:styleId="57">
    <w:name w:val="样式 32 10 磅"/>
    <w:pPr>
      <w:widowControl w:val="0"/>
      <w:jc w:val="both"/>
    </w:pPr>
    <w:rPr>
      <w:rFonts w:ascii="Calibri" w:eastAsia="宋体" w:cs="Arial" w:hAnsi="Calibri"/>
      <w:kern w:val="2"/>
      <w:sz w:val="21"/>
      <w:szCs w:val="24"/>
      <w:lang w:val="en-US" w:eastAsia="zh-CN" w:bidi="ar-SA"/>
    </w:rPr>
  </w:style>
  <w:style w:type="paragraph" w:customStyle="1" w:styleId="58">
    <w:name w:val="修订1"/>
    <w:rPr>
      <w:rFonts w:ascii="Calibri" w:eastAsia="宋体" w:cs="Arial" w:hAnsi="Calibri"/>
      <w:kern w:val="2"/>
      <w:sz w:val="21"/>
      <w:szCs w:val="24"/>
      <w:lang w:val="en-US" w:eastAsia="zh-CN" w:bidi="ar-SA"/>
    </w:rPr>
  </w:style>
  <w:style w:type="paragraph" w:customStyle="1" w:styleId="59">
    <w:name w:val="Revision"/>
    <w:rPr>
      <w:rFonts w:ascii="Calibri" w:eastAsia="宋体" w:cs="Arial"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26</TotalTime>
  <Application>Yozo_Office</Application>
  <Pages>7</Pages>
  <Words>3394</Words>
  <Characters>3531</Characters>
  <Lines>89</Lines>
  <Paragraphs>77</Paragraphs>
  <CharactersWithSpaces>3582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阿牧古龙</dc:creator>
  <cp:lastModifiedBy>韩宇</cp:lastModifiedBy>
  <cp:revision>11</cp:revision>
  <cp:lastPrinted>2026-09-11T07:15:29Z</cp:lastPrinted>
  <dcterms:created xsi:type="dcterms:W3CDTF">2026-09-10T07:22:00Z</dcterms:created>
  <dcterms:modified xsi:type="dcterms:W3CDTF">2026-09-11T07:48:53Z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8BFDB32D35E2409A96B744D0C7FC1FE2</vt:lpwstr>
  </property>
  <property fmtid="{D5CDD505-2E9C-101B-9397-08002B2CF9AE}" pid="4" name="KSOTemplateDocerSaveRecord">
    <vt:lpwstr>eyJoZGlkIjoiOWFhZDljNzlhMjEyZTYwYTM1ZTIzNjJiZTRkZGEwNjciLCJ1c2VySWQiOiIzMjU1NzE3NTgifQ==</vt:lpwstr>
  </property>
</Properties>
</file>