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ind w:firstLine="0"/>
        <w:rPr>
          <w:rFonts w:asci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比选采购需求书</w:t>
      </w:r>
    </w:p>
    <w:tbl>
      <w:tblPr>
        <w:jc w:val="left"/>
        <w:tblInd w:w="0" w:type="dxa"/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862"/>
      </w:tblGrid>
      <w:tr>
        <w:tc>
          <w:tcPr>
            <w:tcW w:w="90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基础信息栏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包头海关职工餐厅操作间改造项目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采购预算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180000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元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评审方法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综合评分法（权重：价格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30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%、评审因素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70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%）</w:t>
            </w:r>
          </w:p>
        </w:tc>
      </w:tr>
      <w:tr>
        <w:tc>
          <w:tcPr>
            <w:tcW w:w="90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详细需求栏</w:t>
            </w:r>
          </w:p>
        </w:tc>
      </w:tr>
      <w:tr>
        <w:trPr>
          <w:trHeight w:val="4731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说明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1.不满足资格条件的响应文件将按无效响应文件处理。</w:t>
            </w:r>
          </w:p>
          <w:p>
            <w:pPr>
              <w:spacing w:line="40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详细需求栏中所有加“★”项的需求均为实质性要求，不满足实质性要求的响应文件将按无效响应文件处理。</w:t>
            </w:r>
          </w:p>
        </w:tc>
      </w:tr>
      <w:tr>
        <w:trPr>
          <w:trHeight w:val="3568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资格条件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1.具有独立承担民事责任的能力，持有有效的营业执照。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2.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具有履行合同所必需的设备和专业技术能力，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具备厨房设备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安装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、厨房装修改造施工相关的实施能力，能够完成拆除、水电改造、隔断、排烟系统安装、厨房设备安装调试等全部工作。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3.具有良好商业信誉，近3年经营活动中无重大违法失信记录。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4.本项目不接受联合体参与，不允许转包、分包。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</w:p>
        </w:tc>
      </w:tr>
      <w:tr>
        <w:trPr>
          <w:trHeight w:val="1082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★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</w:tc>
        <w:tc>
          <w:tcPr>
            <w:tcW w:w="6862" w:type="dxa"/>
          </w:tcPr>
          <w:p>
            <w:pPr>
              <w:spacing w:line="4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一、工期：10个自然日。</w:t>
            </w:r>
          </w:p>
          <w:p>
            <w:pPr>
              <w:spacing w:line="4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二、施工内容：</w:t>
            </w:r>
          </w:p>
          <w:p>
            <w:pPr>
              <w:spacing w:line="4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1.拆除：原有隔断、吊顶、部分旧设备、旧管线拆除；</w:t>
            </w:r>
          </w:p>
          <w:p>
            <w:pPr>
              <w:spacing w:line="4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2.布局改造：按照食品安全规范重新划分加工间、洗消区；</w:t>
            </w:r>
          </w:p>
          <w:p>
            <w:pPr>
              <w:spacing w:line="4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3.装修改造：铝合金玻璃隔断、吊顶；</w:t>
            </w:r>
          </w:p>
          <w:p>
            <w:pPr>
              <w:spacing w:line="4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4.机电改造：上下水改造、电路改造、桥架、配电改造；</w:t>
            </w:r>
          </w:p>
          <w:p>
            <w:pPr>
              <w:spacing w:line="4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5.排烟系统：明档排烟罩、排烟管道、油烟一体机及配套管道安装；</w:t>
            </w:r>
          </w:p>
          <w:p>
            <w:pPr>
              <w:spacing w:line="4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6.设备供货安装：洗消区不锈钢洗涮设备、储物设备等；</w:t>
            </w:r>
          </w:p>
          <w:p>
            <w:pPr>
              <w:spacing w:line="4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7.完成调试、保洁、垃圾外运、竣工验收。</w:t>
            </w:r>
          </w:p>
          <w:p>
            <w:pPr>
              <w:spacing w:line="4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三、质量要求：全部施工、设备供货安装符合国家现行建筑装饰、消防安全、食品安全、饮食业油烟排放相关规范标准，满足</w:t>
            </w:r>
            <w:r>
              <w:rPr>
                <w:rFonts w:ascii="方正仿宋_GBK" w:eastAsia="方正仿宋_GBK" w:cs="Times New Roman"/>
                <w:sz w:val="28"/>
                <w:szCs w:val="28"/>
              </w:rPr>
              <w:t>职工餐厅操作间</w:t>
            </w: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用要求。​</w:t>
            </w:r>
          </w:p>
          <w:p>
            <w:pPr>
              <w:spacing w:line="400" w:lineRule="exac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四、安全要求：严格落实安全文明施工，做好现场防护，施工期间不得影响</w:t>
            </w:r>
            <w:r>
              <w:rPr>
                <w:rFonts w:ascii="方正仿宋_GBK" w:eastAsia="方正仿宋_GBK" w:cs="Times New Roman"/>
                <w:sz w:val="28"/>
                <w:szCs w:val="28"/>
              </w:rPr>
              <w:t>职工餐厅</w:t>
            </w: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正常办公，做好防火、防触电、防油污、防交叉污染，施工垃圾全部清运出场。</w:t>
            </w:r>
          </w:p>
          <w:p>
            <w:pPr>
              <w:spacing w:line="400" w:lineRule="exact"/>
              <w:rPr>
                <w:rFonts w:ascii="方正仿宋_GBK" w:eastAsia="方正仿宋_GBK" w:cs="Times New Roman" w:hint="eastAsia"/>
                <w:sz w:val="28"/>
                <w:szCs w:val="28"/>
              </w:rPr>
            </w:pPr>
            <w:r>
              <w:rPr>
                <w:rFonts w:ascii="方正仿宋_GBK" w:eastAsia="方正仿宋_GBK" w:cs="Times New Roman"/>
                <w:sz w:val="28"/>
                <w:szCs w:val="28"/>
              </w:rPr>
              <w:t>五、质保要求：整体项目质保期不少于1年，质保期内出现质量问题，供应商免费上门维修更换。</w:t>
            </w:r>
          </w:p>
          <w:p>
            <w:pPr>
              <w:pStyle w:val="27"/>
              <w:spacing w:line="400" w:lineRule="exact"/>
              <w:ind w:firstLine="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方正仿宋_GBK" w:eastAsia="方正仿宋_GBK" w:cs="Times New Roman"/>
                <w:sz w:val="28"/>
                <w:szCs w:val="28"/>
              </w:rPr>
              <w:t>六</w:t>
            </w: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、支付方式：施工方按照合同约定完成项目，验收合格后，我方收到合规有效发票后支付合同总金额80%；待项目竣工审计完成后，施工方需按审计结算款的3%先行缴纳质量保证金，我方收到质保金后全额支付剩余工程款。待</w:t>
            </w:r>
            <w:r>
              <w:rPr>
                <w:rFonts w:ascii="方正仿宋_GBK" w:eastAsia="方正仿宋_GBK" w:cs="Times New Roman"/>
                <w:sz w:val="28"/>
                <w:szCs w:val="28"/>
              </w:rPr>
              <w:t>1</w:t>
            </w:r>
            <w:r>
              <w:rPr>
                <w:rFonts w:ascii="方正仿宋_GBK" w:eastAsia="方正仿宋_GBK" w:cs="Times New Roman" w:hint="eastAsia"/>
                <w:sz w:val="28"/>
                <w:szCs w:val="28"/>
              </w:rPr>
              <w:t>年质保期届满、无质量问题后，一次性无息支付质保金。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​</w:t>
            </w:r>
          </w:p>
        </w:tc>
      </w:tr>
      <w:tr>
        <w:trPr>
          <w:trHeight w:val="3753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</w:tc>
        <w:tc>
          <w:tcPr>
            <w:tcW w:w="6862" w:type="dxa"/>
          </w:tcPr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1.价格因素30分，计算方法为：比选基准价/报价×30，比选基准价为符合资格条件的最低报价，得分四舍五入保留2位小数点。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2. 技术方案（60分）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（1）项目施工组织方案（30分）：方案完整，针对职工餐厅操作间改造特点，包含拆除、水电改造、隔断、排烟系统、吊顶、设备安装、安全文明施工、现场防护、垃圾清运等完整实施流程，风险防控措施到位，得21‑30分；方案基本完整，措施一般得11‑20分；方案简单、缺项较多得0‑10分。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（2）厨房设备及排烟系统技术响应（20分）：设备参数、材质、油烟指标完全满足采购需求，设备选型适配操作间使用场景得14‑20分；基本满足得7‑13分；不满足核心要求得0‑6分。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（3）工期保障方案（10分）：工期节点清晰，人员配置、进度管控、赶工预案完善得7‑10分；有基本工期计划得3‑6分；无合理工期保障措施得0‑2分。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​3. 售后服务方案（10分）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售后服务方案完善，质保服务优于采购需求，故障响应、上门维修时限、设备操作培训方案齐全得7‑10分；满足基本要求得3‑6分；方案不完善得0‑2分。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 xml:space="preserve"> </w:t>
            </w:r>
          </w:p>
        </w:tc>
      </w:tr>
      <w:tr>
        <w:trPr>
          <w:trHeight w:val="2545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其他因素</w:t>
            </w:r>
          </w:p>
        </w:tc>
        <w:tc>
          <w:tcPr>
            <w:tcW w:w="6862" w:type="dxa"/>
          </w:tcPr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1、公告期限（3个工作日）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2、响应文件份数（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3份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）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footerReference w:type="default" r:id="rId2"/>
      <w:footerReference w:type="even" r:id="rId3"/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2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0"/>
      <w:framePr w:w="0" w:hRule="auto" w:wrap="around" w:vAnchor="text" w:hAnchor="margin" w:xAlign="right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17"/>
      </w:rPr>
      <w:fldChar w:fldCharType="begin"/>
    </w:r>
    <w:r>
      <w:rPr>
        <w:rStyle w:val="17"/>
      </w:rPr>
      <w:instrText>Page</w:instrText>
    </w:r>
    <w:r>
      <w:rPr>
        <w:rStyle w:val="17"/>
      </w:rPr>
      <w:fldChar w:fldCharType="separate"/>
    </w:r>
    <w:r>
      <w:rPr>
        <w:rStyle w:val="17"/>
      </w:rPr>
      <w:t>1</w:t>
    </w:r>
    <w:r>
      <w:rPr>
        <w:rStyle w:val="17"/>
      </w:rPr>
      <w:fldChar w:fldCharType="end"/>
    </w:r>
  </w:p>
  <w:p>
    <w:pPr>
      <w:pStyle w:val="20"/>
      <w:tabs>
        <w:tab w:val="center" w:pos="4153"/>
        <w:tab w:val="right" w:pos="8306"/>
      </w:tabs>
      <w:ind w:right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right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17"/>
      </w:rPr>
      <w:fldChar w:fldCharType="begin"/>
    </w:r>
    <w:r>
      <w:rPr>
        <w:rStyle w:val="17"/>
      </w:rPr>
      <w:instrText>Page</w:instrText>
    </w:r>
    <w:r>
      <w:rPr>
        <w:rStyle w:val="17"/>
      </w:rPr>
      <w:fldChar w:fldCharType="separate"/>
    </w:r>
    <w:r>
      <w:rPr>
        <w:rStyle w:val="17"/>
      </w:rPr>
      <w:t>1</w:t>
    </w:r>
    <w:r>
      <w:rPr>
        <w:rStyle w:val="17"/>
      </w:rPr>
      <w:fldChar w:fldCharType="end"/>
    </w:r>
  </w:p>
  <w:p>
    <w:pPr>
      <w:pStyle w:val="16"/>
      <w:tabs>
        <w:tab w:val="center" w:pos="4153"/>
        <w:tab w:val="right" w:pos="8306"/>
      </w:tabs>
      <w:ind w:right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index 6"/>
    <w:basedOn w:val="0"/>
    <w:autoRedefine/>
    <w:next w:val="0"/>
    <w:pPr>
      <w:ind w:left="2100"/>
    </w:pPr>
  </w:style>
  <w:style w:type="paragraph" w:styleId="16">
    <w:name w:val="footer"/>
    <w:next w:val="15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kern w:val="2"/>
      <w:sz w:val="18"/>
      <w:szCs w:val="18"/>
      <w:lang w:val="en-US" w:eastAsia="zh-CN" w:bidi="ar-SA"/>
    </w:rPr>
  </w:style>
  <w:style w:type="character" w:styleId="17">
    <w:name w:val="page number"/>
  </w:style>
  <w:style w:type="character" w:styleId="18">
    <w:name w:val="endnote reference"/>
    <w:basedOn w:val="10"/>
    <w:rPr>
      <w:vertAlign w:val="superscript"/>
    </w:rPr>
  </w:style>
  <w:style w:type="paragraph" w:customStyle="1" w:styleId="19">
    <w:name w:val="样式 22 10 磅"/>
    <w:next w:val="18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kern w:val="2"/>
      <w:sz w:val="18"/>
      <w:szCs w:val="18"/>
      <w:lang w:val="en-US" w:eastAsia="zh-CN" w:bidi="ar-SA"/>
    </w:rPr>
  </w:style>
  <w:style w:type="paragraph" w:styleId="21">
    <w:name w:val="index 7"/>
    <w:basedOn w:val="0"/>
    <w:autoRedefine/>
    <w:next w:val="0"/>
    <w:pPr>
      <w:ind w:left="2520"/>
    </w:pPr>
  </w:style>
  <w:style w:type="paragraph" w:styleId="22">
    <w:name w:val="toc 2"/>
    <w:basedOn w:val="0"/>
    <w:autoRedefine/>
    <w:next w:val="0"/>
    <w:pPr>
      <w:ind w:left="420"/>
    </w:pPr>
  </w:style>
  <w:style w:type="paragraph" w:customStyle="1" w:styleId="23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92</TotalTime>
  <Application>Yozo_Office</Application>
  <Pages>3</Pages>
  <Words>1270</Words>
  <Characters>1314</Characters>
  <Lines>66</Lines>
  <Paragraphs>44</Paragraphs>
  <CharactersWithSpaces>1320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冯强</dc:creator>
  <cp:lastModifiedBy>李紫萌</cp:lastModifiedBy>
  <cp:revision>0</cp:revision>
  <dcterms:created xsi:type="dcterms:W3CDTF">2025-07-16T06:21:43Z</dcterms:created>
  <dcterms:modified xsi:type="dcterms:W3CDTF">2026-09-08T08:38:09Z</dcterms:modified>
</cp:coreProperties>
</file>