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/>
                <w:sz w:val="32"/>
                <w:szCs w:val="32"/>
                <w:lang w:val="en-US" w:eastAsia="zh-CN"/>
              </w:rPr>
              <w:t>东乌</w:t>
            </w:r>
            <w:r>
              <w:rPr>
                <w:rFonts w:ascii="仿宋_GB2312" w:eastAsia="仿宋_GB2312" w:cs="方正仿宋_GBK" w:hint="eastAsia"/>
                <w:sz w:val="32"/>
                <w:szCs w:val="32"/>
                <w:lang w:val="en-US" w:eastAsia="zh-CN"/>
              </w:rPr>
              <w:t>海关</w:t>
            </w:r>
            <w:r>
              <w:rPr>
                <w:rFonts w:ascii="仿宋_GB2312" w:eastAsia="仿宋_GB2312" w:cs="方正仿宋_GBK"/>
                <w:sz w:val="32"/>
                <w:szCs w:val="32"/>
                <w:lang w:val="en-US" w:eastAsia="zh-CN"/>
              </w:rPr>
              <w:t>公寓楼体育馆修缮项目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需求部门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/>
                <w:sz w:val="32"/>
                <w:szCs w:val="32"/>
              </w:rPr>
              <w:t>东乌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海关办公室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/>
                <w:sz w:val="32"/>
                <w:szCs w:val="32"/>
                <w:lang w:val="en-US" w:eastAsia="zh-CN"/>
              </w:rPr>
              <w:t>299716.51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经费来源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/>
                <w:sz w:val="32"/>
                <w:szCs w:val="32"/>
              </w:rPr>
              <w:t>东乌海关应急救灾项目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经费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综合评分法（权重：价格</w:t>
            </w:r>
            <w:r>
              <w:rPr>
                <w:rFonts w:ascii="仿宋_GB2312" w:eastAsia="仿宋_GB2312" w:cs="方正仿宋_GBK" w:hint="eastAsia"/>
                <w:sz w:val="32"/>
                <w:szCs w:val="32"/>
                <w:lang w:val="en-US" w:eastAsia="zh-CN"/>
              </w:rPr>
              <w:t>30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%、</w:t>
            </w:r>
            <w:r>
              <w:rPr>
                <w:rFonts w:ascii="仿宋_GB2312" w:eastAsia="仿宋_GB2312" w:cs="方正仿宋_GBK" w:hint="eastAsia"/>
                <w:sz w:val="32"/>
                <w:szCs w:val="32"/>
                <w:lang w:val="en-US" w:eastAsia="zh-CN"/>
              </w:rPr>
              <w:t>商务18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%</w:t>
            </w:r>
            <w:r>
              <w:rPr>
                <w:rFonts w:ascii="仿宋_GB2312" w:eastAsia="仿宋_GB2312" w:cs="方正仿宋_GBK" w:hint="eastAsia"/>
                <w:sz w:val="32"/>
                <w:szCs w:val="32"/>
                <w:lang w:eastAsia="zh-CN"/>
              </w:rPr>
              <w:t>、</w:t>
            </w:r>
            <w:r>
              <w:rPr>
                <w:rFonts w:ascii="仿宋_GB2312" w:eastAsia="仿宋_GB2312" w:cs="方正仿宋_GBK" w:hint="eastAsia"/>
                <w:sz w:val="32"/>
                <w:szCs w:val="32"/>
                <w:lang w:val="en-US" w:eastAsia="zh-CN"/>
              </w:rPr>
              <w:t>技术52%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）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473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2.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numPr>
                <w:ilvl w:val="0"/>
                <w:numId w:val="1"/>
              </w:num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具有独立承担民事责任的能力。</w:t>
            </w:r>
          </w:p>
          <w:p>
            <w:pPr>
              <w:numPr>
                <w:ilvl w:val="0"/>
                <w:numId w:val="1"/>
              </w:num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单位负责人为同一人或者存在直接控股、管理关系的不同服务商，不得参加同一合同项下的采购活动。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3.对在“信用中国”网站(www.creditchina.gov.cn)、中国政府采购网(www.ccgp.gov.cn)等渠道列入失信被执行人、重大税收违法失信主体、政府采购严重违法失信行为记录名单及其他不符合《中华人民共和国政府采购法》第二十二条规定条件的服务商，不得参与采购活动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4.本次采购不接受联合体参与比选。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5.具备</w:t>
            </w:r>
            <w:r>
              <w:rPr>
                <w:rFonts w:ascii="仿宋_GB2312" w:eastAsia="仿宋_GB2312" w:cs="Times New Roman"/>
                <w:sz w:val="32"/>
                <w:szCs w:val="32"/>
              </w:rPr>
              <w:t>工程施工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、安装、维修等相应资质。</w:t>
            </w:r>
          </w:p>
          <w:p>
            <w:pPr>
              <w:spacing w:line="400" w:lineRule="exact"/>
              <w:rPr>
                <w:rFonts w:ascii="仿宋_GB2312" w:eastAsia="仿宋_GB2312" w:cs="方正仿宋_GBK" w:hint="eastAsia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不满足资格条件的响应文件将按无效响应文件处理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eastAsia="zh-CN"/>
              </w:rPr>
              <w:t>。</w:t>
            </w: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实质性需求</w:t>
            </w:r>
          </w:p>
        </w:tc>
        <w:tc>
          <w:tcPr>
            <w:tcW w:w="6862" w:type="dxa"/>
          </w:tcPr>
          <w:p>
            <w:pPr>
              <w:numPr>
                <w:ilvl w:val="0"/>
                <w:numId w:val="2"/>
              </w:numPr>
              <w:spacing w:line="400" w:lineRule="exact"/>
              <w:ind w:left="0" w:firstLine="0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具体详见工程量清单。</w:t>
            </w:r>
          </w:p>
          <w:p>
            <w:pPr>
              <w:numPr>
                <w:ilvl w:val="0"/>
                <w:numId w:val="2"/>
              </w:numPr>
              <w:spacing w:line="400" w:lineRule="exact"/>
              <w:ind w:left="0" w:firstLine="0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选用的建筑材料包括主材、辅材必须为国标产品、符合国家验收标准。</w:t>
            </w:r>
          </w:p>
          <w:p>
            <w:pPr>
              <w:numPr>
                <w:ilvl w:val="0"/>
                <w:numId w:val="2"/>
              </w:numPr>
              <w:spacing w:line="400" w:lineRule="exact"/>
              <w:ind w:left="0" w:firstLine="0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预算控制价及报价说明。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3.1本项目预算控制价为: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贰拾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玖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万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玖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仟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柒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佰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壹拾陆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元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伍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角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壹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分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(小写:</w:t>
            </w:r>
            <w:r>
              <w:rPr>
                <w:rFonts w:ascii="仿宋_GB2312" w:eastAsia="仿宋_GB2312" w:cs="Times New Roman"/>
                <w:sz w:val="32"/>
                <w:szCs w:val="32"/>
                <w:lang w:val="en-US" w:eastAsia="zh-CN"/>
              </w:rPr>
              <w:t>299716.51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元)，此控制价含税。超出控制价视为无效。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.2已标价的工程量清单作为报价的一部分需装订入响应文件，如果响应文件中没有已标价工程量清单视为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无效响应文件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4.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商务要求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4.1工期:接到甲方开工通知后</w:t>
            </w:r>
            <w:r>
              <w:rPr>
                <w:rFonts w:ascii="仿宋_GB2312" w:eastAsia="仿宋_GB2312" w:cs="Times New Roman"/>
                <w:sz w:val="32"/>
                <w:szCs w:val="32"/>
              </w:rPr>
              <w:t>20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天内完工;施工地点:</w:t>
            </w:r>
            <w:r>
              <w:rPr>
                <w:rFonts w:ascii="仿宋_GB2312" w:eastAsia="仿宋_GB2312" w:cs="Times New Roman"/>
                <w:sz w:val="32"/>
                <w:szCs w:val="32"/>
              </w:rPr>
              <w:t>东乌旗嘎达布其镇海关公寓楼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。</w:t>
            </w:r>
          </w:p>
          <w:p>
            <w:pPr>
              <w:spacing w:line="400" w:lineRule="exact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4.2支付方式:签订合同后，支付合同总额的30%款项;工程竣工验收合格，经甲方委托的审计单位审定工程结算价，</w:t>
            </w:r>
            <w:r>
              <w:rPr>
                <w:rFonts w:ascii="仿宋_GB2312" w:eastAsia="仿宋_GB2312" w:cs="Times New Roman"/>
                <w:sz w:val="32"/>
                <w:szCs w:val="32"/>
              </w:rPr>
              <w:t>甲方</w:t>
            </w:r>
            <w:r>
              <w:rPr>
                <w:rFonts w:ascii="仿宋_GB2312" w:eastAsia="仿宋_GB2312" w:cs="Times New Roman" w:hint="eastAsia"/>
                <w:sz w:val="32"/>
                <w:szCs w:val="32"/>
              </w:rPr>
              <w:t>支付</w:t>
            </w:r>
            <w:r>
              <w:rPr>
                <w:rFonts w:ascii="仿宋_GB2312" w:eastAsia="仿宋_GB2312" w:cs="Times New Roman"/>
                <w:sz w:val="32"/>
                <w:szCs w:val="32"/>
              </w:rPr>
              <w:t>至结算价的100%（乙方先行向甲方指定账户支付结算价的3%作为质量保证金）。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4.3质量保证金:工程结算价款总额的3%作为质量保证金，质量保修期满后30日内无息退还。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.4质量要求:符合国家及行业相关规范和标准，满足设计要求。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4.5安全要求:确保安全文明施工，执行国家现行相关规定。</w:t>
            </w:r>
          </w:p>
          <w:p>
            <w:pPr>
              <w:spacing w:line="400" w:lineRule="exact"/>
              <w:rPr>
                <w:rFonts w:ascii="仿宋_GB2312" w:eastAsia="仿宋_GB2312" w:cs="Times New Roman" w:hint="eastAsia"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sz w:val="32"/>
                <w:szCs w:val="32"/>
                <w:lang w:val="en-US" w:eastAsia="zh-CN"/>
              </w:rPr>
              <w:t>4.6质量保修期:按照《建设工程质量管理条例》要求执行，自竣工验收合格之日起计算1年。</w:t>
            </w:r>
          </w:p>
        </w:tc>
      </w:tr>
      <w:tr>
        <w:trPr>
          <w:trHeight w:val="1650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评审因素</w:t>
            </w:r>
          </w:p>
        </w:tc>
        <w:tc>
          <w:tcPr>
            <w:tcW w:w="6862" w:type="dxa"/>
          </w:tcPr>
          <w:tbl>
            <w:tblPr>
              <w:jc w:val="left"/>
              <w:tblInd w:w="-14" w:type="dxa"/>
              <w:tblW w:w="662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08"/>
              <w:gridCol w:w="1388"/>
              <w:gridCol w:w="4124"/>
            </w:tblGrid>
            <w:tr>
              <w:trPr>
                <w:trHeight w:val="460"/>
              </w:trPr>
              <w:tc>
                <w:tcPr>
                  <w:tcW w:w="1108" w:type="dxa"/>
                  <w:tcBorders>
                    <w:tl2br w:val="nil"/>
                    <w:tr2bl w:val="nil"/>
                  </w:tcBorders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评审因素</w:t>
                  </w:r>
                </w:p>
              </w:tc>
              <w:tc>
                <w:tcPr>
                  <w:tcW w:w="5512" w:type="dxa"/>
                  <w:gridSpan w:val="2"/>
                  <w:tcBorders>
                    <w:tl2br w:val="nil"/>
                    <w:tr2bl w:val="nil"/>
                  </w:tcBorders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评审标准</w:t>
                  </w:r>
                </w:p>
              </w:tc>
            </w:tr>
            <w:tr>
              <w:trPr>
                <w:trHeight w:val="967"/>
              </w:trPr>
              <w:tc>
                <w:tcPr>
                  <w:tcW w:w="1108" w:type="dxa"/>
                  <w:tcBorders>
                    <w:tl2br w:val="nil"/>
                    <w:tr2bl w:val="nil"/>
                  </w:tcBorders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分值构成</w:t>
                  </w:r>
                </w:p>
              </w:tc>
              <w:tc>
                <w:tcPr>
                  <w:tcW w:w="5512" w:type="dxa"/>
                  <w:gridSpan w:val="2"/>
                  <w:tcBorders>
                    <w:tl2br w:val="nil"/>
                    <w:tr2bl w:val="nil"/>
                  </w:tcBorders>
                </w:tcPr>
                <w:p>
                  <w:pPr>
                    <w:pStyle w:val="20"/>
                    <w:spacing w:before="11"/>
                    <w:ind w:left="64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pacing w:val="-3"/>
                      <w:w w:val="104"/>
                      <w:sz w:val="32"/>
                      <w:szCs w:val="32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w w:val="104"/>
                      <w:sz w:val="32"/>
                      <w:szCs w:val="32"/>
                    </w:rPr>
                    <w:t>、技术部分</w:t>
                  </w:r>
                  <w:r>
                    <w:rPr>
                      <w:rFonts w:ascii="仿宋_GB2312" w:eastAsia="仿宋_GB2312" w:cs="仿宋" w:hint="eastAsia"/>
                      <w:spacing w:val="-3"/>
                      <w:w w:val="104"/>
                      <w:sz w:val="32"/>
                      <w:szCs w:val="32"/>
                      <w:lang w:val="en-US" w:eastAsia="zh-CN"/>
                    </w:rPr>
                    <w:t>52</w:t>
                  </w:r>
                  <w:r>
                    <w:rPr>
                      <w:rFonts w:ascii="仿宋_GB2312" w:eastAsia="仿宋_GB2312" w:cs="仿宋" w:hint="eastAsia"/>
                      <w:w w:val="104"/>
                      <w:sz w:val="32"/>
                      <w:szCs w:val="32"/>
                    </w:rPr>
                    <w:t>分</w:t>
                  </w:r>
                </w:p>
                <w:p>
                  <w:pPr>
                    <w:pStyle w:val="20"/>
                    <w:ind w:left="64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pacing w:val="-3"/>
                      <w:w w:val="104"/>
                      <w:sz w:val="32"/>
                      <w:szCs w:val="32"/>
                    </w:rPr>
                    <w:t>2</w:t>
                  </w:r>
                  <w:r>
                    <w:rPr>
                      <w:rFonts w:ascii="仿宋_GB2312" w:eastAsia="仿宋_GB2312" w:cs="仿宋" w:hint="eastAsia"/>
                      <w:w w:val="104"/>
                      <w:sz w:val="32"/>
                      <w:szCs w:val="32"/>
                    </w:rPr>
                    <w:t>、商务部分18分</w:t>
                  </w:r>
                </w:p>
                <w:p>
                  <w:pPr>
                    <w:pStyle w:val="20"/>
                    <w:spacing w:line="326" w:lineRule="exact"/>
                    <w:ind w:left="64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pacing w:val="-3"/>
                      <w:w w:val="104"/>
                      <w:sz w:val="32"/>
                      <w:szCs w:val="32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w w:val="104"/>
                      <w:sz w:val="32"/>
                      <w:szCs w:val="32"/>
                    </w:rPr>
                    <w:t>、报价得分</w:t>
                  </w:r>
                  <w:r>
                    <w:rPr>
                      <w:rFonts w:ascii="仿宋_GB2312" w:eastAsia="仿宋_GB2312" w:cs="仿宋" w:hint="eastAsia"/>
                      <w:spacing w:val="-3"/>
                      <w:w w:val="104"/>
                      <w:sz w:val="32"/>
                      <w:szCs w:val="32"/>
                    </w:rPr>
                    <w:t>30</w:t>
                  </w:r>
                  <w:r>
                    <w:rPr>
                      <w:rFonts w:ascii="仿宋_GB2312" w:eastAsia="仿宋_GB2312" w:cs="仿宋" w:hint="eastAsia"/>
                      <w:w w:val="104"/>
                      <w:sz w:val="32"/>
                      <w:szCs w:val="32"/>
                    </w:rPr>
                    <w:t>分</w:t>
                  </w:r>
                </w:p>
              </w:tc>
            </w:tr>
            <w:tr>
              <w:trPr>
                <w:trHeight w:val="458"/>
              </w:trPr>
              <w:tc>
                <w:tcPr>
                  <w:tcW w:w="1108" w:type="dxa"/>
                  <w:vMerge w:val="restart"/>
                  <w:tcBorders>
                    <w:tl2br w:val="nil"/>
                    <w:tr2bl w:val="nil"/>
                  </w:tcBorders>
                </w:tcPr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  <w:p>
                  <w:pPr>
                    <w:pStyle w:val="20"/>
                    <w:spacing w:before="145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技术部分</w:t>
                  </w:r>
                </w:p>
                <w:p>
                  <w:pPr>
                    <w:pStyle w:val="20"/>
                    <w:spacing w:before="145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（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52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分）</w:t>
                  </w:r>
                </w:p>
                <w:p>
                  <w:pPr>
                    <w:pStyle w:val="20"/>
                    <w:spacing w:before="145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</w:p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总体施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案与技术</w:t>
                  </w:r>
                </w:p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措施</w:t>
                  </w:r>
                </w:p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(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15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提供的总体施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工方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案与技术措施，综合评定。内容包括： 1.施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工方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范围制定分区、分时段施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规划，明确施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区域隔离防护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案；2.技术措施：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内容编制完整施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艺、标准化作业流程；3.技术标准：列明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适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的国家、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业现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及验收规范清单；4.恶劣天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气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保障：结合项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况制定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季、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高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温、低温等不利条件施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保障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案；5.现场人员管理制度：持证上岗、现场通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、作业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为管控相关制度；</w:t>
                  </w:r>
                </w:p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针对以上5项内容进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评审，每项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分，最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高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得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15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分。每缺少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项内容扣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分，每项中每存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</w:rPr>
                    <w:t>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处缺陷扣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每项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最多扣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分。（注：“缺陷”指以下任意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</w:rPr>
                    <w:t>一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种情形：内容不切合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业实际、不符合国家法规政策；或内容凭空编造，与实际情况不符，存在偏差；或内容过于简略；或存在与项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目无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关的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文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字内容；或内容不适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实际情况；或内容逻辑漏洞或原理错误；或地点区域错误；或套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其他项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案；或前后内容互相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盾；或专业领域知识阐述有误。）</w:t>
                  </w:r>
                </w:p>
              </w:tc>
            </w:tr>
            <w:tr>
              <w:trPr>
                <w:trHeight w:val="611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</w:pP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质量管理体系与措施(10.0分)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</w:pP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根据供应商针对本项目提供的质量管理体系与措施，综合评定。内容包括：1.质量管理体系规范性：设置完整质量管理组织架构、岗位职责、全流程管控制度；2.质量控制计划：匹配本项目施工工序制定关键节点检测、验收管控计划； 3.材料质量保障：材料抽检管理、进场材料合格证管理；4.过程质量把控：明确隐蔽工程验收节点、现场管控要求，留存</w:t>
                  </w:r>
                  <w:r>
                    <w:rPr>
                      <w:rFonts w:ascii="仿宋_GB2312" w:eastAsia="仿宋_GB2312" w:cs="仿宋"/>
                      <w:kern w:val="2"/>
                      <w:sz w:val="32"/>
                      <w:szCs w:val="32"/>
                      <w:lang w:val="en-US" w:eastAsia="zh-CN" w:bidi="ar-SA"/>
                    </w:rPr>
                    <w:t>隐蔽工程</w:t>
                  </w: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影像资料；5.质量通病防治：针对本项目施</w:t>
                  </w:r>
                  <w:r>
                    <w:rPr>
                      <w:rFonts w:ascii="仿宋_GB2312" w:eastAsia="仿宋_GB2312" w:cs="仿宋"/>
                      <w:kern w:val="2"/>
                      <w:sz w:val="32"/>
                      <w:szCs w:val="32"/>
                      <w:lang w:val="en-US" w:eastAsia="zh-CN" w:bidi="ar-SA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常见质量问题制定专项防治措施。</w:t>
                  </w:r>
                </w:p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</w:pP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针对以上5项内容进行评审，每项2分，最高得10分。每缺少1项内容扣2分，每项中每存在1处缺陷扣</w:t>
                  </w:r>
                  <w:r>
                    <w:rPr>
                      <w:rFonts w:ascii="仿宋_GB2312" w:eastAsia="仿宋_GB2312" w:cs="仿宋"/>
                      <w:kern w:val="2"/>
                      <w:sz w:val="32"/>
                      <w:szCs w:val="32"/>
                      <w:lang w:val="en-US" w:eastAsia="zh-CN" w:bidi="ar-SA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  <w:t>分，每项最多扣2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1441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安全管理体系与措施(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5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提供的安全管理体系与措施，综合评定。内容包括：1.安全管理体系：明确项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安全责任，安全生产责任划分清晰；2.分项专项安全防护制度：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内容制定对应临电、有限空间等专项安全管理要求；3.安全培训与教育：现场安全教育、分部分项安全技术交底计划；4.现场安全防护：围挡、防护设施、消防器材、警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示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标识、夜间施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照明等硬件保障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案；5.施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区域隔离管控：制定施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区与办公区域安全隔离、通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引导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案。</w:t>
                  </w:r>
                </w:p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针对以上5项内容进行评审，每项1分，最高得5分。每缺少1项内容扣1分，每项中每存在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0.5分，每项最多扣1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594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环境管理体系与措施(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left="0" w:firstLineChars="0" w:firstLine="0"/>
                    <w:rPr>
                      <w:rFonts w:ascii="仿宋_GB2312" w:eastAsia="仿宋_GB2312" w:cs="仿宋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提供的环境管理体系与措施，综合评定。内容包括：1.扬尘控制：针对本项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拆除、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打磨、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切割等作业配套降尘施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措施；2.噪声控制：分时段管控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高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噪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音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作业，配备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需求的低噪设备；3.建筑垃圾管理：施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废料密封存放、及时清运，配套合规运输及消纳处置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案；4.有害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气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体管控：本项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涉及涂装、防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水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等挥发性材料的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配套环保材料检测、通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</w:rPr>
                    <w:t>风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管控措施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</w:rPr>
                    <w:t>。</w:t>
                  </w:r>
                </w:p>
                <w:p>
                  <w:pPr>
                    <w:pStyle w:val="16"/>
                    <w:ind w:left="0"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项内容进行评审，每项1分，最高得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分。每缺少1项内容扣1分，每项中每存在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0.5分，每项最多扣1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1430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程进度计划与措施 (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程进度计划与措施，综合评定。内容包括：1.施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进度计划：提供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程量的总进度、分项节点横道图，明确关键施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节点；2.进度保障措施：配套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需求的保障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 3.分阶段施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安排：结合现场运营需求制定分区分段施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组织计划；4.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期滞后纠偏预案：针对各类停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影响因素制定适配本项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的赶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、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期调整措施。</w:t>
                  </w:r>
                </w:p>
                <w:p>
                  <w:pPr>
                    <w:pStyle w:val="16"/>
                    <w:ind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针对以上4项内容进行评审，每项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分，最高得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分。每缺少1项内容扣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0.5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分，每项最多扣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1430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应急管理措施(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提供的应急管理措施，综合评定。内容包括：1.施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现场通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停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水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、停电情应急响应处置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案；2.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内容制定渗漏、触电、坠物等专项险情处置及损失赔付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案；3.现场人员通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行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突发险情处置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案；4.各类施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安全事故标准化应急处置流程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；</w:t>
                  </w:r>
                </w:p>
                <w:p>
                  <w:pP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针对以上4项内容进行评审，每项1分，最高得4分。每缺少1项内容扣1分，每项中每存在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0.5分，每项最多扣1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530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资源</w:t>
                  </w:r>
                </w:p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配备计划（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.0分）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根据供应商针对本项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提供的资源配备计划，综合评定。内容包括：1.资源需求测算：结合本项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程量测算劳动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、机械设备、主材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量；2.劳动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配置：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序配置各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种人员按需要额配备；3.机械设备配置：提供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匹配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本项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目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内容的专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用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施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eastAsia="zh-CN"/>
                    </w:rPr>
                    <w:t>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、检测设备清单；4.进场统筹计划：制定分批次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</w:rPr>
                    <w:t>人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员、材料、机械设备进场时序安排。</w:t>
                  </w:r>
                </w:p>
                <w:p>
                  <w:pPr>
                    <w:pStyle w:val="16"/>
                    <w:ind w:left="0"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针对以上4项内容进行评审，每项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分，最高得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4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分。每缺少1项内容扣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0.5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分，每项最多扣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530"/>
              </w:trPr>
              <w:tc>
                <w:tcPr>
                  <w:tcW w:w="1108" w:type="dxa"/>
                  <w:vMerge/>
                  <w:tcBorders>
                    <w:tl2br w:val="nil"/>
                    <w:tr2bl w:val="nil"/>
                  </w:tcBorders>
                </w:tcPr>
                <w:p/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成品保护及现场管理（6.0分）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16"/>
                    <w:ind w:left="0"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根据供应商针对本项目提供的成品保护及现场管理，综合评定。内容包括：1.成品保护方案：针对本项目施工范围内原有建构筑物、设备、管线等制定防护措施；2.现场保洁及恢复：每日施工收尾清洁、工程完工后场地复原标准；3.施工现场标准化标识：规范设置施工警示、通行指引、材料分区堆放标识。</w:t>
                  </w:r>
                </w:p>
                <w:p>
                  <w:pPr>
                    <w:pStyle w:val="16"/>
                    <w:ind w:left="0" w:firstLineChars="0" w:firstLine="0"/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针对以上3项内容进行评审，每项2分，最高得6分。每缺少1项内容扣2分，每项中每存在</w:t>
                  </w:r>
                  <w:r>
                    <w:rPr>
                      <w:rFonts w:ascii="仿宋_GB2312" w:eastAsia="仿宋" w:cs="仿宋" w:hAnsi="仿宋_GB2312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处缺陷扣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分，每项最多扣2分。（注：“缺陷”指以下任意一种情形：内容不切合行业实际、不符合国家法规政策；或内容凭空编造，与实际情况不符，存在偏差；或内容过于简略；或存在与项目无关的文字内容；或内容不适用项目实际情况；或内容逻辑漏洞或原理错误；或地点区域错误；或套用其他项目方案；或前后内容互相矛盾；或专业领域知识阐述有误。）</w:t>
                  </w:r>
                </w:p>
              </w:tc>
            </w:tr>
            <w:tr>
              <w:trPr>
                <w:trHeight w:val="546"/>
              </w:trPr>
              <w:tc>
                <w:tcPr>
                  <w:tcW w:w="110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20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商务部分</w:t>
                  </w:r>
                </w:p>
                <w:p>
                  <w:pPr>
                    <w:pStyle w:val="20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（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18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分)</w:t>
                  </w:r>
                </w:p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仿宋_GB2312" w:eastAsia="仿宋_GB2312" w:cs="仿宋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业绩</w:t>
                  </w:r>
                </w:p>
                <w:p>
                  <w:pPr>
                    <w:jc w:val="center"/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（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  <w:lang w:val="en-US" w:eastAsia="zh-CN"/>
                    </w:rPr>
                    <w:t>18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分）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供应商近三年（202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年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en-US" w:eastAsia="zh-CN"/>
                    </w:rPr>
                    <w:t>7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月1日至今）</w:t>
                  </w:r>
                  <w:r>
                    <w:rPr>
                      <w:rFonts w:ascii="仿宋_GB2312" w:eastAsia="仿宋_GB2312" w:cs="仿宋" w:hint="eastAsia"/>
                      <w:color w:val="auto"/>
                      <w:sz w:val="32"/>
                      <w:szCs w:val="32"/>
                    </w:rPr>
                    <w:t>类似项目业绩，每有一份得</w:t>
                  </w:r>
                  <w:r>
                    <w:rPr>
                      <w:rFonts w:ascii="仿宋_GB2312" w:eastAsia="仿宋_GB2312" w:cs="仿宋" w:hint="eastAsia"/>
                      <w:color w:val="auto"/>
                      <w:sz w:val="32"/>
                      <w:szCs w:val="32"/>
                      <w:lang w:val="en-US" w:eastAsia="zh-CN"/>
                    </w:rPr>
                    <w:t>3</w:t>
                  </w:r>
                  <w:r>
                    <w:rPr>
                      <w:rFonts w:ascii="仿宋_GB2312" w:eastAsia="仿宋_GB2312" w:cs="仿宋" w:hint="eastAsia"/>
                      <w:color w:val="auto"/>
                      <w:sz w:val="32"/>
                      <w:szCs w:val="32"/>
                    </w:rPr>
                    <w:t>分，最多得</w:t>
                  </w:r>
                  <w:r>
                    <w:rPr>
                      <w:rFonts w:ascii="仿宋_GB2312" w:eastAsia="仿宋_GB2312" w:cs="仿宋" w:hint="eastAsia"/>
                      <w:color w:val="auto"/>
                      <w:sz w:val="32"/>
                      <w:szCs w:val="32"/>
                      <w:lang w:val="en-US" w:eastAsia="zh-CN"/>
                    </w:rPr>
                    <w:t>18</w:t>
                  </w:r>
                  <w:r>
                    <w:rPr>
                      <w:rFonts w:ascii="仿宋_GB2312" w:eastAsia="仿宋_GB2312" w:cs="仿宋" w:hint="eastAsia"/>
                      <w:color w:val="auto"/>
                      <w:sz w:val="32"/>
                      <w:szCs w:val="32"/>
                    </w:rPr>
                    <w:t>分，提供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合同，日期以合同签订日期为准，不提供不得分。</w:t>
                  </w:r>
                </w:p>
                <w:p>
                  <w:pPr>
                    <w:rPr>
                      <w:rFonts w:ascii="仿宋_GB2312" w:eastAsia="仿宋_GB2312" w:cs="仿宋" w:hint="eastAsia"/>
                      <w:kern w:val="2"/>
                      <w:sz w:val="32"/>
                      <w:szCs w:val="32"/>
                      <w:lang w:val="en-US" w:eastAsia="zh-CN" w:bidi="ar-SA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（注：须提供业绩合同复印件并加盖公章，否则不得分</w:t>
                  </w:r>
                  <w:r>
                    <w:rPr>
                      <w:rFonts w:ascii="仿宋_GB2312" w:eastAsia="仿宋_GB2312" w:cs="仿宋"/>
                      <w:sz w:val="32"/>
                      <w:szCs w:val="32"/>
                    </w:rPr>
                    <w:t>，开标现场提供合同原件备查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）</w:t>
                  </w:r>
                </w:p>
              </w:tc>
            </w:tr>
            <w:tr>
              <w:trPr>
                <w:trHeight w:val="1153"/>
              </w:trPr>
              <w:tc>
                <w:tcPr>
                  <w:tcW w:w="110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20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报价</w:t>
                  </w:r>
                </w:p>
                <w:p>
                  <w:pPr>
                    <w:pStyle w:val="20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（30分)</w:t>
                  </w:r>
                </w:p>
              </w:tc>
              <w:tc>
                <w:tcPr>
                  <w:tcW w:w="138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20"/>
                    <w:ind w:left="64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 xml:space="preserve">报价得分 </w:t>
                  </w:r>
                </w:p>
                <w:p>
                  <w:pPr>
                    <w:pStyle w:val="20"/>
                    <w:ind w:left="64"/>
                    <w:jc w:val="center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</w:rPr>
                    <w:t>(30分)</w:t>
                  </w:r>
                </w:p>
              </w:tc>
              <w:tc>
                <w:tcPr>
                  <w:tcW w:w="412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20"/>
                    <w:spacing w:before="11" w:line="288" w:lineRule="auto"/>
                    <w:ind w:left="63" w:right="135"/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报价得分=（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bidi="zh-CN"/>
                    </w:rPr>
                    <w:t>评审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基准价/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bidi="zh-CN"/>
                    </w:rPr>
                    <w:t>投标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报价）×价格权值×100</w:t>
                  </w:r>
                </w:p>
                <w:p>
                  <w:pPr>
                    <w:pStyle w:val="20"/>
                    <w:spacing w:before="11" w:line="288" w:lineRule="auto"/>
                    <w:ind w:left="63" w:right="135"/>
                    <w:rPr>
                      <w:rFonts w:ascii="仿宋_GB2312" w:eastAsia="仿宋_GB2312" w:cs="仿宋" w:hint="eastAsia"/>
                      <w:sz w:val="32"/>
                      <w:szCs w:val="32"/>
                    </w:rPr>
                  </w:pP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（注：满足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bidi="zh-CN"/>
                    </w:rPr>
                    <w:t>比选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文件要求且报价最低的供应商的价格为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bidi="zh-CN"/>
                    </w:rPr>
                    <w:t>评审</w:t>
                  </w:r>
                  <w:r>
                    <w:rPr>
                      <w:rFonts w:ascii="仿宋_GB2312" w:eastAsia="仿宋_GB2312" w:cs="仿宋" w:hint="eastAsia"/>
                      <w:sz w:val="32"/>
                      <w:szCs w:val="32"/>
                      <w:lang w:val="zh-CN" w:bidi="zh-CN"/>
                    </w:rPr>
                    <w:t>基准价，其价格分为满分。）最低报价不是成交的唯一依据。</w:t>
                  </w:r>
                </w:p>
              </w:tc>
            </w:tr>
          </w:tbl>
          <w:p>
            <w:pPr>
              <w:pStyle w:val="16"/>
              <w:ind w:left="0" w:firstLineChars="0" w:firstLine="0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>
        <w:trPr>
          <w:trHeight w:val="141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其他因素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仿宋_GB2312" w:eastAsia="仿宋_GB2312" w:cs="方正仿宋_GBK" w:hint="eastAsia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1、公告期限3个工作日。</w:t>
            </w:r>
          </w:p>
          <w:p>
            <w:pPr>
              <w:spacing w:line="400" w:lineRule="exact"/>
              <w:jc w:val="left"/>
              <w:rPr>
                <w:rFonts w:ascii="仿宋_GB2312" w:eastAsia="仿宋_GB2312" w:cs="方正仿宋_GBK"/>
                <w:sz w:val="32"/>
                <w:szCs w:val="32"/>
              </w:rPr>
            </w:pPr>
            <w:r>
              <w:rPr>
                <w:rFonts w:ascii="仿宋_GB2312" w:eastAsia="仿宋_GB2312" w:cs="方正仿宋_GBK" w:hint="eastAsia"/>
                <w:sz w:val="32"/>
                <w:szCs w:val="32"/>
              </w:rPr>
              <w:t>2、响应文件份数：响应文件正本1份、副本</w:t>
            </w:r>
            <w:r>
              <w:rPr>
                <w:rFonts w:ascii="仿宋_GB2312" w:eastAsia="仿宋_GB2312" w:cs="方正仿宋_GBK"/>
                <w:sz w:val="32"/>
                <w:szCs w:val="32"/>
                <w:lang w:val="en-US" w:eastAsia="zh-CN"/>
              </w:rPr>
              <w:t>1</w:t>
            </w:r>
            <w:r>
              <w:rPr>
                <w:rFonts w:ascii="仿宋_GB2312" w:eastAsia="仿宋_GB2312" w:cs="方正仿宋_GBK" w:hint="eastAsia"/>
                <w:sz w:val="32"/>
                <w:szCs w:val="32"/>
              </w:rPr>
              <w:t>份，胶装装订成册，密封提交。</w:t>
            </w:r>
          </w:p>
          <w:p>
            <w:r>
              <w:rPr>
                <w:rFonts w:ascii="仿宋_GB2312" w:eastAsia="仿宋_GB2312" w:cs="方正仿宋_GBK" w:hint="eastAsia"/>
                <w:sz w:val="32"/>
                <w:szCs w:val="32"/>
              </w:rPr>
              <w:t>3.</w:t>
            </w:r>
            <w:r>
              <w:rPr>
                <w:rFonts w:ascii="仿宋_GB2312" w:eastAsia="仿宋_GB2312" w:cs="方正仿宋_GBK"/>
                <w:sz w:val="32"/>
                <w:szCs w:val="32"/>
              </w:rPr>
              <w:t>投标人应当对提供的材料的真实性负责，如有虚假甲方有权解除合同，并追究其法律责任。</w:t>
            </w:r>
          </w:p>
        </w:tc>
      </w:tr>
    </w:tbl>
    <w:p>
      <w:pPr>
        <w:spacing w:line="240" w:lineRule="auto"/>
        <w:rPr>
          <w:rFonts w:ascii="方正仿宋_GBK" w:eastAsia="方正仿宋_GBK" w:cs="方正仿宋_GBK"/>
          <w:sz w:val="32"/>
          <w:szCs w:val="32"/>
        </w:rPr>
      </w:pPr>
    </w:p>
    <w:p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212251B7"/>
    <w:multiLevelType w:val="singleLevel"/>
    <w:tmpl w:val="212251B7"/>
    <w:lvl w:ilvl="0">
      <w:start w:val="1"/>
      <w:numFmt w:val="decimal"/>
      <w:lvlRestart w:val="0"/>
      <w:lvlText w:val="%1."/>
      <w:lvlJc w:val="left"/>
      <w:pPr>
        <w:ind w:left="0" w:hanging="0"/>
      </w:pPr>
    </w:lvl>
  </w:abstractNum>
  <w:abstractNum w:abstractNumId="1">
    <w:nsid w:val="25DC62BB"/>
    <w:multiLevelType w:val="singleLevel"/>
    <w:tmpl w:val="25DC62BB"/>
    <w:lvl w:ilvl="0">
      <w:start w:val="1"/>
      <w:numFmt w:val="decimal"/>
      <w:lvlRestart w:val="0"/>
      <w:lvlText w:val="%1."/>
      <w:lvlJc w:val="left"/>
      <w:pPr>
        <w:ind w:left="0" w:hanging="0"/>
      </w:pPr>
    </w:lvl>
  </w:abstractNum>
  <w:abstractNum w:abstractNumId="2">
    <w:nsid w:val="311F68F6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200"/>
        </w:tabs>
        <w:ind w:left="12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2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Normal Indent"/>
    <w:next w:val="15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9">
    <w:name w:val="List Number 3"/>
    <w:basedOn w:val="0"/>
    <w:pPr>
      <w:numPr>
        <w:ilvl w:val="0"/>
        <w:numId w:val="3"/>
      </w:numPr>
    </w:pPr>
  </w:style>
  <w:style w:type="paragraph" w:customStyle="1" w:styleId="20">
    <w:name w:val="Table Paragraph"/>
    <w:next w:val="1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143</TotalTime>
  <Application>Yozo_Office</Application>
  <Pages>20</Pages>
  <Words>4255</Words>
  <Characters>4440</Characters>
  <Lines>89</Lines>
  <Paragraphs>90</Paragraphs>
  <CharactersWithSpaces>4450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卢亮</dc:creator>
  <cp:lastModifiedBy>安国强</cp:lastModifiedBy>
  <cp:revision>1</cp:revision>
  <dcterms:created xsi:type="dcterms:W3CDTF">2026-07-14T05:02:43Z</dcterms:created>
  <dcterms:modified xsi:type="dcterms:W3CDTF">2026-10-09T09:03:51Z</dcterms:modified>
</cp:coreProperties>
</file>