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bookmarkStart w:id="0" w:name="_GoBack"/>
      <w:bookmarkEnd w:id="0"/>
    </w:p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r>
        <w:rPr>
          <w:rFonts w:ascii="方正小标宋_GBK" w:eastAsia="方正小标宋_GBK" w:cs="方正小标宋_GBK" w:hint="eastAsia"/>
          <w:sz w:val="44"/>
          <w:szCs w:val="44"/>
        </w:rPr>
        <w:t>比选采购需求书（B版）</w:t>
      </w:r>
    </w:p>
    <w:tbl>
      <w:tblPr>
        <w:jc w:val="lef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5"/>
        <w:gridCol w:w="6727"/>
      </w:tblGrid>
      <w:tr>
        <w:tc>
          <w:tcPr>
            <w:tcW w:w="8522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楷体_GBK" w:eastAsia="方正楷体_GBK" w:cs="方正楷体_GBK" w:hint="eastAsia"/>
                <w:sz w:val="32"/>
                <w:szCs w:val="32"/>
              </w:rPr>
              <w:t>基础信息栏</w:t>
            </w:r>
          </w:p>
        </w:tc>
      </w:tr>
      <w:tr>
        <w:tc>
          <w:tcPr>
            <w:tcW w:w="1795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6727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二连</w:t>
            </w:r>
            <w:r>
              <w:rPr>
                <w:rFonts w:ascii="方正仿宋_GBK" w:eastAsia="方正仿宋_GBK" w:cs="方正仿宋_GBK"/>
                <w:sz w:val="28"/>
                <w:szCs w:val="28"/>
              </w:rPr>
              <w:t>海关技术中心（化矿、食品实验室）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检测用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实验气体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采购项目</w:t>
            </w:r>
          </w:p>
        </w:tc>
      </w:tr>
      <w:tr>
        <w:tc>
          <w:tcPr>
            <w:tcW w:w="1795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采购预算</w:t>
            </w:r>
          </w:p>
        </w:tc>
        <w:tc>
          <w:tcPr>
            <w:tcW w:w="6727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77000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元</w:t>
            </w:r>
          </w:p>
        </w:tc>
      </w:tr>
      <w:tr>
        <w:tc>
          <w:tcPr>
            <w:tcW w:w="1795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评审方法</w:t>
            </w:r>
          </w:p>
        </w:tc>
        <w:tc>
          <w:tcPr>
            <w:tcW w:w="6727" w:type="dxa"/>
            <w:vAlign w:val="center"/>
          </w:tcPr>
          <w:p>
            <w:pPr>
              <w:pStyle w:val="26"/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sym w:font="Wingdings 2" w:char="F052"/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最低价法</w:t>
            </w:r>
          </w:p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sym w:font="Wingdings 2" w:char="A3"/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综合评分法（权重：价格XX%、评审因素XX%）</w:t>
            </w:r>
          </w:p>
        </w:tc>
      </w:tr>
      <w:tr>
        <w:tc>
          <w:tcPr>
            <w:tcW w:w="8522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楷体_GBK" w:eastAsia="方正楷体_GBK" w:cs="方正楷体_GBK" w:hint="eastAsia"/>
                <w:sz w:val="32"/>
                <w:szCs w:val="32"/>
              </w:rPr>
              <w:t>详细需求栏</w:t>
            </w:r>
          </w:p>
        </w:tc>
      </w:tr>
      <w:tr>
        <w:trPr>
          <w:trHeight w:val="2000"/>
        </w:trPr>
        <w:tc>
          <w:tcPr>
            <w:tcW w:w="1795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说明</w:t>
            </w:r>
          </w:p>
        </w:tc>
        <w:tc>
          <w:tcPr>
            <w:tcW w:w="6727" w:type="dxa"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1. 不满足资格条件的响应文件将按无效响应文件处理。</w:t>
            </w:r>
          </w:p>
          <w:p>
            <w:pPr>
              <w:spacing w:line="400" w:lineRule="exact"/>
              <w:rPr>
                <w:rFonts w:ascii="方正仿宋_GBK" w:eastAsia="方正仿宋_GBK" w:cs="方正仿宋_GBK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 xml:space="preserve">2. 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 xml:space="preserve">详细需求栏中所有加“★”项的需求均为实质性要求，不满足实质性要求的响应文件将按无效响应文件处理。 </w:t>
            </w:r>
          </w:p>
          <w:p>
            <w:pPr>
              <w:spacing w:line="40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注：本采购项目为固定单价采购模式，比价方式以各项试剂单价总和进行比价</w:t>
            </w:r>
            <w:r>
              <w:rPr>
                <w:rFonts w:ascii="方正仿宋_GBK" w:eastAsia="方正仿宋_GBK" w:cs="方正仿宋_GBK"/>
                <w:sz w:val="28"/>
                <w:szCs w:val="28"/>
              </w:rPr>
              <w:t>。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以采购清单</w:t>
            </w:r>
            <w:r>
              <w:rPr>
                <w:rFonts w:ascii="方正仿宋_GBK" w:eastAsia="方正仿宋_GBK" w:cs="方正仿宋_GBK"/>
                <w:sz w:val="28"/>
                <w:szCs w:val="28"/>
              </w:rPr>
              <w:t>中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实际发生量乘以</w:t>
            </w:r>
            <w:r>
              <w:rPr>
                <w:rFonts w:ascii="方正仿宋_GBK" w:eastAsia="方正仿宋_GBK" w:cs="方正仿宋_GBK"/>
                <w:sz w:val="28"/>
                <w:szCs w:val="28"/>
              </w:rPr>
              <w:t>供货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方投标单价进行结算，总额不超过预算资金。</w:t>
            </w:r>
          </w:p>
        </w:tc>
      </w:tr>
      <w:tr>
        <w:trPr>
          <w:trHeight w:val="3568"/>
        </w:trPr>
        <w:tc>
          <w:tcPr>
            <w:tcW w:w="1795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资格条件</w:t>
            </w:r>
          </w:p>
        </w:tc>
        <w:tc>
          <w:tcPr>
            <w:tcW w:w="6727" w:type="dxa"/>
            <w:vAlign w:val="center"/>
          </w:tcPr>
          <w:p>
            <w:pPr>
              <w:pStyle w:val="43"/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1.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具有独立承担民事责任的能力。</w:t>
            </w:r>
          </w:p>
          <w:p>
            <w:pPr>
              <w:spacing w:line="360" w:lineRule="exact"/>
              <w:ind w:firstLineChars="200" w:firstLine="772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2.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供应商须提供以下材料：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供应商、生产商有效期内营业执照（经营范围含气体生产、销售、充装，涉及危化品需明确品类）。供应商、生产商无重大违法记录、无安全事故。涉及易燃易爆有毒腐蚀性气体须提供危险化学品经营许可证，气体充装单位须有有效期内的《气体充装许可证》，危险货物道路运输经营许可证（供应商自有运输或委托运输协议+第三方运输资质（含押运员、驾驶员从业资格证）、其他法律法规规定须具备的生产、经营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、销售、招标等相关资质条件。</w:t>
            </w:r>
          </w:p>
          <w:p>
            <w:pPr>
              <w:spacing w:line="360" w:lineRule="exact"/>
              <w:ind w:firstLineChars="200" w:firstLine="772"/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3.产品与质量证明：提供气瓶制造许可证、定期检验合格证（瓶身标注有效期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 xml:space="preserve">，严禁使用超期未检/报废瓶）气体质量检测报告（高纯气体须第三方检测，标注纯度、杂质含量），必要时提供溯源证明。气瓶须有合格证、充装记录、警示标签、安全技术说明书（SDS），高纯气须用专用瓶，无混装记录，必要时提供清洁/干燥证明。 </w:t>
            </w:r>
          </w:p>
        </w:tc>
      </w:tr>
      <w:tr>
        <w:trPr>
          <w:trHeight w:val="5213"/>
        </w:trPr>
        <w:tc>
          <w:tcPr>
            <w:tcW w:w="1795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★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实质性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、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需求</w:t>
            </w:r>
          </w:p>
        </w:tc>
        <w:tc>
          <w:tcPr>
            <w:tcW w:w="6727" w:type="dxa"/>
          </w:tcPr>
          <w:p>
            <w:pPr>
              <w:pStyle w:val="44"/>
              <w:spacing w:line="36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一、实验气体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采购需求：</w:t>
            </w:r>
          </w:p>
          <w:p>
            <w:pPr>
              <w:spacing w:line="360" w:lineRule="exact"/>
              <w:ind w:firstLineChars="100" w:firstLine="386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采购的气体以实际需求为准，预计需求种类规格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见附表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，供应的气体技术要求应能不低于附表备注中的品质要求。</w:t>
            </w:r>
          </w:p>
          <w:p>
            <w:pPr>
              <w:pStyle w:val="44"/>
              <w:spacing w:line="36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二、付款条件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：</w:t>
            </w:r>
          </w:p>
          <w:p>
            <w:pPr>
              <w:pStyle w:val="44"/>
              <w:spacing w:line="360" w:lineRule="exact"/>
              <w:ind w:firstLineChars="200" w:firstLine="772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验收合格后，以实际供货数量为准结算，在试剂耗材交货并经采购方验收合格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后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一个月内付该批次全款，采购方付款前需要供货方开具发票、收据等结算材料。</w:t>
            </w:r>
          </w:p>
          <w:p>
            <w:pPr>
              <w:pStyle w:val="44"/>
              <w:spacing w:line="36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三、供货方式：</w:t>
            </w:r>
          </w:p>
          <w:p>
            <w:pPr>
              <w:spacing w:line="360" w:lineRule="exact"/>
              <w:ind w:firstLineChars="200" w:firstLine="772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合同签订后，按采购方每批计划和供货通知的要求，供货方必须按照服务承诺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及时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将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气体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运至采购方指定地点，由采购方负责验收。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相应费用由供货方承担。如收到的气体不满足使用需求，需退换成符合要求的气体，期间退换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费用由供货方承担。</w:t>
            </w:r>
          </w:p>
          <w:p>
            <w:pPr>
              <w:pStyle w:val="187"/>
              <w:spacing w:line="36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四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、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化矿室专用气体特殊要求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：</w:t>
            </w:r>
          </w:p>
          <w:p>
            <w:pPr>
              <w:pStyle w:val="188"/>
              <w:spacing w:line="240" w:lineRule="exact"/>
              <w:jc w:val="left"/>
              <w:rPr>
                <w:rFonts w:ascii="仿宋" w:eastAsia="仿宋" w:cs="仿宋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附表中3-7为化矿室专用气体，需满足以下要求：</w:t>
            </w:r>
          </w:p>
          <w:p>
            <w:pPr>
              <w:spacing w:line="360" w:lineRule="exact"/>
              <w:ind w:firstLineChars="200" w:firstLine="772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1.供货数量限制：因需求方实验室气瓶室空间条件限制，各类气体单次上限如下：氧气≤5瓶，乙炔≤2瓶，氩气≤2瓶，氮气≤2瓶，氩甲烷≤2瓶。供应方须严格按照需求方实际需求量配送气体，严禁超量配送或不足量配送。</w:t>
            </w:r>
          </w:p>
          <w:p>
            <w:pPr>
              <w:spacing w:line="360" w:lineRule="exact"/>
              <w:ind w:firstLineChars="200" w:firstLine="772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2.配送及服务要求：供应方在接到需求方送气通知电话后，须于6小时内完成送气上门服务，并负责将新气瓶与实验室气路系统连接调试到位；同时，当日需将气瓶室内的空瓶全部清运离场，不得在现场滞留。</w:t>
            </w:r>
          </w:p>
          <w:p>
            <w:pPr>
              <w:spacing w:line="360" w:lineRule="exact"/>
              <w:ind w:firstLineChars="200" w:firstLine="772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3.质量保障及售后：供应方配送的气体气瓶若存在漏气等质量问题，须为需求方免费更换合格气瓶，且相关更换产生的人工、运输等费用由供应方自行承担。</w:t>
            </w:r>
          </w:p>
          <w:p>
            <w:pPr>
              <w:spacing w:line="360" w:lineRule="exact"/>
              <w:ind w:firstLineChars="200" w:firstLine="772"/>
              <w:rPr>
                <w:rStyle w:val="39Char"/>
                <w:rFonts w:ascii="Times New Roman" w:eastAsia="方正仿宋_GBK" w:cs="Times New Roman" w:hAnsi="Times New Roman" w:hint="eastAsia"/>
                <w:sz w:val="28"/>
                <w:szCs w:val="28"/>
              </w:rPr>
            </w:pPr>
          </w:p>
        </w:tc>
      </w:tr>
      <w:tr>
        <w:trPr>
          <w:trHeight w:val="699"/>
        </w:trPr>
        <w:tc>
          <w:tcPr>
            <w:tcW w:w="1795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</w:tc>
        <w:tc>
          <w:tcPr>
            <w:tcW w:w="6727" w:type="dxa"/>
          </w:tcPr>
          <w:p>
            <w:pPr>
              <w:spacing w:line="5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评审方法按照最低价法</w:t>
            </w:r>
          </w:p>
        </w:tc>
      </w:tr>
    </w:tbl>
    <w:p>
      <w:pPr>
        <w:jc w:val="left"/>
      </w:pPr>
    </w:p>
    <w:p>
      <w:pPr>
        <w:jc w:val="left"/>
      </w:pPr>
      <w:r>
        <w:rPr>
          <w:rFonts w:hint="eastAsia"/>
        </w:rPr>
        <w:t>附表：</w:t>
      </w:r>
    </w:p>
    <w:tbl>
      <w:tblPr>
        <w:jc w:val="center"/>
        <w:tblW w:w="10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2381"/>
        <w:gridCol w:w="2780"/>
        <w:gridCol w:w="807"/>
        <w:gridCol w:w="471"/>
        <w:gridCol w:w="3137"/>
      </w:tblGrid>
      <w:tr>
        <w:trPr>
          <w:trHeight w:val="285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rPr>
                <w:rFonts w:ascii="Times New Roman" w:eastAsia="仿宋_GB2312" w:cs="Times New Roman" w:hAnsi="Times New Roman"/>
              </w:rPr>
            </w:pPr>
            <w:r>
              <w:rPr>
                <w:rFonts w:ascii="Times New Roman" w:eastAsia="仿宋_GB2312" w:cs="Times New Roman" w:hAnsi="Times New Roman"/>
              </w:rPr>
              <w:t>序号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rPr>
                <w:rFonts w:ascii="Times New Roman" w:eastAsia="仿宋_GB2312" w:cs="Times New Roman" w:hAnsi="Times New Roman"/>
              </w:rPr>
            </w:pPr>
            <w:r>
              <w:rPr>
                <w:rFonts w:ascii="Times New Roman" w:eastAsia="仿宋_GB2312" w:cs="Times New Roman" w:hAnsi="Times New Roman"/>
              </w:rPr>
              <w:t>货物名称</w:t>
            </w: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rPr>
                <w:rFonts w:ascii="Times New Roman" w:eastAsia="仿宋_GB2312" w:cs="Times New Roman" w:hAnsi="Times New Roman"/>
              </w:rPr>
            </w:pPr>
            <w:r>
              <w:rPr>
                <w:rFonts w:ascii="Times New Roman" w:eastAsia="仿宋_GB2312" w:cs="Times New Roman" w:hAnsi="Times New Roman"/>
              </w:rPr>
              <w:t>规格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pStyle w:val="46"/>
              <w:spacing w:line="240" w:lineRule="exact"/>
              <w:jc w:val="center"/>
              <w:rPr>
                <w:rFonts w:ascii="Times New Roman" w:eastAsia="仿宋_GB2312" w:cs="Times New Roman" w:hAnsi="Times New Roman"/>
              </w:rPr>
            </w:pPr>
            <w:r>
              <w:rPr>
                <w:rFonts w:ascii="Times New Roman" w:eastAsia="仿宋_GB2312" w:cs="Times New Roman" w:hAnsi="Times New Roman"/>
              </w:rPr>
              <w:t>数量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eastAsia="仿宋_GB2312" w:cs="Times New Roman" w:hAnsi="Times New Roman"/>
              </w:rPr>
            </w:pPr>
            <w:r>
              <w:rPr>
                <w:rFonts w:ascii="Times New Roman" w:eastAsia="仿宋_GB2312" w:cs="Times New Roman" w:hAnsi="Times New Roman"/>
              </w:rPr>
              <w:t>单位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Times New Roman" w:eastAsia="仿宋_GB2312" w:cs="Times New Roman" w:hAnsi="Times New Roman"/>
                <w:sz w:val="22"/>
                <w:szCs w:val="22"/>
              </w:rPr>
            </w:pPr>
            <w:r>
              <w:rPr>
                <w:rFonts w:ascii="Times New Roman" w:eastAsia="仿宋_GB2312" w:cs="Times New Roman" w:hAnsi="Times New Roman"/>
                <w:sz w:val="22"/>
                <w:szCs w:val="22"/>
              </w:rPr>
              <w:t>备注</w:t>
            </w:r>
          </w:p>
        </w:tc>
      </w:tr>
      <w:tr>
        <w:trPr>
          <w:trHeight w:val="487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rPr>
                <w:rFonts w:ascii="Times New Roman" w:eastAsia="仿宋_GB2312" w:cs="Times New Roman" w:hAnsi="Times New Roman"/>
                <w:szCs w:val="21"/>
              </w:rPr>
            </w:pPr>
            <w:r>
              <w:rPr>
                <w:rFonts w:ascii="Times New Roman" w:eastAsia="仿宋_GB2312" w:cs="Times New Roman" w:hAnsi="Times New Roman"/>
                <w:szCs w:val="21"/>
              </w:rPr>
              <w:t>1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189"/>
              <w:rPr>
                <w:rFonts w:ascii="Times New Roman" w:eastAsia="宋体" w:cs="Times New Roman" w:hAnsi="Times New Roman"/>
                <w:strike w:val="0"/>
                <w:dstrike w:val="0"/>
                <w:color w:val="000000"/>
                <w:sz w:val="18"/>
                <w:szCs w:val="18"/>
              </w:rPr>
            </w:pPr>
            <w:r>
              <w:rPr>
                <w:rFonts w:ascii="Times New Roman" w:eastAsia="仿宋_GB2312" w:cs="Times New Roman" w:hAnsi="Times New Roman"/>
                <w:sz w:val="18"/>
                <w:szCs w:val="18"/>
              </w:rPr>
              <w:t>氧气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190"/>
              <w:rPr>
                <w:rFonts w:ascii="Times New Roman" w:cs="Times New Roman" w:hAnsi="Times New Roman"/>
                <w:strike w:val="0"/>
                <w:dstrike w:val="0"/>
                <w:color w:val="000000"/>
                <w:sz w:val="18"/>
                <w:szCs w:val="18"/>
              </w:rPr>
            </w:pPr>
            <w:r>
              <w:rPr>
                <w:rFonts w:ascii="Times New Roman" w:eastAsia="仿宋_GB2312" w:cs="Times New Roman" w:hAnsi="Times New Roman" w:hint="eastAsia"/>
                <w:sz w:val="18"/>
                <w:szCs w:val="18"/>
              </w:rPr>
              <w:t>≥</w:t>
            </w:r>
            <w:r>
              <w:rPr>
                <w:rFonts w:ascii="Times New Roman" w:eastAsia="仿宋_GB2312" w:cs="Times New Roman" w:hAnsi="Times New Roman"/>
                <w:sz w:val="18"/>
                <w:szCs w:val="18"/>
              </w:rPr>
              <w:t>99.9%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47"/>
              <w:rPr>
                <w:rFonts w:ascii="Times New Roman" w:eastAsia="Times New Roman" w:cs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122"/>
              <w:rPr>
                <w:rFonts w:ascii="Times New Roman" w:eastAsia="宋体" w:cs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18"/>
                <w:szCs w:val="18"/>
              </w:rPr>
              <w:t>瓶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ascii="Times New Roman" w:eastAsia="仿宋_GB2312" w:cs="Times New Roman" w:hAnsi="Times New Roman"/>
                <w:sz w:val="18"/>
                <w:szCs w:val="18"/>
              </w:rPr>
            </w:pPr>
          </w:p>
        </w:tc>
      </w:tr>
      <w:tr>
        <w:trPr>
          <w:trHeight w:val="270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rPr>
                <w:rFonts w:ascii="Times New Roman" w:eastAsia="仿宋_GB2312" w:cs="Times New Roman" w:hAnsi="Times New Roman"/>
                <w:szCs w:val="21"/>
              </w:rPr>
            </w:pPr>
            <w:r>
              <w:rPr>
                <w:rFonts w:ascii="Times New Roman" w:eastAsia="仿宋_GB2312" w:cs="Times New Roman" w:hAnsi="Times New Roman"/>
                <w:szCs w:val="21"/>
              </w:rPr>
              <w:t>2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191"/>
              <w:rPr>
                <w:rFonts w:ascii="Times New Roman" w:eastAsia="宋体" w:cs="Times New Roman" w:hAnsi="Times New Roman"/>
                <w:strike w:val="0"/>
                <w:dstrike w:val="0"/>
                <w:color w:val="000000"/>
                <w:sz w:val="18"/>
                <w:szCs w:val="18"/>
              </w:rPr>
            </w:pPr>
            <w:r>
              <w:rPr>
                <w:rFonts w:ascii="Times New Roman" w:eastAsia="仿宋_GB2312" w:cs="Times New Roman" w:hAnsi="Times New Roman"/>
                <w:sz w:val="18"/>
                <w:szCs w:val="18"/>
              </w:rPr>
              <w:t>乙炔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192"/>
              <w:rPr>
                <w:rFonts w:ascii="Times New Roman" w:eastAsia="宋体" w:cs="Times New Roman" w:hAnsi="Times New Roman"/>
                <w:strike w:val="0"/>
                <w:dstrike w:val="0"/>
                <w:color w:val="000000"/>
                <w:sz w:val="18"/>
                <w:szCs w:val="18"/>
              </w:rPr>
            </w:pPr>
            <w:r>
              <w:rPr>
                <w:rFonts w:ascii="Times New Roman" w:eastAsia="仿宋_GB2312" w:cs="Times New Roman" w:hAnsi="Times New Roman" w:hint="eastAsia"/>
                <w:sz w:val="18"/>
                <w:szCs w:val="18"/>
              </w:rPr>
              <w:t>≥</w:t>
            </w:r>
            <w:r>
              <w:rPr>
                <w:rFonts w:ascii="Times New Roman" w:eastAsia="仿宋_GB2312" w:cs="Times New Roman" w:hAnsi="Times New Roman"/>
                <w:sz w:val="18"/>
                <w:szCs w:val="18"/>
              </w:rPr>
              <w:t>99.5%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193"/>
              <w:rPr>
                <w:rFonts w:ascii="Times New Roman" w:eastAsia="Calibri" w:cs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cs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123"/>
              <w:rPr>
                <w:rFonts w:ascii="Times New Roman" w:eastAsia="宋体" w:cs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18"/>
                <w:szCs w:val="18"/>
              </w:rPr>
              <w:t>瓶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Times New Roman" w:eastAsia="仿宋_GB2312" w:cs="Times New Roman" w:hAnsi="Times New Roman"/>
                <w:sz w:val="18"/>
                <w:szCs w:val="18"/>
              </w:rPr>
            </w:pPr>
          </w:p>
        </w:tc>
      </w:tr>
      <w:tr>
        <w:trPr>
          <w:trHeight w:val="1303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rPr>
                <w:rFonts w:ascii="Times New Roman" w:eastAsia="仿宋_GB2312" w:cs="Times New Roman" w:hAnsi="Times New Roman"/>
                <w:szCs w:val="21"/>
              </w:rPr>
            </w:pPr>
            <w:r>
              <w:rPr>
                <w:rFonts w:ascii="Times New Roman" w:eastAsia="仿宋_GB2312" w:cs="Times New Roman" w:hAnsi="Times New Roman"/>
                <w:szCs w:val="21"/>
              </w:rPr>
              <w:t>3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194"/>
              <w:rPr>
                <w:rFonts w:ascii="Times New Roman" w:eastAsia="宋体" w:cs="Times New Roman" w:hAnsi="Times New Roman"/>
                <w:strike w:val="0"/>
                <w:dstrike w:val="0"/>
                <w:color w:val="000000"/>
                <w:sz w:val="18"/>
                <w:szCs w:val="18"/>
              </w:rPr>
            </w:pPr>
            <w:r>
              <w:rPr>
                <w:rFonts w:ascii="Times New Roman" w:eastAsia="仿宋_GB2312" w:cs="Times New Roman" w:hAnsi="Times New Roman"/>
                <w:sz w:val="18"/>
                <w:szCs w:val="18"/>
              </w:rPr>
              <w:t>氮气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195"/>
              <w:rPr>
                <w:rFonts w:ascii="Times New Roman" w:eastAsia="宋体" w:cs="Times New Roman" w:hAnsi="Times New Roman"/>
                <w:strike w:val="0"/>
                <w:dstrike w:val="0"/>
                <w:color w:val="000000"/>
                <w:sz w:val="18"/>
                <w:szCs w:val="18"/>
              </w:rPr>
            </w:pPr>
            <w:r>
              <w:rPr>
                <w:rFonts w:ascii="Times New Roman" w:eastAsia="仿宋_GB2312" w:cs="Times New Roman" w:hAnsi="Times New Roman" w:hint="eastAsia"/>
                <w:sz w:val="18"/>
                <w:szCs w:val="18"/>
              </w:rPr>
              <w:t>≥</w:t>
            </w:r>
            <w:r>
              <w:rPr>
                <w:rFonts w:ascii="Times New Roman" w:eastAsia="仿宋_GB2312" w:cs="Times New Roman" w:hAnsi="Times New Roman"/>
                <w:sz w:val="18"/>
                <w:szCs w:val="18"/>
              </w:rPr>
              <w:t>99.5%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49"/>
              <w:rPr>
                <w:rFonts w:ascii="Times New Roman" w:eastAsia="Times New Roman" w:cs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124"/>
              <w:rPr>
                <w:rFonts w:ascii="Times New Roman" w:eastAsia="宋体" w:cs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18"/>
                <w:szCs w:val="18"/>
              </w:rPr>
              <w:t>瓶</w:t>
            </w:r>
          </w:p>
        </w:tc>
        <w:tc>
          <w:tcPr>
            <w:tcW w:w="313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185"/>
              <w:spacing w:line="240" w:lineRule="exact"/>
              <w:jc w:val="left"/>
              <w:rPr>
                <w:rFonts w:ascii="Times New Roman" w:eastAsia="仿宋_GB2312" w:cs="Times New Roman" w:hAnsi="Times New Roman" w:hint="eastAsia"/>
                <w:sz w:val="18"/>
                <w:szCs w:val="18"/>
              </w:rPr>
            </w:pPr>
            <w:r>
              <w:rPr>
                <w:rFonts w:ascii="Times New Roman" w:eastAsia="仿宋_GB2312" w:cs="Times New Roman" w:hAnsi="Times New Roman"/>
                <w:sz w:val="18"/>
                <w:szCs w:val="18"/>
              </w:rPr>
              <w:t>1.供货数量限制：因需求方实验室气瓶室空间条件限制，各类气体原则上单次上限如下：氧气</w:t>
            </w:r>
            <w:r>
              <w:rPr>
                <w:rFonts w:ascii="Times New Roman" w:eastAsia="仿宋_GB2312" w:cs="Times New Roman" w:hAnsi="Times New Roman" w:hint="eastAsia"/>
                <w:sz w:val="18"/>
                <w:szCs w:val="18"/>
              </w:rPr>
              <w:t>≤5瓶，乙炔≤2瓶，氩气≤2瓶，氮气≤</w:t>
            </w:r>
            <w:r>
              <w:rPr>
                <w:rFonts w:ascii="Times New Roman" w:eastAsia="仿宋_GB2312" w:cs="Times New Roman" w:hAnsi="Times New Roman"/>
                <w:sz w:val="18"/>
                <w:szCs w:val="18"/>
              </w:rPr>
              <w:t>2瓶，氩甲烷</w:t>
            </w:r>
            <w:r>
              <w:rPr>
                <w:rFonts w:ascii="Times New Roman" w:eastAsia="仿宋_GB2312" w:cs="Times New Roman" w:hAnsi="Times New Roman" w:hint="eastAsia"/>
                <w:sz w:val="18"/>
                <w:szCs w:val="18"/>
              </w:rPr>
              <w:t>≤2瓶。供应方须严格按照需求方实际需求量配送气体，严禁超量配送或不足量配送。</w:t>
            </w:r>
            <w:r>
              <w:rPr>
                <w:rFonts w:ascii="Times New Roman" w:eastAsia="仿宋_GB2312" w:cs="Times New Roman" w:hAnsi="Times New Roman"/>
                <w:sz w:val="18"/>
                <w:szCs w:val="18"/>
              </w:rPr>
              <w:t>如需超量配送，供货方收到通知后方可安排配送。</w:t>
            </w:r>
          </w:p>
          <w:p>
            <w:pPr>
              <w:pStyle w:val="185"/>
              <w:spacing w:line="240" w:lineRule="exact"/>
              <w:jc w:val="left"/>
              <w:rPr>
                <w:rFonts w:ascii="Times New Roman" w:eastAsia="仿宋_GB2312" w:cs="Times New Roman" w:hAnsi="Times New Roman"/>
                <w:sz w:val="18"/>
                <w:szCs w:val="18"/>
              </w:rPr>
            </w:pPr>
            <w:r>
              <w:rPr>
                <w:rFonts w:ascii="Times New Roman" w:eastAsia="仿宋_GB2312" w:cs="Times New Roman" w:hAnsi="Times New Roman" w:hint="eastAsia"/>
                <w:sz w:val="18"/>
                <w:szCs w:val="18"/>
              </w:rPr>
              <w:t>2.</w:t>
            </w:r>
            <w:r>
              <w:rPr>
                <w:rFonts w:ascii="Times New Roman" w:eastAsia="仿宋_GB2312" w:cs="Times New Roman" w:hAnsi="Times New Roman"/>
                <w:sz w:val="18"/>
                <w:szCs w:val="18"/>
              </w:rPr>
              <w:t>配送及服务要求：供应方在接到需求方送气通知电话后，须于6小时内完成送气上门服务，并负责将新气瓶与实验室气路系统连接调试到位；同时，当日需将气瓶室内的空瓶全部清运离场，不得在现场滞留。</w:t>
            </w:r>
          </w:p>
          <w:p>
            <w:pPr>
              <w:pStyle w:val="185"/>
              <w:spacing w:line="240" w:lineRule="exact"/>
              <w:jc w:val="left"/>
              <w:rPr>
                <w:rFonts w:ascii="Times New Roman" w:eastAsia="仿宋_GB2312" w:cs="Times New Roman" w:hAnsi="Times New Roman"/>
                <w:sz w:val="18"/>
                <w:szCs w:val="18"/>
              </w:rPr>
            </w:pPr>
            <w:r>
              <w:rPr>
                <w:rFonts w:ascii="Times New Roman" w:eastAsia="仿宋_GB2312" w:cs="Times New Roman" w:hAnsi="Times New Roman"/>
                <w:sz w:val="18"/>
                <w:szCs w:val="18"/>
              </w:rPr>
              <w:t>3.质量保障及售后：供应方配送的气体气瓶若存在漏气等质量问题，须为需求方免费更换合格气瓶，且相关更换产生的人工、运输等费用由供应方自行承担。</w:t>
            </w:r>
          </w:p>
          <w:p>
            <w:pPr>
              <w:pStyle w:val="186"/>
              <w:spacing w:line="240" w:lineRule="exact"/>
              <w:jc w:val="left"/>
              <w:rPr>
                <w:rFonts w:ascii="Times New Roman" w:eastAsia="仿宋_GB2312" w:cs="Times New Roman" w:hAnsi="Times New Roman"/>
                <w:sz w:val="18"/>
                <w:szCs w:val="18"/>
              </w:rPr>
            </w:pPr>
          </w:p>
        </w:tc>
      </w:tr>
      <w:tr>
        <w:trPr>
          <w:trHeight w:val="1303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rPr>
                <w:rFonts w:ascii="Times New Roman" w:eastAsia="仿宋_GB2312" w:cs="Times New Roman" w:hAnsi="Times New Roman"/>
                <w:szCs w:val="21"/>
              </w:rPr>
            </w:pPr>
            <w:r>
              <w:rPr>
                <w:rFonts w:ascii="Times New Roman" w:eastAsia="仿宋_GB2312" w:cs="Times New Roman" w:hAnsi="Times New Roman"/>
                <w:szCs w:val="21"/>
              </w:rPr>
              <w:t>4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196"/>
              <w:rPr>
                <w:rFonts w:ascii="Times New Roman" w:eastAsia="仿宋_GB2312" w:cs="Times New Roman" w:hAnsi="Times New Roman"/>
                <w:sz w:val="18"/>
                <w:szCs w:val="18"/>
              </w:rPr>
            </w:pPr>
            <w:r>
              <w:rPr>
                <w:rFonts w:ascii="Times New Roman" w:eastAsia="仿宋_GB2312" w:cs="Times New Roman" w:hAnsi="Times New Roman"/>
                <w:sz w:val="18"/>
                <w:szCs w:val="18"/>
              </w:rPr>
              <w:t>氩气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197"/>
              <w:rPr>
                <w:rFonts w:ascii="Times New Roman" w:eastAsia="仿宋_GB2312" w:cs="Times New Roman" w:hAnsi="Times New Roman"/>
                <w:sz w:val="18"/>
                <w:szCs w:val="18"/>
              </w:rPr>
            </w:pPr>
            <w:r>
              <w:rPr>
                <w:rFonts w:ascii="Times New Roman" w:eastAsia="仿宋_GB2312" w:cs="Times New Roman" w:hAnsi="Times New Roman" w:hint="eastAsia"/>
                <w:sz w:val="18"/>
                <w:szCs w:val="18"/>
              </w:rPr>
              <w:t>≥</w:t>
            </w:r>
            <w:r>
              <w:rPr>
                <w:rFonts w:ascii="Times New Roman" w:eastAsia="仿宋_GB2312" w:cs="Times New Roman" w:hAnsi="Times New Roman"/>
                <w:sz w:val="18"/>
                <w:szCs w:val="18"/>
              </w:rPr>
              <w:t>99.9%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50"/>
              <w:rPr>
                <w:rFonts w:ascii="Times New Roman" w:eastAsia="Calibri" w:cs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cs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125"/>
              <w:rPr>
                <w:rFonts w:ascii="Times New Roman" w:eastAsia="宋体" w:cs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18"/>
                <w:szCs w:val="18"/>
              </w:rPr>
              <w:t>瓶</w:t>
            </w:r>
          </w:p>
        </w:tc>
        <w:tc>
          <w:tcPr>
            <w:tcW w:w="313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/>
        </w:tc>
      </w:tr>
      <w:tr>
        <w:trPr>
          <w:trHeight w:val="1303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rPr>
                <w:rFonts w:ascii="Times New Roman" w:eastAsia="仿宋_GB2312" w:cs="Times New Roman" w:hAnsi="Times New Roman"/>
                <w:szCs w:val="21"/>
              </w:rPr>
            </w:pPr>
            <w:r>
              <w:rPr>
                <w:rFonts w:ascii="Times New Roman" w:eastAsia="仿宋_GB2312" w:cs="Times New Roman" w:hAnsi="Times New Roman"/>
                <w:szCs w:val="21"/>
              </w:rPr>
              <w:t>5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198"/>
              <w:rPr>
                <w:rFonts w:ascii="Times New Roman" w:eastAsia="宋体" w:cs="Times New Roman" w:hAnsi="Times New Roman"/>
                <w:strike w:val="0"/>
                <w:dstrike w:val="0"/>
                <w:color w:val="000000"/>
                <w:sz w:val="18"/>
                <w:szCs w:val="18"/>
              </w:rPr>
            </w:pPr>
            <w:r>
              <w:rPr>
                <w:rFonts w:ascii="Times New Roman" w:eastAsia="仿宋_GB2312" w:cs="Times New Roman" w:hAnsi="Times New Roman"/>
                <w:sz w:val="18"/>
                <w:szCs w:val="18"/>
              </w:rPr>
              <w:t>氩甲烷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199"/>
              <w:rPr>
                <w:rFonts w:ascii="Times New Roman" w:eastAsia="宋体" w:cs="Times New Roman" w:hAnsi="Times New Roman"/>
                <w:strike w:val="0"/>
                <w:dstrike w:val="0"/>
                <w:color w:val="000000"/>
                <w:sz w:val="18"/>
                <w:szCs w:val="18"/>
              </w:rPr>
            </w:pPr>
            <w:r>
              <w:rPr>
                <w:rFonts w:ascii="Times New Roman" w:eastAsia="仿宋_GB2312" w:cs="Times New Roman" w:hAnsi="Times New Roman"/>
                <w:sz w:val="18"/>
                <w:szCs w:val="18"/>
              </w:rPr>
              <w:t>甲烷浓度10%（大连大特气体有限公司）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51"/>
              <w:rPr>
                <w:rFonts w:ascii="Times New Roman" w:eastAsia="Calibri" w:cs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cs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126"/>
              <w:rPr>
                <w:rFonts w:ascii="Times New Roman" w:eastAsia="宋体" w:cs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18"/>
                <w:szCs w:val="18"/>
              </w:rPr>
              <w:t>瓶</w:t>
            </w:r>
          </w:p>
        </w:tc>
        <w:tc>
          <w:tcPr>
            <w:tcW w:w="313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/>
        </w:tc>
      </w:tr>
      <w:tr>
        <w:trPr>
          <w:trHeight w:val="1303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rPr>
                <w:rFonts w:ascii="Times New Roman" w:eastAsia="仿宋_GB2312" w:cs="Times New Roman" w:hAnsi="Times New Roman"/>
                <w:szCs w:val="21"/>
              </w:rPr>
            </w:pPr>
            <w:r>
              <w:rPr>
                <w:rFonts w:ascii="Times New Roman" w:eastAsia="仿宋_GB2312" w:cs="Times New Roman" w:hAnsi="Times New Roman"/>
                <w:szCs w:val="21"/>
              </w:rPr>
              <w:t>6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rPr>
                <w:rFonts w:ascii="Times New Roman" w:eastAsia="仿宋_GB2312" w:cs="Times New Roman" w:hAnsi="Times New Roman"/>
                <w:sz w:val="18"/>
                <w:szCs w:val="18"/>
              </w:rPr>
            </w:pPr>
            <w:r>
              <w:rPr>
                <w:rFonts w:ascii="Times New Roman" w:eastAsia="仿宋_GB2312" w:cs="Times New Roman" w:hAnsi="Times New Roman"/>
                <w:sz w:val="18"/>
                <w:szCs w:val="18"/>
              </w:rPr>
              <w:t>高纯氦气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rPr>
                <w:rFonts w:ascii="Times New Roman" w:eastAsia="仿宋_GB2312" w:cs="Times New Roman" w:hAnsi="Times New Roman"/>
                <w:sz w:val="18"/>
                <w:szCs w:val="18"/>
              </w:rPr>
            </w:pPr>
            <w:r>
              <w:rPr>
                <w:rFonts w:ascii="Times New Roman" w:eastAsia="仿宋_GB2312" w:cs="Times New Roman" w:hAnsi="Times New Roman" w:hint="eastAsia"/>
                <w:sz w:val="18"/>
                <w:szCs w:val="18"/>
              </w:rPr>
              <w:t>≥</w:t>
            </w:r>
            <w:r>
              <w:rPr>
                <w:rFonts w:ascii="Times New Roman" w:eastAsia="仿宋_GB2312" w:cs="Times New Roman" w:hAnsi="Times New Roman"/>
                <w:sz w:val="18"/>
                <w:szCs w:val="18"/>
              </w:rPr>
              <w:t>99.999%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51"/>
              <w:rPr>
                <w:rFonts w:ascii="Times New Roman" w:eastAsia="Calibri" w:cs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cs="Times New Roman" w:hAnsi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126"/>
              <w:rPr>
                <w:rFonts w:ascii="Times New Roman" w:eastAsia="宋体" w:cs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18"/>
                <w:szCs w:val="18"/>
              </w:rPr>
              <w:t>瓶</w:t>
            </w:r>
          </w:p>
        </w:tc>
        <w:tc>
          <w:tcPr>
            <w:tcW w:w="313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/>
        </w:tc>
      </w:tr>
      <w:tr>
        <w:trPr>
          <w:trHeight w:val="1303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rPr>
                <w:rFonts w:ascii="Times New Roman" w:eastAsia="仿宋_GB2312" w:cs="Times New Roman" w:hAnsi="Times New Roman"/>
                <w:szCs w:val="21"/>
              </w:rPr>
            </w:pPr>
            <w:r>
              <w:rPr>
                <w:rFonts w:ascii="Times New Roman" w:eastAsia="仿宋_GB2312" w:cs="Times New Roman" w:hAnsi="Times New Roman"/>
                <w:szCs w:val="21"/>
              </w:rPr>
              <w:t>7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181"/>
              <w:rPr>
                <w:rFonts w:ascii="Times New Roman" w:eastAsia="宋体" w:cs="Times New Roman" w:hAnsi="Times New Roman"/>
                <w:strike w:val="0"/>
                <w:dstrike w:val="0"/>
                <w:color w:val="000000"/>
                <w:sz w:val="18"/>
                <w:szCs w:val="18"/>
              </w:rPr>
            </w:pPr>
            <w:r>
              <w:rPr>
                <w:rFonts w:ascii="Times New Roman" w:eastAsia="仿宋_GB2312" w:cs="Times New Roman" w:hAnsi="Times New Roman"/>
                <w:sz w:val="18"/>
                <w:szCs w:val="18"/>
              </w:rPr>
              <w:t>高纯氩气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182"/>
              <w:rPr>
                <w:rFonts w:ascii="Times New Roman" w:eastAsia="宋体" w:cs="Times New Roman" w:hAnsi="Times New Roman"/>
                <w:strike w:val="0"/>
                <w:dstrike w:val="0"/>
                <w:color w:val="000000"/>
                <w:sz w:val="18"/>
                <w:szCs w:val="18"/>
              </w:rPr>
            </w:pPr>
            <w:r>
              <w:rPr>
                <w:rFonts w:ascii="Times New Roman" w:eastAsia="仿宋_GB2312" w:cs="Times New Roman" w:hAnsi="Times New Roman" w:hint="eastAsia"/>
                <w:sz w:val="18"/>
                <w:szCs w:val="18"/>
              </w:rPr>
              <w:t>≥</w:t>
            </w:r>
            <w:r>
              <w:rPr>
                <w:rFonts w:ascii="Times New Roman" w:eastAsia="仿宋_GB2312" w:cs="Times New Roman" w:hAnsi="Times New Roman"/>
                <w:sz w:val="18"/>
                <w:szCs w:val="18"/>
              </w:rPr>
              <w:t>99.999%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183"/>
              <w:rPr>
                <w:rFonts w:ascii="Times New Roman" w:eastAsia="Calibri" w:cs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cs="Times New Roman" w:hAnsi="Times New Roman"/>
                <w:color w:val="000000"/>
                <w:sz w:val="18"/>
                <w:szCs w:val="18"/>
              </w:rPr>
              <w:t>32</w:t>
            </w:r>
            <w:r>
              <w:rPr>
                <w:rFonts w:ascii="Times New Roman" w:eastAsia="宋体" w:cs="Times New Roman" w:hAnsi="Times New Roman"/>
                <w:color w:val="000000"/>
                <w:sz w:val="18"/>
                <w:szCs w:val="18"/>
              </w:rPr>
              <w:t>瓶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184"/>
              <w:rPr>
                <w:rFonts w:ascii="Times New Roman" w:eastAsia="宋体" w:cs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3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/>
        </w:tc>
      </w:tr>
    </w:tbl>
    <w:p>
      <w:pPr>
        <w:jc w:val="left"/>
      </w:pPr>
    </w:p>
    <w:sectPr>
      <w:footerReference w:type="default" r:id="rId2"/>
      <w:pgSz w:w="11907" w:h="16840"/>
      <w:pgMar w:top="1701" w:right="1418" w:bottom="1701" w:left="1418" w:header="1814" w:footer="1474" w:gutter="0"/>
      <w:pgNumType w:start="0"/>
      <w:titlePg/>
      <w:docGrid w:type="linesAndChars" w:linePitch="580" w:charSpace="21685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altName w:val="Microsoft YaHei UI"/>
    <w:panose1 w:val="00000000000000000000"/>
    <w:charset w:val="86"/>
    <w:family w:val="script"/>
    <w:pitch w:val="variable"/>
    <w:sig w:usb0="00000000" w:usb1="00000000" w:usb2="00000000" w:usb3="00000000" w:csb0="00040000" w:csb1="00000000"/>
  </w:font>
  <w:font w:name="方正楷体_GBK">
    <w:altName w:val="Microsoft YaHei UI"/>
    <w:panose1 w:val="00000000000000000000"/>
    <w:charset w:val="86"/>
    <w:family w:val="script"/>
    <w:pitch w:val="variable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Wingdings 2">
    <w:altName w:val="DejaVu San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方正仿宋_GBK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仿宋_GB2312">
    <w:altName w:val="方正仿宋_GBK"/>
    <w:panose1 w:val="02010609030101010101"/>
    <w:charset w:val="86"/>
    <w:family w:val="modern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altName w:val="Times New Roman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DejaVu Sans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国标黑体"/>
    <w:panose1 w:val="02010609060101010101"/>
    <w:charset w:val="86"/>
    <w:family w:val="modern"/>
    <w:pitch w:val="variable"/>
    <w:sig w:usb0="800002BF" w:usb1="38CF7CFA" w:usb2="00000016" w:usb3="00000000" w:csb0="0004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20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4</w:t>
    </w:r>
    <w:r>
      <w:rPr>
        <w:sz w:val="32"/>
        <w:szCs w:val="32"/>
      </w:rP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7539AA3E"/>
    <w:multiLevelType w:val="singleLevel"/>
    <w:tmpl w:val="2372C850"/>
    <w:lvl w:ilvl="0">
      <w:start w:val="1"/>
      <w:numFmt w:val="decimal"/>
      <w:lvlRestart w:val="0"/>
      <w:pStyle w:val="16"/>
      <w:lvlText w:val="%1."/>
      <w:lvlJc w:val="left"/>
      <w:pPr>
        <w:ind w:left="36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77"/>
  <w:doNotDisplayPageBoundaries/>
  <w:displayBackgroundShape/>
  <w:bordersDoNotSurroundHeader/>
  <w:bordersDoNotSurroundFooter/>
  <w:trackRevisions/>
  <w:defaultTabStop w:val="420"/>
  <w:drawingGridHorizontalSpacing w:val="157"/>
  <w:drawingGridVerticalSpacing w:val="289"/>
  <w:displayHorizontalDrawingGridEvery w:val="0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line="560" w:lineRule="exact"/>
      <w:jc w:val="center"/>
      <w:outlineLvl w:val="0"/>
    </w:pPr>
    <w:rPr>
      <w:rFonts w:eastAsia="方正小标宋_GBK"/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rFonts w:eastAsia="方正楷体_GBK"/>
      <w:b/>
      <w:sz w:val="32"/>
    </w:rPr>
  </w:style>
  <w:style w:type="character" w:default="1" w:styleId="10">
    <w:name w:val="Default Paragraph Font"/>
  </w:style>
  <w:style w:type="paragraph" w:styleId="15">
    <w:name w:val="table of authorities"/>
    <w:basedOn w:val="0"/>
    <w:next w:val="0"/>
    <w:pPr>
      <w:ind w:left="420"/>
    </w:pPr>
  </w:style>
  <w:style w:type="paragraph" w:styleId="16">
    <w:name w:val="List Number"/>
    <w:basedOn w:val="0"/>
    <w:pPr>
      <w:numPr>
        <w:ilvl w:val="0"/>
        <w:numId w:val="1"/>
      </w:numPr>
    </w:pPr>
  </w:style>
  <w:style w:type="paragraph" w:styleId="17">
    <w:name w:val="caption"/>
    <w:next w:val="0"/>
    <w:pPr>
      <w:widowControl w:val="0"/>
      <w:jc w:val="both"/>
    </w:pPr>
    <w:rPr>
      <w:rFonts w:ascii="Arial" w:eastAsia="黑体" w:cs="Arial" w:hAnsi="Arial"/>
      <w:b/>
      <w:bCs/>
      <w:kern w:val="2"/>
      <w:sz w:val="20"/>
      <w:szCs w:val="20"/>
      <w:lang w:val="en-US" w:eastAsia="zh-CN" w:bidi="ar-SA"/>
    </w:rPr>
  </w:style>
  <w:style w:type="paragraph" w:styleId="18">
    <w:name w:val="annotation text"/>
    <w:basedOn w:val="0"/>
    <w:pPr>
      <w:jc w:val="left"/>
    </w:pPr>
  </w:style>
  <w:style w:type="paragraph" w:styleId="19">
    <w:name w:val="toc 5"/>
    <w:basedOn w:val="0"/>
    <w:autoRedefine/>
    <w:next w:val="0"/>
    <w:pPr>
      <w:ind w:left="1680"/>
    </w:pPr>
  </w:style>
  <w:style w:type="paragraph" w:styleId="20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21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character" w:styleId="22">
    <w:name w:val="page number"/>
    <w:basedOn w:val="10"/>
  </w:style>
  <w:style w:type="character" w:styleId="23">
    <w:name w:val="annotation reference"/>
    <w:basedOn w:val="10"/>
    <w:rPr>
      <w:sz w:val="21"/>
      <w:szCs w:val="21"/>
    </w:rPr>
  </w:style>
  <w:style w:type="paragraph" w:customStyle="1" w:styleId="24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5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6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7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8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9">
    <w:name w:val="样式 8 10 磅"/>
    <w:next w:val="19"/>
    <w:pPr>
      <w:widowControl w:val="0"/>
      <w:ind w:firstLineChars="200" w:firstLine="20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0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1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2">
    <w:name w:val="样式 2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3">
    <w:name w:val="样式 7 10 磅"/>
    <w:pPr>
      <w:widowControl w:val="0"/>
      <w:jc w:val="both"/>
    </w:pPr>
    <w:rPr>
      <w:rFonts w:ascii="Arial" w:eastAsia="黑体" w:cs="Arial" w:hAnsi="Arial"/>
      <w:b/>
      <w:bCs/>
      <w:kern w:val="2"/>
      <w:sz w:val="20"/>
      <w:szCs w:val="20"/>
      <w:lang w:val="en-US" w:eastAsia="zh-CN" w:bidi="ar-SA"/>
    </w:rPr>
  </w:style>
  <w:style w:type="paragraph" w:customStyle="1" w:styleId="34">
    <w:name w:val="样式 2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5">
    <w:name w:val="样式 28 10 磅"/>
    <w:next w:val="15"/>
    <w:pPr>
      <w:widowControl w:val="0"/>
      <w:ind w:firstLineChars="200" w:firstLine="20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6">
    <w:name w:val="样式 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7">
    <w:name w:val="样式 10 10 磅"/>
    <w:next w:val="31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8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9">
    <w:name w:val="样式 12 10 磅"/>
    <w:link w:val="39Char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customStyle="1" w:styleId="39Char">
    <w:name w:val="样式 12 10 磅 Char"/>
    <w:basedOn w:val="10"/>
    <w:link w:val="39"/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0">
    <w:name w:val="样式 33 10 磅"/>
    <w:next w:val="16"/>
    <w:pPr>
      <w:widowControl w:val="0"/>
      <w:ind w:firstLineChars="200" w:firstLine="20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41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2">
    <w:name w:val="样式 1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3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4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45">
    <w:name w:val="Balloon Text"/>
    <w:basedOn w:val="0"/>
    <w:rPr>
      <w:sz w:val="18"/>
      <w:szCs w:val="18"/>
    </w:rPr>
  </w:style>
  <w:style w:type="paragraph" w:customStyle="1" w:styleId="46">
    <w:name w:val="样式 1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7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8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9">
    <w:name w:val="样式 2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0">
    <w:name w:val="样式 2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1">
    <w:name w:val="样式 2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2">
    <w:name w:val="样式 2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3">
    <w:name w:val="样式 2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4">
    <w:name w:val="样式 2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5">
    <w:name w:val="样式 2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6">
    <w:name w:val="样式 3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7">
    <w:name w:val="样式 3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8">
    <w:name w:val="样式 3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9">
    <w:name w:val="样式 3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0">
    <w:name w:val="样式 3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1">
    <w:name w:val="样式 3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2">
    <w:name w:val="样式 3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3">
    <w:name w:val="样式 3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4">
    <w:name w:val="样式 3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5">
    <w:name w:val="样式 4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6">
    <w:name w:val="样式 4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7">
    <w:name w:val="样式 4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8">
    <w:name w:val="样式 4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9">
    <w:name w:val="样式 4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0">
    <w:name w:val="样式 4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1">
    <w:name w:val="样式 4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2">
    <w:name w:val="样式 4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3">
    <w:name w:val="样式 4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4">
    <w:name w:val="样式 4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5">
    <w:name w:val="样式 5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6">
    <w:name w:val="样式 5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7">
    <w:name w:val="样式 5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8">
    <w:name w:val="样式 5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9">
    <w:name w:val="样式 5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0">
    <w:name w:val="样式 5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1">
    <w:name w:val="样式 5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2">
    <w:name w:val="样式 5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3">
    <w:name w:val="样式 5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4">
    <w:name w:val="样式 5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5">
    <w:name w:val="样式 6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6">
    <w:name w:val="样式 6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7">
    <w:name w:val="样式 6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8">
    <w:name w:val="样式 6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9">
    <w:name w:val="样式 6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0">
    <w:name w:val="样式 6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1">
    <w:name w:val="样式 6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2">
    <w:name w:val="样式 6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3">
    <w:name w:val="样式 6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4">
    <w:name w:val="样式 6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5">
    <w:name w:val="样式 7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6">
    <w:name w:val="样式 7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7">
    <w:name w:val="样式 7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8">
    <w:name w:val="样式 7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9">
    <w:name w:val="样式 7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0">
    <w:name w:val="样式 7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1">
    <w:name w:val="样式 7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2">
    <w:name w:val="样式 7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3">
    <w:name w:val="样式 7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4">
    <w:name w:val="样式 7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5">
    <w:name w:val="样式 8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6">
    <w:name w:val="样式 8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7">
    <w:name w:val="样式 8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8">
    <w:name w:val="样式 8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9">
    <w:name w:val="样式 8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0">
    <w:name w:val="样式 8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1">
    <w:name w:val="样式 8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2">
    <w:name w:val="样式 8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3">
    <w:name w:val="样式 8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4">
    <w:name w:val="样式 8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5">
    <w:name w:val="样式 9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6">
    <w:name w:val="样式 9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7">
    <w:name w:val="样式 9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8">
    <w:name w:val="样式 9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9">
    <w:name w:val="样式 9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0">
    <w:name w:val="样式 9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1">
    <w:name w:val="样式 9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2">
    <w:name w:val="样式 9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3">
    <w:name w:val="样式 9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4">
    <w:name w:val="样式 9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5">
    <w:name w:val="样式 10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6">
    <w:name w:val="样式 10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7">
    <w:name w:val="样式 10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8">
    <w:name w:val="样式 10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9">
    <w:name w:val="样式 10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0">
    <w:name w:val="样式 10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1">
    <w:name w:val="样式 10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2">
    <w:name w:val="样式 10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3">
    <w:name w:val="样式 10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4">
    <w:name w:val="样式 10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5">
    <w:name w:val="样式 11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6">
    <w:name w:val="样式 11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7">
    <w:name w:val="样式 11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8">
    <w:name w:val="样式 1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9">
    <w:name w:val="样式 11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0">
    <w:name w:val="样式 11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1">
    <w:name w:val="样式 11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2">
    <w:name w:val="样式 11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3">
    <w:name w:val="样式 11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4">
    <w:name w:val="样式 11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5">
    <w:name w:val="样式 12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6">
    <w:name w:val="样式 12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7">
    <w:name w:val="样式 12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8">
    <w:name w:val="样式 12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9">
    <w:name w:val="样式 12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50">
    <w:name w:val="样式 12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51">
    <w:name w:val="样式 12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52">
    <w:name w:val="样式 12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53">
    <w:name w:val="样式 12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54">
    <w:name w:val="样式 12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55">
    <w:name w:val="样式 13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56">
    <w:name w:val="样式 13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57">
    <w:name w:val="样式 13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58">
    <w:name w:val="样式 13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59">
    <w:name w:val="样式 13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60">
    <w:name w:val="样式 13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61">
    <w:name w:val="样式 13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62">
    <w:name w:val="样式 13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63">
    <w:name w:val="样式 13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64">
    <w:name w:val="样式 13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65">
    <w:name w:val="样式 14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66">
    <w:name w:val="样式 14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67">
    <w:name w:val="样式 14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68">
    <w:name w:val="样式 14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69">
    <w:name w:val="样式 14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0">
    <w:name w:val="样式 14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1">
    <w:name w:val="样式 14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2">
    <w:name w:val="样式 14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3">
    <w:name w:val="样式 14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4">
    <w:name w:val="样式 14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5">
    <w:name w:val="样式 15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6">
    <w:name w:val="样式 15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7">
    <w:name w:val="样式 15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8">
    <w:name w:val="样式 15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9">
    <w:name w:val="样式 15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80">
    <w:name w:val="样式 15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81">
    <w:name w:val="样式 15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82">
    <w:name w:val="样式 15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83">
    <w:name w:val="样式 15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84">
    <w:name w:val="样式 15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85">
    <w:name w:val="样式 16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86">
    <w:name w:val="样式 16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87">
    <w:name w:val="样式 16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88">
    <w:name w:val="样式 16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89">
    <w:name w:val="样式 16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90">
    <w:name w:val="样式 16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91">
    <w:name w:val="样式 16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92">
    <w:name w:val="样式 16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93">
    <w:name w:val="样式 16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94">
    <w:name w:val="样式 16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95">
    <w:name w:val="样式 17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96">
    <w:name w:val="样式 17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97">
    <w:name w:val="样式 17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98">
    <w:name w:val="样式 17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99">
    <w:name w:val="样式 17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0">
    <w:name w:val="样式 17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1">
    <w:name w:val="样式 17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2">
    <w:name w:val="样式 17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3">
    <w:name w:val="样式 17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4">
    <w:name w:val="样式 17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5">
    <w:name w:val="样式 18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263</TotalTime>
  <Application>Yozo_Office</Application>
  <Pages>4</Pages>
  <Words>1552</Words>
  <Characters>1611</Characters>
  <Lines>143</Lines>
  <Paragraphs>80</Paragraphs>
  <CharactersWithSpaces>1617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杨璐</dc:creator>
  <cp:lastModifiedBy>付玮</cp:lastModifiedBy>
  <cp:revision>5</cp:revision>
  <cp:lastPrinted>2025-08-11T09:46:00Z</cp:lastPrinted>
  <dcterms:created xsi:type="dcterms:W3CDTF">2025-08-08T09:37:00Z</dcterms:created>
  <dcterms:modified xsi:type="dcterms:W3CDTF">2026-10-12T08:49:29Z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TemplateDocerSaveRecord">
    <vt:lpwstr>eyJoZGlkIjoiMDM4NDIzZTNmZDUxOTZiNzE0NzA5OWEwNjEwYWZlOWQiLCJ1c2VySWQiOiIzMTc1NjUzMjgifQ==</vt:lpwstr>
  </property>
  <property fmtid="{D5CDD505-2E9C-101B-9397-08002B2CF9AE}" pid="3" name="KSOProductBuildVer">
    <vt:lpwstr>2052-12.1.0.21915</vt:lpwstr>
  </property>
  <property fmtid="{D5CDD505-2E9C-101B-9397-08002B2CF9AE}" pid="4" name="ICV">
    <vt:lpwstr>B362E6F743FC422786852A81DF23C79B_12</vt:lpwstr>
  </property>
</Properties>
</file>