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body>
    <w:p>
      <w:pPr>
        <w:rPr>
          <w:rFonts w:ascii="方正黑体_GBK" w:eastAsia="方正黑体_GBK" w:cs="方正黑体_GBK"/>
          <w:sz w:val="32"/>
          <w:szCs w:val="32"/>
        </w:rPr>
      </w:pPr>
      <w:bookmarkStart w:id="0" w:name="_GoBack"/>
      <w:r>
        <w:rPr>
          <w:rFonts w:ascii="方正黑体_GBK" w:eastAsia="方正黑体_GBK" w:cs="方正黑体_GBK" w:hint="eastAsia"/>
          <w:sz w:val="32"/>
          <w:szCs w:val="32"/>
        </w:rPr>
        <w:t>附件</w:t>
      </w:r>
      <w:r>
        <w:rPr>
          <w:rFonts w:ascii="方正黑体_GBK" w:eastAsia="方正黑体_GBK" w:cs="方正黑体_GBK"/>
          <w:sz w:val="32"/>
          <w:szCs w:val="32"/>
        </w:rPr>
        <w:t>2</w:t>
      </w:r>
    </w:p>
    <w:p>
      <w:pPr>
        <w:spacing w:line="560" w:lineRule="exact"/>
        <w:jc w:val="center"/>
        <w:rPr>
          <w:rFonts w:ascii="方正小标宋_GBK" w:eastAsia="方正小标宋_GBK" w:cs="方正小标宋_GBK"/>
          <w:sz w:val="44"/>
          <w:szCs w:val="44"/>
        </w:rPr>
      </w:pPr>
      <w:bookmarkEnd w:id="0"/>
      <w:r>
        <w:rPr>
          <w:rFonts w:ascii="方正小标宋_GBK" w:eastAsia="方正小标宋_GBK" w:cs="方正小标宋_GBK" w:hint="eastAsia"/>
          <w:sz w:val="44"/>
          <w:szCs w:val="44"/>
        </w:rPr>
        <w:t>比选采购需求书</w:t>
      </w:r>
    </w:p>
    <w:tbl>
      <w:tblPr>
        <w:jc w:val="left"/>
        <w:tblInd w:w="0" w:type="dxa"/>
        <w:tblW w:w="90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98"/>
        <w:gridCol w:w="6862"/>
      </w:tblGrid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基础信息栏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项目名称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二连海关</w:t>
            </w:r>
            <w:r>
              <w:rPr>
                <w:rFonts w:ascii="方正仿宋_GBK" w:eastAsia="方正仿宋_GBK" w:cs="方正仿宋_GBK"/>
                <w:sz w:val="28"/>
                <w:szCs w:val="28"/>
              </w:rPr>
              <w:t>中心机房配电柜采购项目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采购预算</w:t>
            </w:r>
          </w:p>
        </w:tc>
        <w:tc>
          <w:tcPr>
            <w:tcW w:w="686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26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0000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  <w:lang w:val="en-US" w:eastAsia="zh-CN"/>
              </w:rPr>
              <w:t>.00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元</w:t>
            </w:r>
          </w:p>
        </w:tc>
      </w:tr>
      <w:t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评审方法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lef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  <w:highlight w:val="auto"/>
              </w:rPr>
              <w:t>√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最低价法</w:t>
            </w:r>
          </w:p>
        </w:tc>
      </w:tr>
      <w:tr>
        <w:tc>
          <w:tcPr>
            <w:tcW w:w="9060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楷体_GBK" w:eastAsia="方正楷体_GBK" w:cs="方正楷体_GBK" w:hint="eastAsia"/>
                <w:sz w:val="32"/>
                <w:szCs w:val="32"/>
              </w:rPr>
              <w:t>详细需求栏</w:t>
            </w:r>
          </w:p>
        </w:tc>
      </w:tr>
      <w:tr>
        <w:trPr>
          <w:trHeight w:val="1723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说明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1.不满足资格条件的响应文件将按无效响应文件处理。</w:t>
            </w:r>
          </w:p>
          <w:p>
            <w:pPr>
              <w:spacing w:line="400" w:lineRule="exact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</w:t>
            </w: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详细需求栏中所有加“★”项的需求均为实质性要求，不满足实质性要求的响应文件将按无效响应文件处理。</w:t>
            </w:r>
          </w:p>
        </w:tc>
      </w:tr>
      <w:tr>
        <w:trPr>
          <w:trHeight w:val="694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资格条件</w:t>
            </w:r>
          </w:p>
        </w:tc>
        <w:tc>
          <w:tcPr>
            <w:tcW w:w="6862" w:type="dxa"/>
            <w:vAlign w:val="center"/>
          </w:tcPr>
          <w:p>
            <w:pPr>
              <w:spacing w:beforeAutospacing="0" w:afterAutospacing="0"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供应商须为在中华人民共和国境内依法注册的独立法人企业，具备有效的营业执照，能够独立承担民事责任和合同履约责任。</w:t>
            </w:r>
          </w:p>
          <w:p>
            <w:pPr>
              <w:spacing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 xml:space="preserve">2.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供应商具备项目所在地售后网点，可提供现场设备安装、调试、应急抢修服务；拥有机房精密配电柜、市电输入柜、UPS输出配电柜同类完善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的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仓储、施工、售后技术团队，保障项目按期交付、稳定履约。</w:t>
            </w:r>
          </w:p>
          <w:p>
            <w:pPr>
              <w:spacing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 xml:space="preserve">3.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供应商自有固定电气施工、配电运维技术团队，在岗人员持有低压电工、电气设备安装调试、机房配电运维等有效资格证书，持证上岗，熟练完成配电柜现场安装、接线、联调、故障排查、设备运维全流程工作。</w:t>
            </w:r>
          </w:p>
          <w:p>
            <w:pPr>
              <w:spacing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 xml:space="preserve">4.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供应商未被列入“信用中国”网站失信被执行人名单、重大税收违法案件当事人名单，未被列入中国政府采购网政府采购严重违法失信行为记录名单。</w:t>
            </w:r>
          </w:p>
          <w:p>
            <w:pPr>
              <w:spacing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bCs/>
                <w:sz w:val="28"/>
                <w:szCs w:val="28"/>
              </w:rPr>
              <w:t xml:space="preserve">5. </w:t>
            </w: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本项目不接受联合体投标，不允许分包、转包，不接受个体工商户及分支机构参与投标。</w:t>
            </w:r>
          </w:p>
          <w:p>
            <w:pPr>
              <w:pStyle w:val="111"/>
              <w:spacing w:line="36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6.供货全部设备为原厂全新正品，不接受改装机、翻新机、二手设备；交货同步提供产品出厂合格证、出厂检测报告、元器件原厂质保资料。</w:t>
            </w:r>
          </w:p>
          <w:p>
            <w:pPr>
              <w:pStyle w:val="111"/>
              <w:spacing w:line="36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7.供应商具备供应链安全管理体系认证、能源管理体系认证、业务连续性管理体系认证；所投配电柜整机具备国家CCC强制认证，产品通过第三方机构9烈度抗震性能检测，满足《电信设备抗震性能检测规范》标准。</w:t>
            </w:r>
          </w:p>
        </w:tc>
      </w:tr>
      <w:tr>
        <w:trPr>
          <w:trHeight w:val="1082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★</w:t>
            </w:r>
          </w:p>
          <w:p>
            <w:pPr>
              <w:spacing w:line="560" w:lineRule="exact"/>
              <w:jc w:val="center"/>
              <w:rPr>
                <w:rFonts w:ascii="方正仿宋_GBK" w:eastAsia="方正仿宋_GBK" w:cs="方正仿宋_GBK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实质性需求</w:t>
            </w:r>
          </w:p>
        </w:tc>
        <w:tc>
          <w:tcPr>
            <w:tcW w:w="6862" w:type="dxa"/>
          </w:tcPr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本项目包含三套配电柜设备供货、运输、旧设备拆除、安装布线、系统联调、辅材配套、质保运维全流程，包含机房一体化配电柜、市电输入配电柜、UPS输出配电柜各1台，所有技术参数、供货安装、售后要求均为实质性条款，不满足任意一条按无效投标处理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一、设备硬性技术参数要求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（一）机房一体化配电柜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开关回路配置：输入回路：2×250A3P塑壳断路器(U电)、1×160A 3P塑壳断路器（市电）；输出回路：2×48×40A1P微断、6×63A3P空调配电；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柜内母排采用高导电率纯铜导体，铜含量应满足不小于99.90%，柜体内部母排应布局合理，柜体后门打开后，母排（地排除外）易触碰部分需有PC板防护，以保证使用安全；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配置不小于7英寸液晶彩色触摸屏，可视化的智能检测。系统模拟图可显示各开关的实时状态，可显示所有主回路及支路回路的电量信息；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主路断路器应采用塑壳断路器，支路断路器应采用微型断路器。断路器应选用ABB、施耐德、西门子或同档次产品。配电柜应支持支路温度检测功能。配电柜内应配置C级浪涌保护器。要求N线截面应与相线相同，选用的铜母线载流量不得小于额定电流要求。PE、N线及连接排上均开有充足的模数孔用于电缆的连接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投标精密配电柜应通过CCC认证。投标精密配电柜应通过第三方权威机构检测。投标精密配电柜应通过CE认证。投标精密配电柜应通过8、9烈度抗震性能检测，符合信息通信设备抗震检测标准。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含UPS回路电缆：ZC‑YJV4×95mm²+1×50mm²（1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0米）。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含安装所需的桥架、底座等辅材。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8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含交付实施。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（二）市电输入配电柜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 输入不小于630A3P塑壳开关；输出为不小于3×250A3P塑壳、2×160A3P塑壳、1×400A3P维修旁路、6×63A3P微断；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柜内母排应采用高导电率纯铜导体，含铜量应满足不小于99.90%。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柜体内部母排应布局合理，柜体后门打开后，母排（地排除外）易触碰部分需有PC板防护，以保证使用安全。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应设置不小于7英寸液晶触摸屏，可视化的智能检测。系统模拟图可显示各开关和防雷器的实时状态，可显示所有主回路及支路回路的电量信息。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应具备支路电流(A)、有功功率(kW)，负载率(%)、电能(kWh)、温度(℃)、空开状态监测。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监控检测板应采用热插拔设计，当检测板模块出现故障时，支持不断电维护。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主路输入开关应采用塑壳断路器，支路断路器应采用微型断路器。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8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断路器应选用ABB、施耐德、西门子或同档次产品。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.配电柜应支持支路温度检测和支路热插拔功能。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.配电柜内应配置C级浪涌保护器。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.生产厂商应具有完善的项目相关产品管理能力，具备供应链安全管理体系认证、能源管理体系认证、业务连续性管理体系认证等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eastAsia="zh-CN"/>
              </w:rPr>
              <w:t>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.配电柜应通过CQC认证、CCC认证，并提供完整的测试报告并加盖厂家公章。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.含外部旁路电缆：ZC‑YJV4×185mm²+1×95mm²（15米）。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.含安装所需的桥架、底座等辅材。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.含交付实施。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（三）UPS电池输出配电柜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1. 输入开关不小于3×250A3P塑壳断路器；输出为不小于2×250A/3P、4×63A/3P塑壳断路器。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柜内母排应采用高导电率纯铜导体，含铜量应满足不小于99.90%。柜体内部母排应布局合理，柜体后门打开后，母排（地排除外）易触碰部分需有PC板防护，以保证使用安全。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应设置不小于7英寸液晶触摸屏，可视化的智能检测。系统模拟图可显示各开关和防雷器的实时状态，可显示所有主回路及支路回路的电量信息。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应具备支路电流(A)、有功功率(kW)，负载率(%)、电能(kWh)、温度(℃)、空开状态监测。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5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监控检测板应采用热插拔设计，当检测板模块出现故障时，支持不断电维护。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6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主路输入开关应采用塑壳断路器，支路断路器应采用微型断路器。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7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断路器应选用ABB、施耐德、西门子或同档次产品。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8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 配电柜应支持支路温度检测和支路热插拔功能。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9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.配电柜内应配置C级浪涌保护器。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0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.生产厂商应具有完善的项目相关产品管理能力，具备供应链安全管理体系认证、能源管理体系认证、业务连续性管理体系认证等。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.配电柜应通过CQC认证、CCC认证，并提供完整的测试报告并加盖厂家公章。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2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.按照标准YD5083‑2005《电信设备抗震性能检测规范》要求，通过不低于9烈度结构抗地震考核。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3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.含安装所需的桥架、底座等辅材。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1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  <w:lang w:val="en-US" w:eastAsia="zh-CN"/>
              </w:rPr>
              <w:t>4</w:t>
            </w: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.含交付实施。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二、供货、拆除、安装、调试硬性要求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所有供货设备、元器件、线缆、辅材必须100%响应招标文件全部技术参数；设备到场后，中标供应商原厂技术人员配合采购人逐项现场核验，任意一项参数不达标，采购人有权拒收设备、解除合同并追究违约责任。</w:t>
            </w:r>
          </w:p>
          <w:p>
            <w:pPr>
              <w:pStyle w:val="113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 中标供应商在交付实施期间，必须指派1名专职项目经理 （项目经理应具备所投产品的交付资质证书），全权统筹现场设备原有老旧配电柜拆除、搬运、收纳处置；新配电柜就位固定、桥架安装、电缆敷设接线、接地防雷施工、整机上电联调、配电系统试运行，并提供设备安装所需的材料，含线缆及其他配套，保证系统的安全性及可用性；运输、人工、耗材、垃圾清运等所有费用全部包含在投标报价内，采购人无需额外付费。</w:t>
            </w:r>
          </w:p>
          <w:p>
            <w:pPr>
              <w:spacing w:line="400" w:lineRule="exact"/>
              <w:ind w:left="0"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 本项目为交钥匙工程，全部设备安装、布线、调试完毕后，出具完整竣工图纸、设备检测记录、调试报告，完成整体交付。</w:t>
            </w:r>
          </w:p>
          <w:p>
            <w:pPr>
              <w:spacing w:line="400" w:lineRule="exact"/>
              <w:ind w:left="0"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、交货时须随货提供官方产品合格证等材料。本项目不接受拆机、二手等非官方产品，供货设备必须为全新原装未拆封正品。设备型号、参数、序列号等信息可通过官方渠道核验，核验信息与采购需求不一致的，按来源不明货物作拒收处理。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三、售后服务实质性硬性条款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本地售后网点要求：供应商在项目所在地设有常驻售后服务网点，整机免费质保3年；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 故障响应时效：提供7×24小时全天候电话技术支持；接到故障报修后12小时内专业工程师抵达现场上门维修处置，3年内免费更换故障元器件、免费上门维修；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3. 现场实操培训：设备安装调试交付完成后，供应商安排持证电气工程师，对甲方运维人员开展不少于2次现场实操培训，内容包含配电柜日常操作、负载查看、故障识别、基础检修、定期维护全流程；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4. 质保期巡检服务：3年质保期内常态化机房配电系统巡检；定期对三台配电柜开展内部除尘、接线紧固、负载参数校准、温湿度调校；排查线缆老化、电流异常、防雷失效、开关发热等安全隐患，建立完整巡检台账、闭环归档，保障机房市电、UPS配电系统全年24小时不间断安全稳定运行。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四、项目约束要求</w:t>
            </w:r>
          </w:p>
          <w:p>
            <w:pPr>
              <w:pStyle w:val="117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400" w:lineRule="exact"/>
              <w:ind w:firstLineChars="200" w:firstLine="560"/>
              <w:jc w:val="left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1. 项目供货、拆除、安装、调试全过程严禁转包、分包，一经查实采购人有权直接终止合同，扣除全部履约保证金；</w:t>
            </w:r>
          </w:p>
          <w:p>
            <w:pPr>
              <w:spacing w:line="400" w:lineRule="exact"/>
              <w:ind w:firstLineChars="200" w:firstLine="560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/>
                <w:sz w:val="28"/>
                <w:szCs w:val="28"/>
              </w:rPr>
              <w:t>2. 设备合格证、原厂检测报告、巡检记录、培训签到表、质保承诺函、竣工资料等全套资料统一归档，作为国库支付、审计核查必备材料。</w:t>
            </w:r>
          </w:p>
        </w:tc>
      </w:tr>
      <w:tr>
        <w:trPr>
          <w:trHeight w:val="610"/>
        </w:trPr>
        <w:tc>
          <w:tcPr>
            <w:tcW w:w="2198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Times New Roman" w:eastAsia="方正仿宋_GBK" w:cs="Times New Roman" w:hAnsi="Times New Roman" w:hint="eastAsia"/>
                <w:sz w:val="28"/>
                <w:szCs w:val="28"/>
              </w:rPr>
              <w:t>评审因素</w:t>
            </w:r>
          </w:p>
        </w:tc>
        <w:tc>
          <w:tcPr>
            <w:tcW w:w="6862" w:type="dxa"/>
            <w:vAlign w:val="center"/>
          </w:tcPr>
          <w:p>
            <w:pPr>
              <w:spacing w:line="400" w:lineRule="exact"/>
              <w:jc w:val="both"/>
              <w:rPr>
                <w:rFonts w:ascii="Times New Roman" w:eastAsia="方正仿宋_GBK" w:cs="Times New Roman" w:hAnsi="Times New Roman"/>
                <w:sz w:val="28"/>
                <w:szCs w:val="28"/>
              </w:rPr>
            </w:pPr>
            <w:r>
              <w:rPr>
                <w:rFonts w:ascii="方正仿宋_GBK" w:eastAsia="方正仿宋_GBK" w:cs="方正仿宋_GBK" w:hint="eastAsia"/>
                <w:sz w:val="28"/>
                <w:szCs w:val="28"/>
              </w:rPr>
              <w:t>√最低价法</w:t>
            </w:r>
          </w:p>
        </w:tc>
      </w:tr>
    </w:tbl>
    <w:p>
      <w:pPr>
        <w:rPr>
          <w:rFonts w:ascii="方正仿宋_GBK" w:eastAsia="方正仿宋_GBK" w:cs="方正仿宋_GBK"/>
          <w:sz w:val="32"/>
          <w:szCs w:val="32"/>
        </w:rPr>
      </w:pPr>
    </w:p>
    <w:p>
      <w:pPr>
        <w:spacing w:line="560" w:lineRule="exact"/>
        <w:rPr>
          <w:rFonts w:ascii="方正仿宋_GBK" w:eastAsia="方正仿宋_GBK" w:cs="方正仿宋_GBK"/>
          <w:sz w:val="32"/>
          <w:szCs w:val="32"/>
        </w:rPr>
      </w:pPr>
    </w:p>
    <w:sectPr>
      <w:footerReference w:type="default" r:id="rId2"/>
      <w:footerReference w:type="even" r:id="rId3"/>
      <w:pgSz w:w="11906" w:h="16838"/>
      <w:pgMar w:top="1440" w:right="1800" w:bottom="1440" w:left="1800" w:header="851" w:footer="992" w:gutter="0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方正黑体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小标宋_GBK">
    <w:panose1 w:val="02000000000000000000"/>
    <w:charset w:val="86"/>
    <w:family w:val="script"/>
    <w:pitch w:val="variable"/>
    <w:sig w:usb0="A00002BF" w:usb1="38CF7CFA" w:usb2="00082016" w:usb3="00000000" w:csb0="00040001" w:csb1="00000000"/>
  </w:font>
  <w:font w:name="方正楷体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variable"/>
    <w:sig w:usb0="00000001" w:usb1="08000000" w:usb2="00000000" w:usb3="00000000" w:csb0="00040000" w:csb1="00000000"/>
  </w:font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variable"/>
    <w:sig w:usb0="00000003" w:usb1="080E0000" w:usb2="00000000" w:usb3="00000000" w:csb0="00040001" w:csb1="00000000"/>
  </w:font>
  <w:font w:name="Calibri">
    <w:altName w:val="DejaVu Sans"/>
    <w:panose1 w:val="020F0502020204030204"/>
    <w:charset w:val="00"/>
    <w:family w:val="swiss"/>
    <w:pitch w:val="variable"/>
    <w:sig w:usb0="00000000" w:usb1="00000000" w:usb2="00000001" w:usb3="00000000" w:csb0="0000019F" w:csb1="00000000"/>
  </w:font>
  <w:font w:name="Arial">
    <w:altName w:val="Times New Roman"/>
    <w:panose1 w:val="020B0604020202020204"/>
    <w:charset w:val="01"/>
    <w:family w:val="swiss"/>
    <w:pitch w:val="variable"/>
    <w:sig w:usb0="E0002AFF" w:usb1="C0007843" w:usb2="00000009" w:usb3="00000000" w:csb0="400001FF" w:csb1="FFFF0000"/>
  </w:font>
  <w:font w:name="Lucida Sans">
    <w:altName w:val="DejaVu Sans"/>
    <w:panose1 w:val="020B0602030504020204"/>
    <w:charset w:val="00"/>
    <w:family w:val="auto"/>
    <w:pitch w:val="variable"/>
    <w:sig w:usb0="00000000" w:usb1="00000000" w:usb2="00000000" w:usb3="00000000" w:csb0="20000001" w:csb1="00000000"/>
  </w:font>
</w:fonts>
</file>

<file path=word/footer1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5"/>
      </w:rPr>
      <w:fldChar w:fldCharType="begin"/>
    </w:r>
    <w:r>
      <w:rPr>
        <w:rStyle w:val="25"/>
      </w:rPr>
      <w:instrText>Page</w:instrText>
    </w:r>
    <w:r>
      <w:rPr>
        <w:rStyle w:val="25"/>
      </w:rPr>
      <w:fldChar w:fldCharType="separate"/>
    </w:r>
    <w:r>
      <w:rPr>
        <w:rStyle w:val="25"/>
      </w:rPr>
      <w:t>3</w:t>
    </w:r>
    <w:r>
      <w:rPr>
        <w:rStyle w:val="25"/>
      </w:rPr>
      <w:fldChar w:fldCharType="end"/>
    </w:r>
  </w:p>
  <w:p>
    <w:pPr>
      <w:pStyle w:val="17"/>
      <w:tabs>
        <w:tab w:val="center" w:pos="4153"/>
        <w:tab w:val="right" w:pos="8306"/>
      </w:tabs>
      <w:ind w:right="360"/>
    </w:pPr>
  </w:p>
</w:ftr>
</file>

<file path=word/footer2.xml><?xml version="1.0" encoding="utf-8"?>
<w:ftr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 xmlns:a="http://schemas.openxmlformats.org/drawingml/2006/main" xmlns:wps="http://schemas.microsoft.com/office/word/2010/wordprocessingShape" xmlns:wp="http://schemas.openxmlformats.org/drawingml/2006/wordprocessingDrawing" xmlns:pic="http://schemas.openxmlformats.org/drawingml/2006/picture" xmlns:mc="http://schemas.openxmlformats.org/markup-compatibility/2006" xmlns:wpg="http://schemas.microsoft.com/office/word/2010/wordprocessingGroup" xmlns:wpc="http://schemas.microsoft.com/office/word/2010/wordprocessingCanvas" xmlns:w10="urn:schemas-microsoft-com:office:word" xmlns:w14="http://schemas.microsoft.com/office/word/2010/wordml" xmlns:a14="http://schemas.microsoft.com/office/drawing/2010/main" mc:Ignorable="w14">
  <w:p>
    <w:pPr>
      <w:pStyle w:val="17"/>
      <w:framePr w:w="0" w:hRule="auto" w:wrap="around" w:vAnchor="text" w:hAnchor="margin" w:xAlign="right" w:y="1" w:anchorLock="0"/>
      <w:tabs>
        <w:tab w:val="center" w:pos="4153"/>
        <w:tab w:val="right" w:pos="8306"/>
      </w:tabs>
    </w:pPr>
    <w:r>
      <w:rPr>
        <w:rStyle w:val="25"/>
      </w:rPr>
      <w:fldChar w:fldCharType="begin"/>
    </w:r>
    <w:r>
      <w:rPr>
        <w:rStyle w:val="25"/>
      </w:rPr>
      <w:instrText>Page</w:instrText>
    </w:r>
    <w:r>
      <w:rPr>
        <w:rStyle w:val="25"/>
      </w:rPr>
      <w:fldChar w:fldCharType="separate"/>
    </w:r>
    <w:r>
      <w:rPr>
        <w:rStyle w:val="25"/>
      </w:rPr>
      <w:t>1</w:t>
    </w:r>
    <w:r>
      <w:rPr>
        <w:rStyle w:val="25"/>
      </w:rPr>
      <w:fldChar w:fldCharType="end"/>
    </w:r>
  </w:p>
  <w:p>
    <w:pPr>
      <w:pStyle w:val="17"/>
      <w:tabs>
        <w:tab w:val="center" w:pos="4153"/>
        <w:tab w:val="right" w:pos="8306"/>
      </w:tabs>
      <w:ind w:right="360"/>
    </w:pPr>
  </w:p>
</w:ftr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m="http://schemas.openxmlformats.org/officeDocument/2006/math" xmlns:v="urn:schemas-microsoft-com:vml">
  <w:zoom w:val="fullPage" w:percent="97"/>
  <w:doNotDisplayPageBoundaries/>
  <w:bordersDoNotSurroundHeader w:val="0"/>
  <w:bordersDoNotSurroundFooter w:val="0"/>
  <w:trackRevisions/>
  <w:defaultTabStop w:val="420"/>
  <w:drawingGridHorizontalSpacing w:val="105"/>
  <w:drawingGridVerticalSpacing w:val="156"/>
  <w:displayHorizontalDrawingGridEvery w:val="1"/>
  <w:displayVerticalDrawingGridEvery w:val="1"/>
  <w:noPunctuationKerning/>
  <w:characterSpacingControl w:val="compressPunctuation"/>
  <w:compat>
    <w:spaceForUL/>
    <w:balanceSingleByteDoubleByteWidth/>
    <w:ulTrailSpace/>
    <w:doNotExpandShiftReturn/>
    <w:adjustLineHeightInTable/>
    <w:compatSetting w:name="compatibilityMode" w:uri="http://schemas.microsoft.com/office/word" w:val="14"/>
  </w:compat>
  <w:docVars>
    <w:docVar w:name="commondata" w:val="eyJoZGlkIjoiOWRlNmFjNTE0YmQzNDgwNGMxODI4OWJlYzRjMWE3MTcifQ=="/>
  </w:docVars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style w:type="paragraph" w:default="1" w:styleId="0">
    <w:name w:val="Normal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">
    <w:name w:val="heading 1"/>
    <w:basedOn w:val="0"/>
    <w:next w:val="0"/>
    <w:pPr>
      <w:keepNext/>
      <w:keepLines/>
      <w:widowControl w:val="0"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1"/>
    </w:pPr>
    <w:rPr>
      <w:rFonts w:ascii="宋体" w:eastAsia="宋体"/>
      <w:b/>
      <w:snapToGrid/>
      <w:color w:val="auto"/>
      <w:spacing w:val="0"/>
      <w:w w:val="100"/>
      <w:kern w:val="0"/>
      <w:position w:val="0"/>
      <w:sz w:val="36"/>
      <w:u w:val="none" w:color="auto"/>
      <w:shd w:val="clear" w:color="auto" w:fill="auto"/>
      <w:vertAlign w:val="baseline"/>
      <w:lang w:val="en-US" w:eastAsia="zh-CN"/>
    </w:rPr>
  </w:style>
  <w:style w:type="paragraph" w:styleId="3">
    <w:name w:val="heading 3"/>
    <w:basedOn w:val="0"/>
    <w:pPr>
      <w:keepNext w:val="0"/>
      <w:keepLines w:val="0"/>
      <w:pageBreakBefore w:val="0"/>
      <w:widowControl/>
      <w:suppressLineNumber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uppressAutoHyphens w:val="0"/>
      <w:kinsoku/>
      <w:wordWrap/>
      <w:overflowPunct/>
      <w:topLinePunct w:val="0"/>
      <w:autoSpaceDE/>
      <w:autoSpaceDN/>
      <w:bidi w:val="0"/>
      <w:adjustRightInd/>
      <w:snapToGrid/>
      <w:spacing w:before="100" w:beforeAutospacing="1" w:after="100" w:afterAutospacing="1" w:line="240" w:lineRule="auto"/>
      <w:ind w:left="0" w:right="0" w:firstLine="0"/>
      <w:contextualSpacing w:val="0"/>
      <w:jc w:val="left"/>
      <w:textAlignment w:val="auto"/>
      <w:outlineLvl w:val="2"/>
    </w:pPr>
    <w:rPr>
      <w:rFonts w:ascii="宋体" w:eastAsia="宋体"/>
      <w:b/>
      <w:snapToGrid/>
      <w:color w:val="auto"/>
      <w:spacing w:val="0"/>
      <w:w w:val="100"/>
      <w:kern w:val="0"/>
      <w:position w:val="0"/>
      <w:sz w:val="27"/>
      <w:u w:val="none" w:color="auto"/>
      <w:shd w:val="clear" w:color="auto" w:fill="auto"/>
      <w:vertAlign w:val="baseline"/>
      <w:lang w:val="en-US" w:eastAsia="zh-CN"/>
    </w:rPr>
  </w:style>
  <w:style w:type="character" w:default="1" w:styleId="10">
    <w:name w:val="Default Paragraph Font"/>
  </w:style>
  <w:style w:type="paragraph" w:styleId="15">
    <w:name w:val="annotation text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styleId="16">
    <w:name w:val="Balloon Text"/>
    <w:basedOn w:val="0"/>
    <w:rPr>
      <w:sz w:val="18"/>
      <w:szCs w:val="18"/>
    </w:rPr>
  </w:style>
  <w:style w:type="paragraph" w:styleId="17">
    <w:name w:val="footer"/>
    <w:basedOn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8">
    <w:name w:val="header"/>
    <w:basedOn w:val="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9">
    <w:name w:val="index heading"/>
    <w:basedOn w:val="0"/>
    <w:rPr>
      <w:rFonts w:ascii="Arial" w:hAnsi="Arial"/>
      <w:b/>
    </w:rPr>
  </w:style>
  <w:style w:type="paragraph" w:styleId="20">
    <w:name w:val="List 5"/>
    <w:basedOn w:val="0"/>
    <w:pPr>
      <w:ind w:left="2100" w:hanging="420"/>
    </w:pPr>
  </w:style>
  <w:style w:type="paragraph" w:styleId="21">
    <w:name w:val="index 7"/>
    <w:basedOn w:val="0"/>
    <w:autoRedefine/>
    <w:next w:val="0"/>
    <w:pPr>
      <w:ind w:left="2520"/>
    </w:pPr>
  </w:style>
  <w:style w:type="paragraph" w:styleId="22">
    <w:name w:val="Normal (Web)"/>
    <w:next w:val="20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styleId="23">
    <w:name w:val="annotation subject"/>
    <w:next w:val="15"/>
    <w:pPr>
      <w:widowControl w:val="0"/>
    </w:pPr>
    <w:rPr>
      <w:rFonts w:ascii="Calibri" w:eastAsia="宋体" w:cs="Arial" w:hAnsi="Calibri"/>
      <w:b/>
      <w:kern w:val="2"/>
      <w:sz w:val="21"/>
      <w:szCs w:val="24"/>
      <w:lang w:val="en-US" w:eastAsia="zh-CN" w:bidi="ar-SA"/>
    </w:rPr>
  </w:style>
  <w:style w:type="character" w:styleId="24">
    <w:name w:val="Strong"/>
    <w:basedOn w:val="10"/>
    <w:rPr>
      <w:b/>
      <w:bCs/>
    </w:rPr>
  </w:style>
  <w:style w:type="character" w:styleId="25">
    <w:name w:val="page number"/>
    <w:basedOn w:val="10"/>
  </w:style>
  <w:style w:type="character" w:styleId="26">
    <w:name w:val="annotation reference"/>
    <w:basedOn w:val="10"/>
    <w:rPr>
      <w:sz w:val="21"/>
      <w:szCs w:val="21"/>
    </w:rPr>
  </w:style>
  <w:style w:type="paragraph" w:customStyle="1" w:styleId="27">
    <w:name w:val="样式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8">
    <w:name w:val="样式 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29">
    <w:name w:val="样式 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0">
    <w:name w:val="样式 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1">
    <w:name w:val="样式 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2">
    <w:name w:val="样式 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3">
    <w:name w:val="样式 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4">
    <w:name w:val="样式 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5">
    <w:name w:val="样式 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6">
    <w:name w:val="样式 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7">
    <w:name w:val="样式 1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8">
    <w:name w:val="样式 1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39">
    <w:name w:val="样式 1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0">
    <w:name w:val="样式 1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1">
    <w:name w:val="样式 1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2">
    <w:name w:val="样式 1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3">
    <w:name w:val="样式 1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4">
    <w:name w:val="样式 1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5">
    <w:name w:val="样式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6">
    <w:name w:val="样式 1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47">
    <w:name w:val="样式 18 10 磅"/>
    <w:next w:val="30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48">
    <w:name w:val="样式 1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49">
    <w:name w:val="样式 2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0">
    <w:name w:val="样式 2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1">
    <w:name w:val="样式 2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2">
    <w:name w:val="样式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53">
    <w:name w:val="样式 2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4">
    <w:name w:val="样式 2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5">
    <w:name w:val="样式 2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56">
    <w:name w:val="样式 3 三号"/>
    <w:pPr>
      <w:widowControl w:val="0"/>
      <w:spacing w:line="560" w:lineRule="exact"/>
      <w:jc w:val="both"/>
    </w:pPr>
    <w:rPr>
      <w:rFonts w:ascii="Times New Roman" w:eastAsia="方正仿宋_GBK" w:cs="Times New Roman" w:hAnsi="Times New Roman"/>
      <w:kern w:val="2"/>
      <w:sz w:val="32"/>
      <w:szCs w:val="20"/>
      <w:lang w:val="en-US" w:eastAsia="zh-CN" w:bidi="ar-SA"/>
    </w:rPr>
  </w:style>
  <w:style w:type="paragraph" w:customStyle="1" w:styleId="57">
    <w:name w:val="样式 2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8">
    <w:name w:val="样式 2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59">
    <w:name w:val="样式 27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0">
    <w:name w:val="样式 28 10 磅"/>
    <w:pPr>
      <w:widowControl w:val="0"/>
      <w:jc w:val="both"/>
    </w:pPr>
    <w:rPr>
      <w:rFonts w:ascii="Calibri" w:eastAsia="宋体" w:cs="Times New Roman" w:hAnsi="Calibri"/>
      <w:kern w:val="2"/>
      <w:sz w:val="21"/>
      <w:szCs w:val="22"/>
      <w:lang w:val="en-US" w:eastAsia="zh-CN" w:bidi="ar-SA"/>
    </w:rPr>
  </w:style>
  <w:style w:type="paragraph" w:customStyle="1" w:styleId="61">
    <w:name w:val="样式 2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2">
    <w:name w:val="样式 3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3">
    <w:name w:val="样式 3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4">
    <w:name w:val="样式 3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5">
    <w:name w:val="样式 33 10 磅"/>
    <w:pPr>
      <w:widowControl w:val="0"/>
      <w:jc w:val="both"/>
    </w:pPr>
    <w:rPr>
      <w:rFonts w:ascii="Times New Roman" w:eastAsia="宋体" w:cs="Times New Roman" w:hAnsi="Times New Roman"/>
      <w:kern w:val="2"/>
      <w:sz w:val="21"/>
      <w:szCs w:val="21"/>
      <w:lang w:val="en-US" w:eastAsia="zh-CN" w:bidi="ar-SA"/>
    </w:rPr>
  </w:style>
  <w:style w:type="paragraph" w:customStyle="1" w:styleId="66">
    <w:name w:val="样式 34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7">
    <w:name w:val="样式 1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68">
    <w:name w:val="样式 3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69">
    <w:name w:val="样式 36 10 磅"/>
    <w:next w:val="66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70">
    <w:name w:val="样式 2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1">
    <w:name w:val="样式 3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2">
    <w:name w:val="样式 4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3">
    <w:name w:val="样式 5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4">
    <w:name w:val="样式 6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5">
    <w:name w:val="样式 7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6">
    <w:name w:val="样式 8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7">
    <w:name w:val="样式 9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78">
    <w:name w:val="样式 10 小四"/>
    <w:pPr>
      <w:widowControl w:val="0"/>
    </w:pPr>
    <w:rPr>
      <w:rFonts w:ascii="宋体" w:eastAsia="宋体" w:cs="Times New Roman"/>
      <w:kern w:val="2"/>
      <w:sz w:val="24"/>
      <w:szCs w:val="21"/>
      <w:lang w:val="en-US" w:eastAsia="zh-CN" w:bidi="ar-SA"/>
    </w:rPr>
  </w:style>
  <w:style w:type="paragraph" w:customStyle="1" w:styleId="79">
    <w:name w:val="样式 11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0">
    <w:name w:val="样式 12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1">
    <w:name w:val="样式 13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2">
    <w:name w:val="样式 3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3">
    <w:name w:val="样式 54 10 磅"/>
    <w:next w:val="21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4">
    <w:name w:val="样式 14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5">
    <w:name w:val="样式 15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86">
    <w:name w:val="样式 3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7">
    <w:name w:val="样式 39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8">
    <w:name w:val="样式 40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89">
    <w:name w:val="样式 41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0">
    <w:name w:val="样式 42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1">
    <w:name w:val="样式 4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2">
    <w:name w:val="样式 44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3">
    <w:name w:val="样式 45 10 磅"/>
    <w:pPr>
      <w:widowControl w:val="0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4">
    <w:name w:val="样式 16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95">
    <w:name w:val="样式 4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6">
    <w:name w:val="样式 17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97">
    <w:name w:val="样式 4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98">
    <w:name w:val="样式 18 小四"/>
    <w:pPr>
      <w:widowControl w:val="0"/>
      <w:spacing w:before="100" w:beforeAutospacing="1" w:after="100" w:afterAutospacing="1"/>
    </w:pPr>
    <w:rPr>
      <w:rFonts w:ascii="宋体" w:eastAsia="宋体" w:cs="Times New Roman"/>
      <w:kern w:val="2"/>
      <w:sz w:val="24"/>
      <w:szCs w:val="24"/>
      <w:lang w:val="en-US" w:eastAsia="zh-CN" w:bidi="ar-SA"/>
    </w:rPr>
  </w:style>
  <w:style w:type="paragraph" w:customStyle="1" w:styleId="99">
    <w:name w:val="样式 4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0">
    <w:name w:val="样式 4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1">
    <w:name w:val="样式 50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2">
    <w:name w:val="样式 51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3">
    <w:name w:val="样式 52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4">
    <w:name w:val="样式 53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5">
    <w:name w:val="样式 55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6">
    <w:name w:val="样式 56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7">
    <w:name w:val="样式 57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8">
    <w:name w:val="样式 58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09">
    <w:name w:val="样式 19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0">
    <w:name w:val="样式 20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1">
    <w:name w:val="样式 21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2">
    <w:name w:val="样式 22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3">
    <w:name w:val="样式 23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4">
    <w:name w:val="样式 24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5">
    <w:name w:val="样式 59 10 磅"/>
    <w:pPr>
      <w:widowControl w:val="0"/>
      <w:jc w:val="both"/>
    </w:pPr>
    <w:rPr>
      <w:rFonts w:ascii="Calibri" w:eastAsia="宋体" w:cs="Arial" w:hAnsi="Calibri"/>
      <w:kern w:val="2"/>
      <w:sz w:val="21"/>
      <w:szCs w:val="24"/>
      <w:lang w:val="en-US" w:eastAsia="zh-CN" w:bidi="ar-SA"/>
    </w:rPr>
  </w:style>
  <w:style w:type="paragraph" w:customStyle="1" w:styleId="116">
    <w:name w:val="样式 25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  <w:style w:type="paragraph" w:customStyle="1" w:styleId="117">
    <w:name w:val="样式 26 小四"/>
    <w:pPr>
      <w:widowControl w:val="0"/>
      <w:spacing w:line="240" w:lineRule="auto"/>
      <w:jc w:val="left"/>
    </w:pPr>
    <w:rPr>
      <w:rFonts w:ascii="宋体" w:eastAsia="宋体" w:cs="Lucida Sans"/>
      <w:kern w:val="2"/>
      <w:sz w:val="24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styles" Target="styles.xml"/><Relationship Id="rId5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Template>Normal.eit</Template>
  <TotalTime>0</TotalTime>
  <Application>Yozo_Office</Application>
  <Pages>1</Pages>
  <Words>3</Words>
  <Characters>3</Characters>
  <Lines>1</Lines>
  <Paragraphs>1</Paragraphs>
  <CharactersWithSpaces>3</CharactersWithSpac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creator>阿牧古龙</dc:creator>
  <cp:lastModifiedBy>付玮</cp:lastModifiedBy>
  <cp:revision>6</cp:revision>
  <cp:lastPrinted>2026-07-18T09:21:00Z</cp:lastPrinted>
  <dcterms:created xsi:type="dcterms:W3CDTF">2026-06-06T07:16:00Z</dcterms:created>
  <dcterms:modified xsi:type="dcterms:W3CDTF">2026-10-14T09:20:59Z</dcterms:modified>
</cp:coreProperties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KSOProductBuildVer">
    <vt:lpwstr>2052-12.8.2.1112</vt:lpwstr>
  </property>
  <property fmtid="{D5CDD505-2E9C-101B-9397-08002B2CF9AE}" pid="3" name="ICV">
    <vt:lpwstr>ABF8549A069BB9D354D8CE6AD169057B_43</vt:lpwstr>
  </property>
  <property fmtid="{D5CDD505-2E9C-101B-9397-08002B2CF9AE}" pid="4" name="KSOTemplateDocerSaveRecord">
    <vt:lpwstr>eyJoZGlkIjoiMDRhYjQ2MmQ4YWM2OTJjNDIzYzlhMGQ1YTBjNTk1M2UiLCJ1c2VySWQiOiIyODk3MjQzNDQifQ==</vt:lpwstr>
  </property>
</Properties>
</file>