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napToGrid w:val="0"/>
        <w:spacing w:line="540" w:lineRule="exact"/>
        <w:ind w:firstLine="0"/>
        <w:rPr>
          <w:rFonts w:ascii="Times New Roman" w:eastAsia="方正黑体_GBK" w:cs="Times New Roman" w:hAnsi="Times New Roman"/>
          <w:snapToGrid w:val="0"/>
          <w:spacing w:val="-2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cs="Times New Roman" w:hAnsi="Times New Roman"/>
          <w:snapToGrid w:val="0"/>
          <w:spacing w:val="-2"/>
          <w:kern w:val="0"/>
          <w:sz w:val="32"/>
          <w:szCs w:val="32"/>
        </w:rPr>
        <w:t>附件1</w:t>
      </w:r>
    </w:p>
    <w:p>
      <w:pPr>
        <w:snapToGrid w:val="0"/>
        <w:spacing w:line="540" w:lineRule="exact"/>
        <w:jc w:val="center"/>
        <w:rPr>
          <w:rFonts w:ascii="Times New Roman" w:eastAsia="方正小标宋_GBK" w:cs="Times New Roman" w:hAnsi="Times New Roman"/>
          <w:snapToGrid w:val="0"/>
          <w:spacing w:val="-2"/>
          <w:kern w:val="0"/>
          <w:sz w:val="44"/>
          <w:szCs w:val="44"/>
        </w:rPr>
      </w:pPr>
      <w:r>
        <w:rPr>
          <w:rFonts w:ascii="Times New Roman" w:eastAsia="方正小标宋_GBK" w:cs="Times New Roman" w:hAnsi="Times New Roman"/>
          <w:snapToGrid w:val="0"/>
          <w:spacing w:val="-2"/>
          <w:kern w:val="0"/>
          <w:sz w:val="44"/>
          <w:szCs w:val="44"/>
        </w:rPr>
        <w:t>比选采购需求书</w:t>
      </w:r>
    </w:p>
    <w:tbl>
      <w:tblPr>
        <w:jc w:val="left"/>
        <w:tblInd w:w="0" w:type="dxa"/>
        <w:tblW w:w="8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205"/>
      </w:tblGrid>
      <w:tr>
        <w:tc>
          <w:tcPr>
            <w:tcW w:w="840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楷体_GBK" w:cs="Times New Roman" w:hAnsi="Times New Roman"/>
                <w:snapToGrid w:val="0"/>
                <w:spacing w:val="-2"/>
                <w:kern w:val="0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205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盛乐国际机场海关综合楼门厅改造工程</w:t>
            </w:r>
          </w:p>
        </w:tc>
      </w:tr>
      <w:t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采购预算</w:t>
            </w:r>
          </w:p>
        </w:tc>
        <w:tc>
          <w:tcPr>
            <w:tcW w:w="6205" w:type="dxa"/>
            <w:vAlign w:val="center"/>
          </w:tcPr>
          <w:p>
            <w:pPr>
              <w:pStyle w:val="21"/>
              <w:snapToGrid w:val="0"/>
              <w:spacing w:line="540" w:lineRule="exact"/>
              <w:ind w:firstLineChars="200" w:firstLine="844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32"/>
                <w:szCs w:val="32"/>
              </w:rPr>
              <w:t>95060元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评审方法</w:t>
            </w:r>
          </w:p>
        </w:tc>
        <w:tc>
          <w:tcPr>
            <w:tcW w:w="6205" w:type="dxa"/>
            <w:vAlign w:val="center"/>
          </w:tcPr>
          <w:p>
            <w:pPr>
              <w:snapToGrid w:val="0"/>
              <w:spacing w:line="540" w:lineRule="exact"/>
              <w:jc w:val="left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napToGrid w:val="0"/>
                <w:spacing w:val="-2"/>
                <w:kern w:val="0"/>
                <w:sz w:val="28"/>
                <w:szCs w:val="28"/>
              </w:rPr>
              <w:sym w:font="Wingdings 2" w:char="F052"/>
            </w: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最低价法</w:t>
            </w:r>
          </w:p>
          <w:p>
            <w:pPr>
              <w:snapToGrid w:val="0"/>
              <w:spacing w:line="540" w:lineRule="exact"/>
              <w:jc w:val="left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Times New Roman"/>
                <w:snapToGrid w:val="0"/>
                <w:spacing w:val="-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综合评分法（权重：价格30%、评审因素70%）</w:t>
            </w:r>
          </w:p>
        </w:tc>
      </w:tr>
      <w:tr>
        <w:tc>
          <w:tcPr>
            <w:tcW w:w="8403" w:type="dxa"/>
            <w:gridSpan w:val="2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楷体_GBK" w:cs="Times New Roman" w:hAnsi="Times New Roman"/>
                <w:snapToGrid w:val="0"/>
                <w:spacing w:val="-2"/>
                <w:kern w:val="0"/>
                <w:sz w:val="32"/>
                <w:szCs w:val="32"/>
              </w:rPr>
              <w:t>详细需求栏</w:t>
            </w:r>
          </w:p>
        </w:tc>
      </w:tr>
      <w:tr>
        <w:trPr>
          <w:trHeight w:val="2186"/>
        </w:trP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说明</w:t>
            </w:r>
          </w:p>
        </w:tc>
        <w:tc>
          <w:tcPr>
            <w:tcW w:w="6205" w:type="dxa"/>
            <w:vAlign w:val="center"/>
          </w:tcPr>
          <w:p>
            <w:pPr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szCs w:val="22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szCs w:val="22"/>
              </w:rPr>
              <w:t>1.不满足资格条件的响应文件将按无效响应文件处理。</w:t>
            </w:r>
          </w:p>
          <w:p>
            <w:pPr>
              <w:snapToGrid w:val="0"/>
              <w:spacing w:line="540" w:lineRule="exact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szCs w:val="22"/>
              </w:rPr>
              <w:t>2.详细需求栏中所有加“★”项的需求均为实质性要求，不满足实质性要求的响应文件将按无效响应文件处理。</w:t>
            </w:r>
          </w:p>
        </w:tc>
      </w:tr>
      <w:tr>
        <w:trPr>
          <w:trHeight w:val="3088"/>
        </w:trP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资格条件</w:t>
            </w:r>
          </w:p>
        </w:tc>
        <w:tc>
          <w:tcPr>
            <w:tcW w:w="6205" w:type="dxa"/>
            <w:vAlign w:val="center"/>
          </w:tcPr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1、供应商应符合以下条件：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（1）具有独立承担民事责任的能力；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（2）具有良好商业信誉和健全的财务会计制度；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（3）具有履行合同所必需的设备和专业技术能力；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（4）有依法缴纳税收和社会保障资金的良好记录；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（5）参加政府采购前三年内，在经营活动中没有重大违法记录；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（6）法律、行政法规规定的其它条件。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2、本项目其他要求：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szCs w:val="22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（1）单位负责人为同一人或者存在直接控股、管理关系的不同供应商，不得参加同一合同项下的采购活动。除单一来源采购项目外，为采购项目提供整体设计、规范编制或者项目管理、监理、检测等服务的供应商，不得再参加该采购项目的其它采购活动。（2）对在“信用中国”网站（www.creditchina.gov.cn）、中国政府采购网（www.ccgp.gov.cn）等渠道被列入失信被执行人、重大税收违法失信主体、政府采购严重违法失信行为记录名单及其他不符合《中华人民共和国政府采购法》第二十二条规定条件的供应商，不得参与政府采购活动。</w:t>
            </w:r>
          </w:p>
        </w:tc>
      </w:tr>
      <w:tr>
        <w:trPr>
          <w:trHeight w:val="2799"/>
        </w:trP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★</w:t>
            </w:r>
          </w:p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实质性需求</w:t>
            </w:r>
          </w:p>
        </w:tc>
        <w:tc>
          <w:tcPr>
            <w:tcW w:w="6205" w:type="dxa"/>
          </w:tcPr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一、项目情况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1.采购内容：具体详见工程量清单及设计效果图。总体要求：选用的建筑材料必须为国标产品、符合国家验收标准。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2.报价说明：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2.1本项目报价上限为95060元(大写:玖万伍仟零陆拾元整)，超出此报价视为无效报价，取消比选资格。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2.2已标价的工程量清单作为报价资料的一部分装订入册，如果响应文件中没有已标价工程量清单视为无效报价，取消比选资格。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二、商务要求：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1.工期：合同签订后30天内完工；施工地点：盛乐国际机场海关综合楼。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2.支付方式：合同生效，乙方提交合规有效发票后，甲方于15个工作日内支付合同价款的30%作为预付款；乙方完成本合同全部工作内容及工程量，经甲方验收合格后，支付合同尾款。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 xml:space="preserve">3.质量保证金：工程竣工验收后，乙方向甲方支付合同价款的3%作为质量保证金，乙方将质量保证金缴纳至甲方指定银行账户。质量保修期满后30日内无息退还。            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4.质量要求：符合国家及行业相关规范和标准，满足设计要求。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5.安全要求：确保安全文明施工，执行国家现行相关规定</w:t>
            </w:r>
          </w:p>
          <w:p>
            <w:pPr>
              <w:pStyle w:val="22"/>
              <w:snapToGrid w:val="0"/>
              <w:spacing w:line="540" w:lineRule="exact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  <w:lang w:eastAsia="zh-CN"/>
              </w:rPr>
              <w:t>6.质量保修期：按照《建设工程质量管理条例》要求执行，自竣工验收合格之日起计算。缺陷责任期：1年，工程通过竣工验收之日起计算。</w:t>
            </w:r>
          </w:p>
        </w:tc>
      </w:tr>
      <w:tr>
        <w:trPr>
          <w:trHeight w:val="568"/>
        </w:trP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评审因素</w:t>
            </w:r>
          </w:p>
        </w:tc>
        <w:tc>
          <w:tcPr>
            <w:tcW w:w="6205" w:type="dxa"/>
          </w:tcPr>
          <w:p>
            <w:pPr>
              <w:pStyle w:val="24"/>
              <w:snapToGrid w:val="0"/>
              <w:spacing w:line="540" w:lineRule="exac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评审方法按照最低价法。</w:t>
            </w:r>
          </w:p>
        </w:tc>
      </w:tr>
      <w:tr>
        <w:trPr>
          <w:trHeight w:val="4604"/>
        </w:trPr>
        <w:tc>
          <w:tcPr>
            <w:tcW w:w="2198" w:type="dxa"/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  <w:t>其他因素</w:t>
            </w:r>
          </w:p>
        </w:tc>
        <w:tc>
          <w:tcPr>
            <w:tcW w:w="6205" w:type="dxa"/>
          </w:tcPr>
          <w:p>
            <w:pPr>
              <w:snapToGrid w:val="0"/>
              <w:spacing w:line="540" w:lineRule="exact"/>
              <w:jc w:val="lef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一、公告期限3个工作日。</w:t>
            </w:r>
          </w:p>
          <w:p>
            <w:pPr>
              <w:snapToGrid w:val="0"/>
              <w:spacing w:line="540" w:lineRule="exact"/>
              <w:jc w:val="lef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二、响应文件份数：</w:t>
            </w:r>
          </w:p>
          <w:p>
            <w:pPr>
              <w:snapToGrid w:val="0"/>
              <w:spacing w:line="540" w:lineRule="exact"/>
              <w:jc w:val="lef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1、响应文件正本1份、副本1份；</w:t>
            </w:r>
          </w:p>
          <w:p>
            <w:pPr>
              <w:snapToGrid w:val="0"/>
              <w:spacing w:line="540" w:lineRule="exact"/>
              <w:jc w:val="left"/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2、响应文件包含：供应商响应文件表格，公司营业执照复印件，项目负责人身份证复印件，参加比选人员授权委托证明，已标价的工程量清单，资格审查查询记录：对列入失信被执行人、重大税收违法失信主体、政府采购严重违法失信行为记录名单。查询截止时点：2026年9月30日。</w:t>
            </w:r>
          </w:p>
          <w:p>
            <w:pPr>
              <w:snapToGrid w:val="0"/>
              <w:spacing w:line="540" w:lineRule="exact"/>
              <w:jc w:val="left"/>
              <w:rPr>
                <w:rFonts w:ascii="Times New Roman" w:eastAsia="方正仿宋_GBK" w:cs="Times New Roman" w:hAnsi="Times New Roman"/>
                <w:snapToGrid w:val="0"/>
                <w:spacing w:val="-2"/>
                <w:kern w:val="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napToGrid w:val="0"/>
                <w:spacing w:val="-2"/>
                <w:kern w:val="0"/>
              </w:rPr>
              <w:t>3、所有页面均需加盖公章，密封提交。</w:t>
            </w:r>
          </w:p>
        </w:tc>
      </w:tr>
    </w:tbl>
    <w:p>
      <w:pPr>
        <w:snapToGrid w:val="0"/>
        <w:spacing w:line="540" w:lineRule="exact"/>
        <w:rPr>
          <w:rFonts w:ascii="Times New Roman" w:eastAsia="方正仿宋_GBK" w:cs="Times New Roman" w:hAnsi="Times New Roman"/>
          <w:snapToGrid w:val="0"/>
          <w:spacing w:val="-2"/>
          <w:kern w:val="0"/>
          <w:sz w:val="32"/>
          <w:szCs w:val="32"/>
        </w:rPr>
      </w:pPr>
    </w:p>
    <w:p>
      <w:pPr>
        <w:snapToGrid w:val="0"/>
        <w:spacing w:line="540" w:lineRule="exact"/>
        <w:jc w:val="right"/>
        <w:rPr>
          <w:rFonts w:ascii="Times New Roman" w:eastAsia="方正仿宋_GBK" w:cs="Times New Roman" w:hAnsi="Times New Roman"/>
          <w:snapToGrid w:val="0"/>
          <w:spacing w:val="-2"/>
          <w:kern w:val="0"/>
          <w:sz w:val="32"/>
          <w:szCs w:val="32"/>
        </w:rPr>
      </w:pPr>
    </w:p>
    <w:p>
      <w:pPr>
        <w:snapToGrid w:val="0"/>
        <w:spacing w:line="540" w:lineRule="exact"/>
        <w:jc w:val="left"/>
        <w:rPr>
          <w:rFonts w:ascii="Times New Roman" w:cs="Times New Roman" w:hAnsi="Times New Roman"/>
          <w:snapToGrid w:val="0"/>
          <w:spacing w:val="-2"/>
          <w:kern w:val="0"/>
        </w:rPr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variable"/>
    <w:sig w:usb0="00000000" w:usb1="00000000" w:usb2="00000000" w:usb3="00000000" w:csb0="8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FFFFF7D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620"/>
        </w:tabs>
        <w:ind w:left="16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0"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7">
    <w:name w:val="endnote reference"/>
    <w:basedOn w:val="10"/>
    <w:rPr>
      <w:vertAlign w:val="superscript"/>
    </w:rPr>
  </w:style>
  <w:style w:type="paragraph" w:styleId="18">
    <w:name w:val="List Number 4"/>
    <w:basedOn w:val="0"/>
    <w:pPr>
      <w:numPr>
        <w:ilvl w:val="0"/>
        <w:numId w:val="1"/>
      </w:numPr>
    </w:pPr>
  </w:style>
  <w:style w:type="paragraph" w:styleId="19">
    <w:name w:val="List Continue"/>
    <w:basedOn w:val="0"/>
    <w:pPr>
      <w:spacing w:after="120"/>
      <w:ind w:left="420"/>
    </w:pPr>
  </w:style>
  <w:style w:type="paragraph" w:styleId="20">
    <w:name w:val="Date"/>
    <w:basedOn w:val="0"/>
    <w:next w:val="0"/>
    <w:pPr>
      <w:ind w:leftChars="2500" w:left="2500"/>
    </w:pPr>
  </w:style>
  <w:style w:type="paragraph" w:customStyle="1" w:styleId="21">
    <w:name w:val="样式 50 10 磅"/>
    <w:next w:val="20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6 10 磅"/>
    <w:next w:val="1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22 10 磅"/>
    <w:next w:val="17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43 10 磅"/>
    <w:next w:val="19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Yozo_Office</Application>
  <Pages>3</Pages>
  <Words>1207</Words>
  <Characters>1280</Characters>
  <Lines>60</Lines>
  <Paragraphs>46</Paragraphs>
  <CharactersWithSpaces>1292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苏龙嘎</dc:creator>
  <cp:lastModifiedBy>包文青</cp:lastModifiedBy>
  <cp:revision>1</cp:revision>
  <cp:lastPrinted>2026-10-13T06:24:55Z</cp:lastPrinted>
  <dcterms:created xsi:type="dcterms:W3CDTF">2026-10-12T08:14:13Z</dcterms:created>
  <dcterms:modified xsi:type="dcterms:W3CDTF">2026-10-14T03:44:59Z</dcterms:modified>
</cp:coreProperties>
</file>