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firstLine="0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0" w:type="dxa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862"/>
      </w:tblGrid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包头海关办公楼电梯轿厢改造项目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28000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经费来源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财政经费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综合评分法（权重：价格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30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%、评审因素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70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%）</w:t>
            </w:r>
          </w:p>
        </w:tc>
      </w:tr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4731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详细需求栏中所有加“★”项的需求均为实质性要求，不满足实质性要求的响应文件将按无效响应文件处理。</w:t>
            </w:r>
          </w:p>
        </w:tc>
      </w:tr>
      <w:tr>
        <w:trPr>
          <w:trHeight w:val="3568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资格条件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1.具有独立承担民事责任的能力，持有有效的营业执照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；经营范围包含电梯装饰装修相关业务。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2.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具备电梯轿厢装饰施工相应能力，有同类电梯装修装潢项目实施经验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3.本项目不接受联合体参与，不允许转包、分包。</w:t>
            </w:r>
          </w:p>
        </w:tc>
      </w:tr>
      <w:tr>
        <w:trPr>
          <w:trHeight w:val="1082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</w:tc>
        <w:tc>
          <w:tcPr>
            <w:tcW w:w="6862" w:type="dxa"/>
          </w:tcPr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一、</w:t>
            </w:r>
            <w:r>
              <w:rPr>
                <w:rFonts w:ascii="方正仿宋_GBK" w:eastAsia="方正仿宋_GBK" w:cs="Times New Roman"/>
                <w:sz w:val="28"/>
                <w:szCs w:val="28"/>
              </w:rPr>
              <w:t>项目内容：2台电梯轿厢改造，包括轿厢内壁与地板，不含轿厢顶、轿厢们。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二、</w:t>
            </w:r>
            <w:r>
              <w:rPr>
                <w:rFonts w:ascii="方正仿宋_GBK" w:eastAsia="方正仿宋_GBK" w:cs="Times New Roman"/>
                <w:sz w:val="28"/>
                <w:szCs w:val="28"/>
              </w:rPr>
              <w:t>材质要求</w:t>
            </w: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：</w:t>
            </w:r>
            <w:r>
              <w:rPr>
                <w:rFonts w:ascii="方正仿宋_GBK" w:eastAsia="方正仿宋_GBK" w:cs="Times New Roman"/>
                <w:sz w:val="28"/>
                <w:szCs w:val="28"/>
              </w:rPr>
              <w:t>轿厢内壁采用拉丝不锈钢材质包覆，轿厢后壁配置镜面不锈钢，轿厢地板采用岩板材质，材质颜色须与电梯轿厢门保持一致。</w:t>
            </w:r>
          </w:p>
          <w:p>
            <w:pPr>
              <w:spacing w:line="400" w:lineRule="exac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三</w:t>
            </w: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、</w:t>
            </w:r>
            <w:r>
              <w:rPr>
                <w:rFonts w:ascii="方正仿宋_GBK" w:eastAsia="方正仿宋_GBK" w:cs="Times New Roman"/>
                <w:sz w:val="28"/>
                <w:szCs w:val="28"/>
              </w:rPr>
              <w:t>报价要求：</w:t>
            </w:r>
          </w:p>
          <w:p>
            <w:pPr>
              <w:spacing w:line="400" w:lineRule="exac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1.供应商报价为含税总价，报价包含材料费、加工制作费、运输费、现场安装费、辅材费、人工、安全措施费等完成本项目全部工作的一切费用，我方不再支付其他任何费用。</w:t>
            </w:r>
          </w:p>
          <w:p>
            <w:pPr>
              <w:spacing w:line="400" w:lineRule="exac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2.本项目共2台电梯轿厢，供应商须按整套完整方案报价，不接受分项拆包响应。</w:t>
            </w:r>
          </w:p>
          <w:p>
            <w:pPr>
              <w:spacing w:line="400" w:lineRule="exac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四、质保要求：整体项目质保期不少于1年，质保期内非人为损坏，供应商免费提供维修、更换零部件等售后服务。</w:t>
            </w:r>
          </w:p>
          <w:p>
            <w:pPr>
              <w:spacing w:line="400" w:lineRule="exac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五、工期要求：供应商需在响应文件中明确项目完工工期，合同签订后按采购人现场条件进场施工，施工需兼顾包头海关办公秩序，减少对日常办公影响。</w:t>
            </w:r>
          </w:p>
          <w:p>
            <w:pPr>
              <w:spacing w:line="400" w:lineRule="exac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六、验收标准：按照国家电梯相关装饰施工规范、采购需求、供应商响应方案、效果图进行现场验收；材质规格、工艺、外观需满足需求，无明显划痕、变形、缝隙不均匀等质量缺陷。</w:t>
            </w:r>
          </w:p>
          <w:p>
            <w:pPr>
              <w:pStyle w:val="27"/>
              <w:spacing w:line="400" w:lineRule="exact"/>
              <w:ind w:firstLine="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七</w:t>
            </w: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、支付方式：施工方按照合同约定完成项目，验收合格后，我方收到合规有效发票后支付</w:t>
            </w:r>
            <w:r>
              <w:rPr>
                <w:rFonts w:ascii="方正仿宋_GBK" w:eastAsia="方正仿宋_GBK" w:cs="Times New Roman"/>
                <w:sz w:val="28"/>
                <w:szCs w:val="28"/>
              </w:rPr>
              <w:t>货款。</w:t>
            </w:r>
          </w:p>
        </w:tc>
      </w:tr>
      <w:tr>
        <w:trPr>
          <w:trHeight w:val="3753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862" w:type="dxa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1.价格因素30分，计算方法为：比选基准价/报价×30，比选基准价为符合资格条件的最低报价，得分四舍五入保留2位小数点。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报价高于采购预算的、恶意低价的，视为无效响应。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2. 技术方案（60分）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（1）项目施工实施方案（30分）：包含施工工艺、现场保护措施、成品保护、安全文明施工、错峰施工方案；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方案完整，针对性强，得21‑30分；方案基本完整，措施一般得11‑20分；方案简单、缺项较多得0‑10分。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（2）材质技术响应（20分）：完全响应本项目拉丝不锈钢、镜面不锈钢、岩板等材质参数，提供材质说明，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得14‑20分；部分响应，得7‑13分；不响应不得分。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（3）效果图及成品效果说明（10分）：提供对应轿厢装修效果图、工艺细节说明，匹配项目要求，得6-10分；仅简单描述得1-5分；无相关说明不得分。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​3. 售后服务方案（10分）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售后服务方案完善，质保服务优于采购需求，故障响应、上门维修时限方案齐全得7‑10分；满足基本要求得3‑6分；方案不完善得0‑2分。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 xml:space="preserve"> </w:t>
            </w:r>
          </w:p>
        </w:tc>
      </w:tr>
      <w:tr>
        <w:trPr>
          <w:trHeight w:val="2545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其他因素</w:t>
            </w:r>
          </w:p>
        </w:tc>
        <w:tc>
          <w:tcPr>
            <w:tcW w:w="6862" w:type="dxa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1、公告期限（3个工作日）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2、响应文件份数（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3份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）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0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1</w:t>
    </w:r>
    <w:r>
      <w:rPr>
        <w:rStyle w:val="17"/>
      </w:rPr>
      <w:fldChar w:fldCharType="end"/>
    </w:r>
  </w:p>
  <w:p>
    <w:pPr>
      <w:pStyle w:val="20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1</w:t>
    </w:r>
    <w:r>
      <w:rPr>
        <w:rStyle w:val="17"/>
      </w:rPr>
      <w:fldChar w:fldCharType="end"/>
    </w:r>
  </w:p>
  <w:p>
    <w:pPr>
      <w:pStyle w:val="16"/>
      <w:tabs>
        <w:tab w:val="center" w:pos="4153"/>
        <w:tab w:val="right" w:pos="8306"/>
      </w:tabs>
      <w:ind w:right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index 6"/>
    <w:basedOn w:val="0"/>
    <w:autoRedefine/>
    <w:next w:val="0"/>
    <w:pPr>
      <w:ind w:left="2100"/>
    </w:pPr>
  </w:style>
  <w:style w:type="paragraph" w:styleId="16">
    <w:name w:val="footer"/>
    <w:next w:val="15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kern w:val="2"/>
      <w:sz w:val="18"/>
      <w:szCs w:val="18"/>
      <w:lang w:val="en-US" w:eastAsia="zh-CN" w:bidi="ar-SA"/>
    </w:rPr>
  </w:style>
  <w:style w:type="character" w:styleId="17">
    <w:name w:val="page number"/>
  </w:style>
  <w:style w:type="character" w:styleId="18">
    <w:name w:val="endnote reference"/>
    <w:basedOn w:val="10"/>
    <w:rPr>
      <w:vertAlign w:val="superscript"/>
    </w:rPr>
  </w:style>
  <w:style w:type="paragraph" w:customStyle="1" w:styleId="19">
    <w:name w:val="样式 22 10 磅"/>
    <w:next w:val="18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kern w:val="2"/>
      <w:sz w:val="18"/>
      <w:szCs w:val="18"/>
      <w:lang w:val="en-US" w:eastAsia="zh-CN" w:bidi="ar-SA"/>
    </w:rPr>
  </w:style>
  <w:style w:type="paragraph" w:styleId="21">
    <w:name w:val="index 7"/>
    <w:basedOn w:val="0"/>
    <w:autoRedefine/>
    <w:next w:val="0"/>
    <w:pPr>
      <w:ind w:left="2520"/>
    </w:pPr>
  </w:style>
  <w:style w:type="paragraph" w:styleId="22">
    <w:name w:val="toc 2"/>
    <w:basedOn w:val="0"/>
    <w:autoRedefine/>
    <w:next w:val="0"/>
    <w:pPr>
      <w:ind w:left="420"/>
    </w:pPr>
  </w:style>
  <w:style w:type="paragraph" w:customStyle="1" w:styleId="23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143</TotalTime>
  <Application>Yozo_Office</Application>
  <Pages>3</Pages>
  <Words>1150</Words>
  <Characters>1189</Characters>
  <Lines>62</Lines>
  <Paragraphs>43</Paragraphs>
  <CharactersWithSpaces>1193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冯强</dc:creator>
  <cp:lastModifiedBy>李紫萌</cp:lastModifiedBy>
  <cp:revision>0</cp:revision>
  <dcterms:created xsi:type="dcterms:W3CDTF">2025-07-16T06:21:43Z</dcterms:created>
  <dcterms:modified xsi:type="dcterms:W3CDTF">2026-10-10T09:05:25Z</dcterms:modified>
</cp:coreProperties>
</file>