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gif" ContentType="image/gif"/>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jc w:val="center"/>
        <w:rPr>
          <w:rFonts w:ascii="Times New Roman" w:hAnsi="Times New Roman"/>
          <w:sz w:val="48"/>
          <w:szCs w:val="48"/>
        </w:rPr>
      </w:pPr>
      <w:r>
        <w:rPr>
          <w:rFonts w:ascii="Times New Roman" w:hAnsi="Times New Roman" w:hint="eastAsia"/>
          <w:sz w:val="48"/>
          <w:szCs w:val="48"/>
        </w:rPr>
        <w:t xml:space="preserve">       </w:t>
      </w:r>
    </w:p>
    <w:p>
      <w:pPr>
        <w:jc w:val="center"/>
        <w:rPr>
          <w:rFonts w:ascii="Times New Roman" w:hAnsi="Times New Roman"/>
          <w:sz w:val="48"/>
          <w:szCs w:val="48"/>
        </w:rPr>
      </w:pPr>
    </w:p>
    <w:p>
      <w:pPr>
        <w:jc w:val="center"/>
        <w:rPr>
          <w:rFonts w:ascii="Times New Roman" w:hAnsi="Times New Roman"/>
          <w:sz w:val="48"/>
          <w:szCs w:val="48"/>
        </w:rPr>
      </w:pPr>
    </w:p>
    <w:p>
      <w:pPr>
        <w:jc w:val="center"/>
        <w:rPr>
          <w:rFonts w:ascii="Times New Roman" w:hAnsi="Times New Roman"/>
          <w:sz w:val="48"/>
          <w:szCs w:val="48"/>
        </w:rPr>
      </w:pPr>
    </w:p>
    <w:p>
      <w:pPr>
        <w:jc w:val="center"/>
        <w:rPr>
          <w:rFonts w:ascii="Times New Roman" w:hAnsi="Times New Roman"/>
          <w:sz w:val="48"/>
          <w:szCs w:val="48"/>
        </w:rPr>
      </w:pPr>
      <w:r>
        <w:rPr>
          <w:rFonts w:ascii="Times New Roman" w:hAnsi="Times New Roman" w:hint="eastAsia"/>
          <w:sz w:val="48"/>
          <w:szCs w:val="48"/>
        </w:rPr>
        <w:t xml:space="preserve">                 </w:t>
      </w:r>
      <w:r>
        <w:rPr>
          <w:rFonts w:ascii="Times New Roman" w:hAnsi="Times New Roman"/>
          <w:lang w:bidi="mn-Mong-CN"/>
        </w:rPr>
        <w:drawing>
          <wp:inline distT="0" distB="0" distL="0" distR="0">
            <wp:extent cx="3067050" cy="3067050"/>
            <wp:effectExtent l="0" t="0" r="0" b="0"/>
            <wp:docPr id="1" name="图片 1" descr="C:\Users\lenovo\AppData\Local\Temp\ksohtml11336\wps1.jpg"/>
            <wp:cNvGraphicFramePr>
              <a:graphicFrameLocks noChangeAspect="1"/>
            </wp:cNvGraphicFramePr>
            <a:graphic>
              <a:graphicData uri="http://schemas.openxmlformats.org/drawingml/2006/picture">
                <pic:pic>
                  <pic:nvPicPr>
                    <pic:cNvPr id="3" name="图片 3"/>
                    <pic:cNvPicPr/>
                  </pic:nvPicPr>
                  <pic:blipFill>
                    <a:blip r:embed="rId2"/>
                    <a:stretch>
                      <a:fillRect/>
                    </a:stretch>
                  </pic:blipFill>
                  <pic:spPr>
                    <a:xfrm rot="0">
                      <a:off x="0" y="0"/>
                      <a:ext cx="3067050" cy="3067050"/>
                    </a:xfrm>
                    <a:prstGeom prst="rect"/>
                    <a:noFill/>
                    <a:ln w="9525" cmpd="sng" cap="flat">
                      <a:noFill/>
                      <a:prstDash val="solid"/>
                      <a:round/>
                    </a:ln>
                  </pic:spPr>
                </pic:pic>
              </a:graphicData>
            </a:graphic>
          </wp:inline>
        </w:drawing>
      </w:r>
    </w:p>
    <w:p>
      <w:pPr>
        <w:jc w:val="center"/>
        <w:rPr>
          <w:rFonts w:ascii="Times New Roman" w:hAnsi="Times New Roman"/>
          <w:sz w:val="48"/>
          <w:szCs w:val="48"/>
        </w:rPr>
      </w:pPr>
      <w:r>
        <w:rPr>
          <w:rFonts w:ascii="Times New Roman" w:hAnsi="Times New Roman" w:hint="eastAsia"/>
          <w:sz w:val="48"/>
          <w:szCs w:val="48"/>
        </w:rPr>
        <w:t xml:space="preserve">                   </w:t>
      </w:r>
    </w:p>
    <w:p>
      <w:pPr>
        <w:jc w:val="center"/>
        <w:rPr>
          <w:rFonts w:ascii="Times New Roman" w:hAnsi="Times New Roman"/>
          <w:sz w:val="84"/>
          <w:szCs w:val="84"/>
        </w:rPr>
      </w:pPr>
      <w:r>
        <w:rPr>
          <w:rFonts w:ascii="Times New Roman" w:hAnsi="Times New Roman" w:hint="eastAsia"/>
          <w:sz w:val="84"/>
          <w:szCs w:val="84"/>
        </w:rPr>
        <w:t>呼和浩特海关</w:t>
      </w:r>
      <w:r>
        <w:rPr>
          <w:rFonts w:ascii="Times New Roman" w:hAnsi="Times New Roman"/>
          <w:sz w:val="84"/>
          <w:szCs w:val="84"/>
        </w:rPr>
        <w:t>本级</w:t>
      </w:r>
    </w:p>
    <w:p>
      <w:pPr>
        <w:jc w:val="center"/>
        <w:rPr>
          <w:rFonts w:ascii="Times New Roman" w:hAnsi="Times New Roman"/>
          <w:sz w:val="84"/>
          <w:szCs w:val="84"/>
        </w:rPr>
      </w:pPr>
      <w:r>
        <w:rPr>
          <w:rFonts w:ascii="Times New Roman" w:hAnsi="Times New Roman" w:hint="eastAsia"/>
          <w:sz w:val="84"/>
          <w:szCs w:val="84"/>
        </w:rPr>
        <w:t>部门预算</w:t>
      </w:r>
    </w:p>
    <w:p>
      <w:pPr>
        <w:jc w:val="center"/>
        <w:rPr>
          <w:rFonts w:ascii="Times New Roman" w:hAnsi="Times New Roman"/>
          <w:sz w:val="44"/>
          <w:szCs w:val="44"/>
        </w:rPr>
      </w:pPr>
      <w:r>
        <w:rPr>
          <w:rFonts w:ascii="Times New Roman" w:hAnsi="Times New Roman" w:hint="eastAsia"/>
          <w:sz w:val="44"/>
          <w:szCs w:val="44"/>
        </w:rPr>
        <w:t>202</w:t>
      </w:r>
      <w:r>
        <w:rPr>
          <w:rFonts w:ascii="Times New Roman" w:hAnsi="Times New Roman"/>
          <w:sz w:val="44"/>
          <w:szCs w:val="44"/>
        </w:rPr>
        <w:t>3</w:t>
      </w:r>
      <w:r>
        <w:rPr>
          <w:rFonts w:ascii="Times New Roman" w:hAnsi="Times New Roman" w:hint="eastAsia"/>
          <w:sz w:val="44"/>
          <w:szCs w:val="44"/>
        </w:rPr>
        <w:t>年</w:t>
      </w:r>
    </w:p>
    <w:p>
      <w:pPr>
        <w:jc w:val="center"/>
        <w:rPr>
          <w:rFonts w:ascii="Times New Roman" w:hAnsi="Times New Roman"/>
          <w:sz w:val="44"/>
          <w:szCs w:val="44"/>
        </w:rPr>
      </w:pPr>
      <w:r>
        <w:rPr>
          <w:rFonts w:ascii="Times New Roman" w:hAnsi="Times New Roman" w:hint="eastAsia"/>
          <w:sz w:val="44"/>
          <w:szCs w:val="44"/>
        </w:rPr>
        <w:t xml:space="preserve"> </w:t>
      </w: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sectPr>
          <w:pgSz w:w="11906" w:h="16838"/>
          <w:pgMar w:top="1440" w:right="1800" w:bottom="1440" w:left="1800" w:header="851" w:footer="992" w:gutter="0"/>
          <w:pgNumType w:start="0"/>
          <w:docGrid w:type="lines" w:linePitch="312" w:charSpace="0"/>
        </w:sectPr>
      </w:pPr>
    </w:p>
    <w:p>
      <w:pPr>
        <w:jc w:val="center"/>
        <w:rPr>
          <w:rFonts w:ascii="Times New Roman" w:cs="Times New Roman" w:hAnsi="Times New Roman"/>
          <w:b/>
          <w:sz w:val="84"/>
          <w:szCs w:val="84"/>
        </w:rPr>
      </w:pPr>
      <w:r>
        <w:rPr>
          <w:rFonts w:ascii="Times New Roman" w:eastAsia="方正仿宋_GBK" w:hAnsi="Times New Roman"/>
          <w:sz w:val="84"/>
          <w:szCs w:val="84"/>
        </w:rPr>
        <w:tab/>
      </w:r>
      <w:r>
        <w:rPr>
          <w:rFonts w:ascii="宋体" w:hint="eastAsia"/>
          <w:b/>
          <w:sz w:val="84"/>
          <w:szCs w:val="84"/>
        </w:rPr>
        <w:t>目</w:t>
      </w:r>
      <w:r>
        <w:rPr>
          <w:b/>
          <w:sz w:val="84"/>
          <w:szCs w:val="84"/>
        </w:rPr>
        <w:t xml:space="preserve">  </w:t>
      </w:r>
      <w:r>
        <w:rPr>
          <w:rFonts w:ascii="宋体" w:hint="eastAsia"/>
          <w:b/>
          <w:sz w:val="84"/>
          <w:szCs w:val="84"/>
        </w:rPr>
        <w:t>录</w:t>
      </w:r>
    </w:p>
    <w:p>
      <w:pPr>
        <w:jc w:val="center"/>
        <w:rPr>
          <w:b/>
          <w:sz w:val="84"/>
          <w:szCs w:val="84"/>
        </w:rPr>
      </w:pPr>
      <w:r>
        <w:rPr>
          <w:b/>
          <w:sz w:val="84"/>
          <w:szCs w:val="84"/>
        </w:rPr>
        <w:t xml:space="preserve"> </w:t>
      </w:r>
    </w:p>
    <w:p>
      <w:pPr>
        <w:rPr>
          <w:b/>
          <w:sz w:val="44"/>
          <w:szCs w:val="44"/>
        </w:rPr>
      </w:pPr>
      <w:r>
        <w:rPr>
          <w:rFonts w:ascii="宋体" w:hint="eastAsia"/>
          <w:b/>
          <w:sz w:val="44"/>
          <w:szCs w:val="44"/>
        </w:rPr>
        <w:t>第一部分</w:t>
      </w:r>
      <w:r>
        <w:rPr>
          <w:rFonts w:hint="eastAsia"/>
          <w:b/>
          <w:sz w:val="44"/>
          <w:szCs w:val="44"/>
        </w:rPr>
        <w:t xml:space="preserve">  呼和浩特海关本级</w:t>
      </w:r>
      <w:r>
        <w:rPr>
          <w:rFonts w:ascii="宋体" w:hint="eastAsia"/>
          <w:b/>
          <w:sz w:val="44"/>
          <w:szCs w:val="44"/>
        </w:rPr>
        <w:t>部门概况</w:t>
      </w:r>
    </w:p>
    <w:p>
      <w:pPr>
        <w:rPr>
          <w:sz w:val="36"/>
          <w:szCs w:val="36"/>
        </w:rPr>
      </w:pPr>
      <w:r>
        <w:rPr>
          <w:rFonts w:ascii="宋体" w:hint="eastAsia"/>
          <w:sz w:val="36"/>
          <w:szCs w:val="36"/>
        </w:rPr>
        <w:t>一、主要职能</w:t>
      </w:r>
    </w:p>
    <w:p>
      <w:pPr>
        <w:rPr>
          <w:sz w:val="36"/>
          <w:szCs w:val="36"/>
        </w:rPr>
      </w:pPr>
      <w:r>
        <w:rPr>
          <w:rFonts w:ascii="宋体" w:hint="eastAsia"/>
          <w:sz w:val="36"/>
          <w:szCs w:val="36"/>
        </w:rPr>
        <w:t>二、呼和浩特海关本级单位构成情况</w:t>
      </w:r>
      <w:r>
        <w:rPr>
          <w:rFonts w:hint="eastAsia"/>
          <w:sz w:val="36"/>
          <w:szCs w:val="36"/>
        </w:rPr>
        <w:t xml:space="preserve"> </w:t>
      </w:r>
    </w:p>
    <w:p>
      <w:pPr>
        <w:rPr>
          <w:b/>
          <w:sz w:val="44"/>
          <w:szCs w:val="44"/>
        </w:rPr>
      </w:pPr>
      <w:r>
        <w:rPr>
          <w:rFonts w:ascii="宋体" w:hint="eastAsia"/>
          <w:b/>
          <w:sz w:val="44"/>
          <w:szCs w:val="44"/>
        </w:rPr>
        <w:t>第二部分</w:t>
      </w:r>
      <w:r>
        <w:rPr>
          <w:rFonts w:hint="eastAsia"/>
          <w:b/>
          <w:sz w:val="44"/>
          <w:szCs w:val="44"/>
        </w:rPr>
        <w:t xml:space="preserve">  呼和浩特海关本级</w:t>
      </w:r>
      <w:r>
        <w:rPr>
          <w:b/>
          <w:sz w:val="44"/>
          <w:szCs w:val="44"/>
        </w:rPr>
        <w:t>2023</w:t>
      </w:r>
      <w:r>
        <w:rPr>
          <w:rFonts w:ascii="宋体" w:hint="eastAsia"/>
          <w:b/>
          <w:sz w:val="44"/>
          <w:szCs w:val="44"/>
        </w:rPr>
        <w:t>年部门预算表</w:t>
      </w:r>
    </w:p>
    <w:p>
      <w:pPr>
        <w:rPr>
          <w:color w:val="3366FF"/>
          <w:sz w:val="36"/>
          <w:szCs w:val="36"/>
        </w:rPr>
      </w:pPr>
      <w:r>
        <w:rPr>
          <w:rFonts w:ascii="宋体" w:hint="eastAsia"/>
          <w:sz w:val="36"/>
          <w:szCs w:val="36"/>
        </w:rPr>
        <w:t>一、</w:t>
      </w:r>
      <w:r>
        <w:rPr>
          <w:rFonts w:ascii="宋体"/>
          <w:sz w:val="36"/>
          <w:szCs w:val="36"/>
        </w:rPr>
        <w:t>部门</w:t>
      </w:r>
      <w:r>
        <w:rPr>
          <w:rFonts w:ascii="宋体" w:hint="eastAsia"/>
          <w:sz w:val="36"/>
          <w:szCs w:val="36"/>
        </w:rPr>
        <w:t>收支总表</w:t>
      </w:r>
    </w:p>
    <w:p>
      <w:pPr>
        <w:pStyle w:val="28"/>
        <w:rPr>
          <w:sz w:val="36"/>
          <w:szCs w:val="36"/>
        </w:rPr>
      </w:pPr>
      <w:r>
        <w:rPr>
          <w:rFonts w:ascii="宋体" w:hint="eastAsia"/>
          <w:sz w:val="36"/>
          <w:szCs w:val="36"/>
        </w:rPr>
        <w:t>二、部门收入总表</w:t>
      </w:r>
    </w:p>
    <w:p>
      <w:pPr>
        <w:pStyle w:val="27"/>
        <w:rPr>
          <w:sz w:val="36"/>
          <w:szCs w:val="36"/>
        </w:rPr>
      </w:pPr>
      <w:r>
        <w:rPr>
          <w:rFonts w:ascii="宋体" w:hint="eastAsia"/>
          <w:sz w:val="36"/>
          <w:szCs w:val="36"/>
        </w:rPr>
        <w:t>三、部门支出总表</w:t>
      </w:r>
    </w:p>
    <w:p>
      <w:pPr>
        <w:rPr>
          <w:sz w:val="36"/>
          <w:szCs w:val="36"/>
        </w:rPr>
      </w:pPr>
      <w:r>
        <w:rPr>
          <w:rFonts w:ascii="宋体" w:hint="eastAsia"/>
          <w:sz w:val="36"/>
          <w:szCs w:val="36"/>
        </w:rPr>
        <w:t>四、</w:t>
      </w:r>
      <w:r>
        <w:rPr>
          <w:rFonts w:ascii="宋体"/>
          <w:sz w:val="36"/>
          <w:szCs w:val="36"/>
        </w:rPr>
        <w:t>财政拨款收支总表</w:t>
      </w:r>
    </w:p>
    <w:p>
      <w:pPr>
        <w:rPr>
          <w:sz w:val="36"/>
          <w:szCs w:val="36"/>
        </w:rPr>
      </w:pPr>
      <w:r>
        <w:rPr>
          <w:rFonts w:ascii="宋体" w:hint="eastAsia"/>
          <w:sz w:val="36"/>
          <w:szCs w:val="36"/>
        </w:rPr>
        <w:t>五、</w:t>
      </w:r>
      <w:r>
        <w:rPr>
          <w:rFonts w:ascii="宋体"/>
          <w:sz w:val="36"/>
          <w:szCs w:val="36"/>
        </w:rPr>
        <w:t>一般公共预算支出表</w:t>
      </w:r>
    </w:p>
    <w:p>
      <w:pPr>
        <w:rPr>
          <w:color w:val="339966"/>
          <w:sz w:val="36"/>
          <w:szCs w:val="36"/>
        </w:rPr>
      </w:pPr>
      <w:r>
        <w:rPr>
          <w:rFonts w:ascii="宋体" w:hint="eastAsia"/>
          <w:sz w:val="36"/>
          <w:szCs w:val="36"/>
        </w:rPr>
        <w:t>六、</w:t>
      </w:r>
      <w:r>
        <w:rPr>
          <w:rFonts w:ascii="宋体"/>
          <w:sz w:val="36"/>
          <w:szCs w:val="36"/>
        </w:rPr>
        <w:t>一般公共预算基本支出表</w:t>
      </w:r>
    </w:p>
    <w:p>
      <w:pPr>
        <w:rPr>
          <w:sz w:val="36"/>
          <w:szCs w:val="36"/>
        </w:rPr>
      </w:pPr>
      <w:r>
        <w:rPr>
          <w:rFonts w:ascii="宋体" w:hint="eastAsia"/>
          <w:sz w:val="36"/>
          <w:szCs w:val="36"/>
        </w:rPr>
        <w:t>七、</w:t>
      </w:r>
      <w:r>
        <w:rPr>
          <w:rFonts w:ascii="宋体"/>
          <w:sz w:val="36"/>
          <w:szCs w:val="36"/>
        </w:rPr>
        <w:t>政府性基金预算支出表</w:t>
      </w:r>
    </w:p>
    <w:p>
      <w:pPr>
        <w:rPr>
          <w:rFonts w:ascii="宋体"/>
          <w:sz w:val="36"/>
          <w:szCs w:val="36"/>
        </w:rPr>
      </w:pPr>
      <w:r>
        <w:rPr>
          <w:rFonts w:ascii="宋体" w:hint="eastAsia"/>
          <w:sz w:val="36"/>
          <w:szCs w:val="36"/>
        </w:rPr>
        <w:t>八、</w:t>
      </w:r>
      <w:r>
        <w:rPr>
          <w:rFonts w:ascii="宋体"/>
          <w:sz w:val="36"/>
          <w:szCs w:val="36"/>
        </w:rPr>
        <w:t>国有资本经营预算支出表</w:t>
      </w:r>
    </w:p>
    <w:p>
      <w:pPr>
        <w:rPr>
          <w:sz w:val="36"/>
          <w:szCs w:val="36"/>
        </w:rPr>
      </w:pPr>
      <w:r>
        <w:rPr>
          <w:rFonts w:ascii="宋体"/>
          <w:sz w:val="36"/>
          <w:szCs w:val="36"/>
        </w:rPr>
        <w:t>九、</w:t>
      </w:r>
      <w:r>
        <w:rPr>
          <w:rFonts w:ascii="宋体" w:hint="eastAsia"/>
          <w:sz w:val="36"/>
          <w:szCs w:val="36"/>
        </w:rPr>
        <w:t>财政拨款预算“三公”经费支出表</w:t>
      </w:r>
    </w:p>
    <w:p>
      <w:pPr>
        <w:ind w:left="2164" w:hangingChars="492" w:hanging="2164"/>
        <w:rPr>
          <w:b/>
          <w:sz w:val="44"/>
          <w:szCs w:val="44"/>
        </w:rPr>
      </w:pPr>
      <w:r>
        <w:rPr>
          <w:rFonts w:ascii="宋体" w:hint="eastAsia"/>
          <w:b/>
          <w:sz w:val="44"/>
          <w:szCs w:val="44"/>
        </w:rPr>
        <w:t>第三部分</w:t>
      </w:r>
      <w:r>
        <w:rPr>
          <w:rFonts w:hint="eastAsia"/>
          <w:b/>
          <w:sz w:val="44"/>
          <w:szCs w:val="44"/>
        </w:rPr>
        <w:t xml:space="preserve">  呼和浩特海关本级</w:t>
      </w:r>
      <w:r>
        <w:rPr>
          <w:b/>
          <w:sz w:val="44"/>
          <w:szCs w:val="44"/>
        </w:rPr>
        <w:t>2023</w:t>
      </w:r>
      <w:r>
        <w:rPr>
          <w:rFonts w:ascii="宋体" w:hint="eastAsia"/>
          <w:b/>
          <w:sz w:val="44"/>
          <w:szCs w:val="44"/>
        </w:rPr>
        <w:t>年部门预算情况说明</w:t>
      </w:r>
    </w:p>
    <w:p>
      <w:pPr>
        <w:rPr>
          <w:b/>
          <w:sz w:val="44"/>
          <w:szCs w:val="44"/>
        </w:rPr>
      </w:pPr>
      <w:r>
        <w:rPr>
          <w:rFonts w:ascii="宋体" w:hint="eastAsia"/>
          <w:b/>
          <w:sz w:val="44"/>
          <w:szCs w:val="44"/>
        </w:rPr>
        <w:t>第四部分</w:t>
      </w:r>
      <w:r>
        <w:rPr>
          <w:rFonts w:hint="eastAsia"/>
          <w:b/>
          <w:sz w:val="44"/>
          <w:szCs w:val="44"/>
        </w:rPr>
        <w:t xml:space="preserve">  </w:t>
      </w:r>
      <w:r>
        <w:rPr>
          <w:rFonts w:ascii="宋体" w:hint="eastAsia"/>
          <w:b/>
          <w:sz w:val="44"/>
          <w:szCs w:val="44"/>
        </w:rPr>
        <w:t>名词解释</w:t>
      </w:r>
    </w:p>
    <w:p>
      <w:pPr>
        <w:rPr>
          <w:rFonts w:ascii="宋体"/>
          <w:b/>
          <w:sz w:val="44"/>
          <w:szCs w:val="44"/>
        </w:rPr>
        <w:sectPr>
          <w:footerReference w:type="default" r:id="rId3"/>
          <w:pgSz w:w="11906" w:h="16838"/>
          <w:pgMar w:top="1440" w:right="1800" w:bottom="1440" w:left="1800" w:header="851" w:footer="992" w:gutter="0"/>
          <w:pgNumType w:start="1"/>
          <w:docGrid w:type="lines" w:linePitch="312" w:charSpace="0"/>
        </w:sectPr>
      </w:pPr>
      <w:r>
        <w:rPr>
          <w:rFonts w:ascii="宋体" w:hint="eastAsia"/>
          <w:b/>
          <w:sz w:val="44"/>
          <w:szCs w:val="44"/>
        </w:rPr>
        <w:t>第五部分</w:t>
      </w:r>
      <w:r>
        <w:rPr>
          <w:rFonts w:hint="eastAsia"/>
          <w:b/>
          <w:sz w:val="44"/>
          <w:szCs w:val="44"/>
        </w:rPr>
        <w:t xml:space="preserve">  </w:t>
      </w:r>
      <w:r>
        <w:rPr>
          <w:rFonts w:ascii="宋体" w:hint="eastAsia"/>
          <w:b/>
          <w:sz w:val="44"/>
          <w:szCs w:val="44"/>
        </w:rPr>
        <w:t>附件</w:t>
      </w:r>
      <w:r>
        <w:rPr>
          <w:rFonts w:hint="eastAsia"/>
        </w:rPr>
        <w:tab/>
      </w: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jc w:val="center"/>
        <w:rPr>
          <w:rFonts w:ascii="Times New Roman" w:hAnsi="Times New Roman"/>
          <w:b/>
          <w:sz w:val="84"/>
          <w:szCs w:val="84"/>
        </w:rPr>
      </w:pPr>
      <w:r>
        <w:rPr>
          <w:rFonts w:ascii="Times New Roman" w:hAnsi="Times New Roman" w:hint="eastAsia"/>
          <w:b/>
          <w:sz w:val="84"/>
          <w:szCs w:val="84"/>
        </w:rPr>
        <w:t>第一部分</w:t>
      </w:r>
    </w:p>
    <w:p>
      <w:pPr>
        <w:jc w:val="center"/>
        <w:rPr>
          <w:rFonts w:ascii="Times New Roman" w:hAnsi="Times New Roman"/>
          <w:b/>
          <w:sz w:val="84"/>
          <w:szCs w:val="84"/>
        </w:rPr>
      </w:pPr>
      <w:r>
        <w:rPr>
          <w:rFonts w:ascii="Times New Roman" w:hAnsi="Times New Roman" w:hint="eastAsia"/>
          <w:b/>
          <w:sz w:val="84"/>
          <w:szCs w:val="84"/>
        </w:rPr>
        <w:t>呼和浩特海关本级</w:t>
      </w:r>
    </w:p>
    <w:p>
      <w:pPr>
        <w:jc w:val="center"/>
        <w:rPr>
          <w:rFonts w:ascii="Times New Roman" w:hAnsi="Times New Roman"/>
          <w:b/>
          <w:sz w:val="84"/>
          <w:szCs w:val="84"/>
        </w:rPr>
      </w:pPr>
      <w:r>
        <w:rPr>
          <w:rFonts w:ascii="Times New Roman" w:hAnsi="Times New Roman" w:hint="eastAsia"/>
          <w:b/>
          <w:sz w:val="84"/>
          <w:szCs w:val="84"/>
        </w:rPr>
        <w:t>部门概况</w:t>
      </w: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spacing w:line="560" w:lineRule="exact"/>
        <w:ind w:firstLineChars="200" w:firstLine="640"/>
        <w:jc w:val="left"/>
        <w:rPr>
          <w:rFonts w:ascii="Times New Roman" w:eastAsia="方正黑体_GBK" w:hAnsi="Times New Roman"/>
          <w:sz w:val="32"/>
          <w:szCs w:val="32"/>
        </w:rPr>
      </w:pPr>
      <w:r>
        <w:rPr>
          <w:rFonts w:ascii="Times New Roman" w:eastAsia="方正黑体_GBK" w:hAnsi="Times New Roman" w:hint="eastAsia"/>
          <w:sz w:val="32"/>
          <w:szCs w:val="32"/>
        </w:rPr>
        <w:t>一、主要职能</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呼和浩特海关本级是海关总署直属的正厅级海关，管理辖区为内蒙古自治区中西部的呼和浩特市、包头市、鄂尔多斯市、乌海市、巴彦淖尔市、乌兰察布市及锡林郭勒盟、阿拉善盟等</w:t>
      </w:r>
      <w:r>
        <w:rPr>
          <w:rFonts w:ascii="Times New Roman" w:eastAsia="方正仿宋_GBK" w:hAnsi="Times New Roman"/>
          <w:sz w:val="32"/>
          <w:szCs w:val="32"/>
        </w:rPr>
        <w:t>8</w:t>
      </w:r>
      <w:r>
        <w:rPr>
          <w:rFonts w:ascii="Times New Roman" w:eastAsia="方正仿宋_GBK" w:hAnsi="Times New Roman" w:hint="eastAsia"/>
          <w:sz w:val="32"/>
          <w:szCs w:val="32"/>
        </w:rPr>
        <w:t>个盟（市）的各项海关管理工作。负责本关区征税、监管、缉私、出入境检验检疫、统计等工作。</w:t>
      </w:r>
    </w:p>
    <w:p>
      <w:pPr>
        <w:spacing w:line="560" w:lineRule="exact"/>
        <w:ind w:firstLineChars="200" w:firstLine="640"/>
        <w:jc w:val="left"/>
        <w:rPr>
          <w:rFonts w:ascii="Times New Roman" w:eastAsia="方正黑体_GBK" w:hAnsi="Times New Roman"/>
          <w:sz w:val="32"/>
          <w:szCs w:val="32"/>
        </w:rPr>
      </w:pPr>
      <w:r>
        <w:rPr>
          <w:rFonts w:ascii="Times New Roman" w:eastAsia="方正黑体_GBK" w:hAnsi="Times New Roman" w:hint="eastAsia"/>
          <w:sz w:val="32"/>
          <w:szCs w:val="32"/>
        </w:rPr>
        <w:t>二</w:t>
      </w:r>
      <w:r>
        <w:rPr>
          <w:rFonts w:ascii="Times New Roman" w:eastAsia="方正黑体_GBK" w:hAnsi="Times New Roman"/>
          <w:sz w:val="32"/>
          <w:szCs w:val="32"/>
        </w:rPr>
        <w:t>、</w:t>
      </w:r>
      <w:r>
        <w:rPr>
          <w:rFonts w:ascii="Times New Roman" w:eastAsia="方正黑体_GBK" w:hAnsi="Times New Roman" w:hint="eastAsia"/>
          <w:sz w:val="32"/>
          <w:szCs w:val="32"/>
        </w:rPr>
        <w:t>呼和浩特海关本级</w:t>
      </w:r>
      <w:r>
        <w:rPr>
          <w:rFonts w:ascii="Times New Roman" w:eastAsia="方正黑体_GBK" w:hAnsi="Times New Roman"/>
          <w:sz w:val="32"/>
          <w:szCs w:val="32"/>
        </w:rPr>
        <w:t>单位构成情况</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纳入呼和浩特海关本级202</w:t>
      </w:r>
      <w:r>
        <w:rPr>
          <w:rFonts w:ascii="Times New Roman" w:eastAsia="方正仿宋_GBK" w:hAnsi="Times New Roman"/>
          <w:sz w:val="32"/>
          <w:szCs w:val="32"/>
        </w:rPr>
        <w:t>3</w:t>
      </w:r>
      <w:r>
        <w:rPr>
          <w:rFonts w:ascii="Times New Roman" w:eastAsia="方正仿宋_GBK" w:hAnsi="Times New Roman" w:hint="eastAsia"/>
          <w:sz w:val="32"/>
          <w:szCs w:val="32"/>
        </w:rPr>
        <w:t xml:space="preserve"> 年部门预算编制范围的单位如下：</w:t>
      </w:r>
    </w:p>
    <w:tbl>
      <w:tblPr>
        <w:jc w:val="center"/>
        <w:tblW w:w="8926"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704"/>
        <w:gridCol w:w="2977"/>
        <w:gridCol w:w="709"/>
        <w:gridCol w:w="4536"/>
      </w:tblGrid>
      <w:tr>
        <w:trPr>
          <w:trHeight w:val="624"/>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eastAsia="方正黑体_GBK" w:cs="宋体" w:hAnsi="Times New Roman"/>
                <w:kern w:val="0"/>
                <w:sz w:val="20"/>
                <w:szCs w:val="20"/>
              </w:rPr>
            </w:pPr>
            <w:r>
              <w:rPr>
                <w:rFonts w:ascii="Times New Roman" w:eastAsia="方正黑体_GBK" w:cs="宋体" w:hAnsi="Times New Roman" w:hint="eastAsia"/>
                <w:kern w:val="0"/>
                <w:sz w:val="20"/>
                <w:szCs w:val="20"/>
              </w:rPr>
              <w:t>序号</w:t>
            </w:r>
          </w:p>
        </w:tc>
        <w:tc>
          <w:tcPr>
            <w:tcW w:w="2977" w:type="dxa"/>
            <w:tcBorders>
              <w:top w:val="single" w:sz="4" w:space="0" w:color="auto"/>
              <w:left w:val="nil"/>
              <w:bottom w:val="single" w:sz="4" w:space="0" w:color="auto"/>
              <w:right w:val="single" w:sz="4" w:space="0" w:color="auto"/>
            </w:tcBorders>
            <w:shd w:val="clear" w:color="auto" w:fill="auto"/>
            <w:noWrap/>
            <w:vAlign w:val="center"/>
          </w:tcPr>
          <w:p>
            <w:pPr>
              <w:widowControl/>
              <w:jc w:val="center"/>
              <w:rPr>
                <w:rFonts w:ascii="Times New Roman" w:eastAsia="方正黑体_GBK" w:cs="宋体" w:hAnsi="Times New Roman"/>
                <w:kern w:val="0"/>
                <w:sz w:val="20"/>
                <w:szCs w:val="20"/>
              </w:rPr>
            </w:pPr>
            <w:r>
              <w:rPr>
                <w:rFonts w:ascii="Times New Roman" w:eastAsia="方正黑体_GBK" w:cs="宋体" w:hAnsi="Times New Roman" w:hint="eastAsia"/>
                <w:kern w:val="0"/>
                <w:sz w:val="20"/>
                <w:szCs w:val="20"/>
              </w:rPr>
              <w:t>单位名称</w:t>
            </w:r>
          </w:p>
        </w:tc>
        <w:tc>
          <w:tcPr>
            <w:tcW w:w="709" w:type="dxa"/>
            <w:tcBorders>
              <w:top w:val="single" w:sz="4" w:space="0" w:color="auto"/>
              <w:left w:val="nil"/>
              <w:bottom w:val="single" w:sz="4" w:space="0" w:color="auto"/>
              <w:right w:val="single" w:sz="4" w:space="0" w:color="auto"/>
            </w:tcBorders>
            <w:shd w:val="clear" w:color="auto" w:fill="auto"/>
            <w:noWrap/>
            <w:vAlign w:val="center"/>
          </w:tcPr>
          <w:p>
            <w:pPr>
              <w:widowControl/>
              <w:jc w:val="center"/>
              <w:rPr>
                <w:rFonts w:ascii="Times New Roman" w:eastAsia="方正黑体_GBK" w:cs="宋体" w:hAnsi="Times New Roman"/>
                <w:kern w:val="0"/>
                <w:sz w:val="20"/>
                <w:szCs w:val="20"/>
              </w:rPr>
            </w:pPr>
            <w:r>
              <w:rPr>
                <w:rFonts w:ascii="Times New Roman" w:eastAsia="方正黑体_GBK" w:cs="宋体" w:hAnsi="Times New Roman" w:hint="eastAsia"/>
                <w:kern w:val="0"/>
                <w:sz w:val="20"/>
                <w:szCs w:val="20"/>
              </w:rPr>
              <w:t>序号</w:t>
            </w:r>
          </w:p>
        </w:tc>
        <w:tc>
          <w:tcPr>
            <w:tcW w:w="4536" w:type="dxa"/>
            <w:tcBorders>
              <w:top w:val="single" w:sz="4" w:space="0" w:color="auto"/>
              <w:left w:val="nil"/>
              <w:bottom w:val="single" w:sz="4" w:space="0" w:color="auto"/>
              <w:right w:val="single" w:sz="4" w:space="0" w:color="auto"/>
            </w:tcBorders>
            <w:shd w:val="clear" w:color="auto" w:fill="auto"/>
            <w:noWrap/>
            <w:vAlign w:val="center"/>
          </w:tcPr>
          <w:p>
            <w:pPr>
              <w:widowControl/>
              <w:jc w:val="center"/>
              <w:rPr>
                <w:rFonts w:ascii="Times New Roman" w:eastAsia="方正黑体_GBK" w:cs="宋体" w:hAnsi="Times New Roman"/>
                <w:kern w:val="0"/>
                <w:sz w:val="20"/>
                <w:szCs w:val="20"/>
              </w:rPr>
            </w:pPr>
            <w:r>
              <w:rPr>
                <w:rFonts w:ascii="Times New Roman" w:eastAsia="方正黑体_GBK" w:cs="宋体" w:hAnsi="Times New Roman" w:hint="eastAsia"/>
                <w:kern w:val="0"/>
                <w:sz w:val="20"/>
                <w:szCs w:val="20"/>
              </w:rPr>
              <w:t>单位名称</w:t>
            </w:r>
          </w:p>
        </w:tc>
      </w:tr>
      <w:tr>
        <w:trPr>
          <w:trHeight w:val="624"/>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1</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宋体" w:hAnsi="Times New Roman"/>
                <w:kern w:val="0"/>
                <w:sz w:val="20"/>
                <w:szCs w:val="20"/>
              </w:rPr>
            </w:pPr>
            <w:r>
              <w:rPr>
                <w:rFonts w:ascii="Times New Roman" w:eastAsia="方正仿宋_GBK" w:cs="宋体" w:hAnsi="Times New Roman" w:hint="eastAsia"/>
                <w:kern w:val="0"/>
                <w:sz w:val="20"/>
                <w:szCs w:val="20"/>
              </w:rPr>
              <w:t>呼和浩特海关本级</w:t>
            </w: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2</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宋体" w:hAnsi="Times New Roman"/>
                <w:kern w:val="0"/>
                <w:sz w:val="20"/>
                <w:szCs w:val="20"/>
              </w:rPr>
            </w:pPr>
            <w:r>
              <w:rPr>
                <w:rFonts w:ascii="Times New Roman" w:eastAsia="方正仿宋_GBK" w:cs="宋体" w:hAnsi="Times New Roman"/>
                <w:kern w:val="0"/>
                <w:sz w:val="20"/>
                <w:szCs w:val="20"/>
              </w:rPr>
              <w:t>呼和浩特海关缉私局本级</w:t>
            </w:r>
          </w:p>
        </w:tc>
      </w:tr>
    </w:tbl>
    <w:p>
      <w:pPr>
        <w:pStyle w:val="91"/>
        <w:autoSpaceDN w:val="0"/>
        <w:spacing w:line="360" w:lineRule="auto"/>
        <w:ind w:left="0"/>
        <w:rPr>
          <w:rFonts w:eastAsia="方正仿宋_GBK" w:hint="eastAsia"/>
          <w:color w:val="FF0000"/>
          <w:sz w:val="32"/>
          <w:szCs w:val="32"/>
        </w:rPr>
      </w:pPr>
      <w:r>
        <w:rPr>
          <w:rFonts w:eastAsia="方正仿宋_GBK"/>
          <w:sz w:val="32"/>
          <w:szCs w:val="32"/>
        </w:rPr>
        <w:t>全关内设1</w:t>
      </w:r>
      <w:r>
        <w:rPr>
          <w:rFonts w:eastAsia="方正仿宋_GBK" w:hint="eastAsia"/>
          <w:sz w:val="32"/>
          <w:szCs w:val="32"/>
        </w:rPr>
        <w:t>8</w:t>
      </w:r>
      <w:r>
        <w:rPr>
          <w:rFonts w:eastAsia="方正仿宋_GBK"/>
          <w:sz w:val="32"/>
          <w:szCs w:val="32"/>
        </w:rPr>
        <w:t>个正处级机构</w:t>
      </w:r>
      <w:r>
        <w:rPr>
          <w:rFonts w:eastAsia="方正仿宋_GBK" w:hint="eastAsia"/>
          <w:sz w:val="32"/>
          <w:szCs w:val="32"/>
        </w:rPr>
        <w:t>,具体如下：</w:t>
      </w:r>
    </w:p>
    <w:tbl>
      <w:tblPr>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581"/>
        <w:gridCol w:w="2913"/>
        <w:gridCol w:w="581"/>
        <w:gridCol w:w="4453"/>
      </w:tblGrid>
      <w:tr>
        <w:trPr>
          <w:trHeight w:val="391"/>
        </w:trPr>
        <w:tc>
          <w:tcPr>
            <w:tcW w:w="581" w:type="dxa"/>
            <w:noWrap/>
            <w:vAlign w:val="center"/>
          </w:tcPr>
          <w:p>
            <w:pPr>
              <w:pStyle w:val="92"/>
              <w:jc w:val="center"/>
              <w:rPr>
                <w:rFonts w:ascii="方正小标宋_GBK" w:eastAsia="方正小标宋_GBK"/>
                <w:color w:val="000000"/>
                <w:sz w:val="18"/>
                <w:szCs w:val="18"/>
              </w:rPr>
            </w:pPr>
            <w:r>
              <w:rPr>
                <w:rFonts w:ascii="方正小标宋_GBK" w:eastAsia="方正小标宋_GBK" w:hint="eastAsia"/>
                <w:color w:val="000000"/>
                <w:sz w:val="18"/>
                <w:szCs w:val="18"/>
              </w:rPr>
              <w:t>序号</w:t>
            </w:r>
          </w:p>
        </w:tc>
        <w:tc>
          <w:tcPr>
            <w:tcW w:w="2913" w:type="dxa"/>
            <w:noWrap/>
            <w:vAlign w:val="center"/>
          </w:tcPr>
          <w:p>
            <w:pPr>
              <w:pStyle w:val="92"/>
              <w:jc w:val="center"/>
              <w:rPr>
                <w:rFonts w:ascii="方正小标宋_GBK" w:eastAsia="方正小标宋_GBK"/>
                <w:color w:val="000000"/>
                <w:sz w:val="18"/>
                <w:szCs w:val="18"/>
              </w:rPr>
            </w:pPr>
            <w:r>
              <w:rPr>
                <w:rFonts w:ascii="方正小标宋_GBK" w:eastAsia="方正小标宋_GBK"/>
                <w:color w:val="000000"/>
                <w:sz w:val="18"/>
                <w:szCs w:val="18"/>
              </w:rPr>
              <w:t>部门</w:t>
            </w:r>
          </w:p>
        </w:tc>
        <w:tc>
          <w:tcPr>
            <w:tcW w:w="581" w:type="dxa"/>
            <w:noWrap/>
            <w:vAlign w:val="center"/>
          </w:tcPr>
          <w:p>
            <w:pPr>
              <w:pStyle w:val="92"/>
              <w:jc w:val="center"/>
              <w:rPr>
                <w:rFonts w:ascii="方正小标宋_GBK" w:eastAsia="方正小标宋_GBK"/>
                <w:color w:val="000000"/>
                <w:sz w:val="18"/>
                <w:szCs w:val="18"/>
              </w:rPr>
            </w:pPr>
            <w:r>
              <w:rPr>
                <w:rFonts w:ascii="方正小标宋_GBK" w:eastAsia="方正小标宋_GBK" w:hint="eastAsia"/>
                <w:color w:val="000000"/>
                <w:sz w:val="18"/>
                <w:szCs w:val="18"/>
              </w:rPr>
              <w:t>序号</w:t>
            </w:r>
          </w:p>
        </w:tc>
        <w:tc>
          <w:tcPr>
            <w:tcW w:w="4453" w:type="dxa"/>
            <w:noWrap/>
            <w:vAlign w:val="center"/>
          </w:tcPr>
          <w:p>
            <w:pPr>
              <w:pStyle w:val="92"/>
              <w:jc w:val="center"/>
              <w:rPr>
                <w:rFonts w:ascii="方正小标宋_GBK" w:eastAsia="方正小标宋_GBK"/>
                <w:color w:val="000000"/>
                <w:sz w:val="18"/>
                <w:szCs w:val="18"/>
              </w:rPr>
            </w:pPr>
            <w:r>
              <w:rPr>
                <w:rFonts w:ascii="方正小标宋_GBK" w:eastAsia="方正小标宋_GBK"/>
                <w:color w:val="000000"/>
                <w:sz w:val="18"/>
                <w:szCs w:val="18"/>
              </w:rPr>
              <w:t>部门</w:t>
            </w:r>
          </w:p>
        </w:tc>
      </w:tr>
      <w:tr>
        <w:trPr>
          <w:trHeight w:val="391"/>
        </w:trPr>
        <w:tc>
          <w:tcPr>
            <w:tcW w:w="581" w:type="dxa"/>
            <w:noWrap/>
            <w:vAlign w:val="center"/>
          </w:tcPr>
          <w:p>
            <w:pPr>
              <w:pStyle w:val="92"/>
              <w:jc w:val="center"/>
              <w:rPr>
                <w:rFonts w:eastAsia="方正黑体_GBK"/>
                <w:color w:val="000000"/>
                <w:sz w:val="20"/>
                <w:szCs w:val="20"/>
              </w:rPr>
            </w:pPr>
            <w:r>
              <w:rPr>
                <w:rFonts w:eastAsia="方正黑体_GBK"/>
                <w:color w:val="000000"/>
                <w:sz w:val="20"/>
                <w:szCs w:val="20"/>
              </w:rPr>
              <w:t>1</w:t>
            </w:r>
          </w:p>
        </w:tc>
        <w:tc>
          <w:tcPr>
            <w:tcW w:w="2913" w:type="dxa"/>
            <w:noWrap/>
            <w:vAlign w:val="center"/>
          </w:tcPr>
          <w:p>
            <w:pPr>
              <w:pStyle w:val="92"/>
              <w:jc w:val="center"/>
              <w:rPr>
                <w:rFonts w:ascii="宋体"/>
                <w:color w:val="000000"/>
                <w:sz w:val="20"/>
                <w:szCs w:val="20"/>
              </w:rPr>
            </w:pPr>
            <w:r>
              <w:rPr>
                <w:rFonts w:ascii="宋体"/>
                <w:color w:val="000000"/>
                <w:sz w:val="20"/>
                <w:szCs w:val="20"/>
              </w:rPr>
              <w:t>办公室（党委办公室）</w:t>
            </w:r>
          </w:p>
        </w:tc>
        <w:tc>
          <w:tcPr>
            <w:tcW w:w="581" w:type="dxa"/>
            <w:noWrap/>
            <w:vAlign w:val="center"/>
          </w:tcPr>
          <w:p>
            <w:pPr>
              <w:pStyle w:val="93"/>
              <w:jc w:val="center"/>
              <w:rPr>
                <w:rFonts w:eastAsia="方正黑体_GBK"/>
                <w:color w:val="000000"/>
                <w:sz w:val="20"/>
                <w:szCs w:val="20"/>
              </w:rPr>
            </w:pPr>
            <w:r>
              <w:rPr>
                <w:rFonts w:eastAsia="方正黑体_GBK"/>
                <w:color w:val="000000"/>
                <w:sz w:val="20"/>
                <w:szCs w:val="20"/>
              </w:rPr>
              <w:t>1</w:t>
            </w:r>
            <w:r>
              <w:rPr>
                <w:rFonts w:eastAsia="方正黑体_GBK" w:hint="eastAsia"/>
                <w:color w:val="000000"/>
                <w:sz w:val="20"/>
                <w:szCs w:val="20"/>
              </w:rPr>
              <w:t>0</w:t>
            </w:r>
          </w:p>
        </w:tc>
        <w:tc>
          <w:tcPr>
            <w:tcW w:w="4453" w:type="dxa"/>
            <w:noWrap/>
            <w:vAlign w:val="center"/>
          </w:tcPr>
          <w:p>
            <w:pPr>
              <w:pStyle w:val="94"/>
              <w:jc w:val="center"/>
              <w:rPr>
                <w:rFonts w:ascii="宋体"/>
                <w:color w:val="000000"/>
                <w:sz w:val="20"/>
                <w:szCs w:val="20"/>
              </w:rPr>
            </w:pPr>
            <w:r>
              <w:rPr>
                <w:rFonts w:ascii="宋体"/>
                <w:color w:val="000000"/>
                <w:sz w:val="20"/>
                <w:szCs w:val="20"/>
              </w:rPr>
              <w:t>统计分析处</w:t>
            </w:r>
          </w:p>
        </w:tc>
      </w:tr>
      <w:tr>
        <w:trPr>
          <w:trHeight w:val="391"/>
        </w:trPr>
        <w:tc>
          <w:tcPr>
            <w:tcW w:w="581" w:type="dxa"/>
            <w:noWrap/>
            <w:vAlign w:val="center"/>
          </w:tcPr>
          <w:p>
            <w:pPr>
              <w:pStyle w:val="92"/>
              <w:jc w:val="center"/>
              <w:rPr>
                <w:rFonts w:eastAsia="方正黑体_GBK"/>
                <w:color w:val="000000"/>
                <w:sz w:val="20"/>
                <w:szCs w:val="20"/>
              </w:rPr>
            </w:pPr>
            <w:r>
              <w:rPr>
                <w:rFonts w:eastAsia="方正黑体_GBK"/>
                <w:color w:val="000000"/>
                <w:sz w:val="20"/>
                <w:szCs w:val="20"/>
              </w:rPr>
              <w:t>2</w:t>
            </w:r>
          </w:p>
        </w:tc>
        <w:tc>
          <w:tcPr>
            <w:tcW w:w="2913" w:type="dxa"/>
            <w:noWrap/>
            <w:vAlign w:val="center"/>
          </w:tcPr>
          <w:p>
            <w:pPr>
              <w:pStyle w:val="92"/>
              <w:jc w:val="center"/>
              <w:rPr>
                <w:rFonts w:ascii="宋体"/>
                <w:color w:val="000000"/>
                <w:sz w:val="20"/>
                <w:szCs w:val="20"/>
              </w:rPr>
            </w:pPr>
            <w:r>
              <w:rPr>
                <w:rFonts w:ascii="宋体"/>
                <w:color w:val="000000"/>
                <w:sz w:val="20"/>
                <w:szCs w:val="20"/>
              </w:rPr>
              <w:t>法规处</w:t>
            </w:r>
          </w:p>
        </w:tc>
        <w:tc>
          <w:tcPr>
            <w:tcW w:w="581" w:type="dxa"/>
            <w:noWrap/>
            <w:vAlign w:val="center"/>
          </w:tcPr>
          <w:p>
            <w:pPr>
              <w:pStyle w:val="95"/>
              <w:jc w:val="center"/>
              <w:rPr>
                <w:rFonts w:eastAsia="方正黑体_GBK"/>
                <w:color w:val="000000"/>
                <w:sz w:val="20"/>
                <w:szCs w:val="20"/>
              </w:rPr>
            </w:pPr>
            <w:r>
              <w:rPr>
                <w:rFonts w:eastAsia="方正黑体_GBK"/>
                <w:color w:val="000000"/>
                <w:sz w:val="20"/>
                <w:szCs w:val="20"/>
              </w:rPr>
              <w:t>1</w:t>
            </w:r>
            <w:r>
              <w:rPr>
                <w:rFonts w:eastAsia="方正黑体_GBK" w:hint="eastAsia"/>
                <w:color w:val="000000"/>
                <w:sz w:val="20"/>
                <w:szCs w:val="20"/>
              </w:rPr>
              <w:t>1</w:t>
            </w:r>
          </w:p>
        </w:tc>
        <w:tc>
          <w:tcPr>
            <w:tcW w:w="4453" w:type="dxa"/>
            <w:noWrap/>
            <w:vAlign w:val="center"/>
          </w:tcPr>
          <w:p>
            <w:pPr>
              <w:pStyle w:val="94"/>
              <w:jc w:val="center"/>
              <w:rPr>
                <w:rFonts w:ascii="宋体"/>
                <w:color w:val="000000"/>
                <w:sz w:val="20"/>
                <w:szCs w:val="20"/>
              </w:rPr>
            </w:pPr>
            <w:r>
              <w:rPr>
                <w:rFonts w:ascii="宋体"/>
                <w:color w:val="000000"/>
                <w:sz w:val="20"/>
                <w:szCs w:val="20"/>
              </w:rPr>
              <w:t>企业管理和稽查处</w:t>
            </w:r>
          </w:p>
        </w:tc>
      </w:tr>
      <w:tr>
        <w:trPr>
          <w:trHeight w:val="391"/>
        </w:trPr>
        <w:tc>
          <w:tcPr>
            <w:tcW w:w="581" w:type="dxa"/>
            <w:noWrap/>
            <w:vAlign w:val="center"/>
          </w:tcPr>
          <w:p>
            <w:pPr>
              <w:pStyle w:val="92"/>
              <w:jc w:val="center"/>
              <w:rPr>
                <w:rFonts w:eastAsia="方正黑体_GBK"/>
                <w:color w:val="000000"/>
                <w:sz w:val="20"/>
                <w:szCs w:val="20"/>
              </w:rPr>
            </w:pPr>
            <w:r>
              <w:rPr>
                <w:rFonts w:eastAsia="方正黑体_GBK"/>
                <w:color w:val="000000"/>
                <w:sz w:val="20"/>
                <w:szCs w:val="20"/>
              </w:rPr>
              <w:t>3</w:t>
            </w:r>
          </w:p>
        </w:tc>
        <w:tc>
          <w:tcPr>
            <w:tcW w:w="2913" w:type="dxa"/>
            <w:noWrap/>
            <w:vAlign w:val="center"/>
          </w:tcPr>
          <w:p>
            <w:pPr>
              <w:pStyle w:val="92"/>
              <w:jc w:val="center"/>
              <w:rPr>
                <w:rFonts w:ascii="宋体"/>
                <w:color w:val="000000"/>
                <w:sz w:val="20"/>
                <w:szCs w:val="20"/>
              </w:rPr>
            </w:pPr>
            <w:r>
              <w:rPr>
                <w:rFonts w:ascii="宋体"/>
                <w:color w:val="000000"/>
                <w:sz w:val="20"/>
                <w:szCs w:val="20"/>
              </w:rPr>
              <w:t>综合业务处</w:t>
            </w:r>
          </w:p>
        </w:tc>
        <w:tc>
          <w:tcPr>
            <w:tcW w:w="581" w:type="dxa"/>
            <w:noWrap/>
            <w:vAlign w:val="center"/>
          </w:tcPr>
          <w:p>
            <w:pPr>
              <w:pStyle w:val="96"/>
              <w:jc w:val="center"/>
              <w:rPr>
                <w:rFonts w:eastAsia="方正黑体_GBK"/>
                <w:color w:val="000000"/>
                <w:sz w:val="20"/>
                <w:szCs w:val="20"/>
              </w:rPr>
            </w:pPr>
            <w:r>
              <w:rPr>
                <w:rFonts w:eastAsia="方正黑体_GBK"/>
                <w:color w:val="000000"/>
                <w:sz w:val="20"/>
                <w:szCs w:val="20"/>
              </w:rPr>
              <w:t>1</w:t>
            </w:r>
            <w:r>
              <w:rPr>
                <w:rFonts w:eastAsia="方正黑体_GBK" w:hint="eastAsia"/>
                <w:color w:val="000000"/>
                <w:sz w:val="20"/>
                <w:szCs w:val="20"/>
              </w:rPr>
              <w:t>2</w:t>
            </w:r>
          </w:p>
        </w:tc>
        <w:tc>
          <w:tcPr>
            <w:tcW w:w="4453" w:type="dxa"/>
            <w:noWrap/>
            <w:vAlign w:val="center"/>
          </w:tcPr>
          <w:p>
            <w:pPr>
              <w:pStyle w:val="97"/>
              <w:jc w:val="center"/>
              <w:rPr>
                <w:rFonts w:ascii="宋体"/>
                <w:color w:val="000000"/>
                <w:sz w:val="20"/>
                <w:szCs w:val="20"/>
              </w:rPr>
            </w:pPr>
            <w:r>
              <w:rPr>
                <w:rFonts w:ascii="宋体"/>
                <w:color w:val="000000"/>
                <w:sz w:val="20"/>
                <w:szCs w:val="20"/>
              </w:rPr>
              <w:t>财务处</w:t>
            </w:r>
          </w:p>
        </w:tc>
      </w:tr>
      <w:tr>
        <w:trPr>
          <w:trHeight w:val="391"/>
        </w:trPr>
        <w:tc>
          <w:tcPr>
            <w:tcW w:w="581" w:type="dxa"/>
            <w:noWrap/>
            <w:vAlign w:val="center"/>
          </w:tcPr>
          <w:p>
            <w:pPr>
              <w:pStyle w:val="92"/>
              <w:jc w:val="center"/>
              <w:rPr>
                <w:rFonts w:eastAsia="方正黑体_GBK"/>
                <w:color w:val="000000"/>
                <w:sz w:val="20"/>
                <w:szCs w:val="20"/>
              </w:rPr>
            </w:pPr>
            <w:r>
              <w:rPr>
                <w:rFonts w:eastAsia="方正黑体_GBK"/>
                <w:color w:val="000000"/>
                <w:sz w:val="20"/>
                <w:szCs w:val="20"/>
              </w:rPr>
              <w:t>4</w:t>
            </w:r>
          </w:p>
        </w:tc>
        <w:tc>
          <w:tcPr>
            <w:tcW w:w="2913" w:type="dxa"/>
            <w:noWrap/>
            <w:vAlign w:val="center"/>
          </w:tcPr>
          <w:p>
            <w:pPr>
              <w:pStyle w:val="92"/>
              <w:jc w:val="center"/>
              <w:rPr>
                <w:rFonts w:ascii="宋体"/>
                <w:color w:val="000000"/>
                <w:sz w:val="20"/>
                <w:szCs w:val="20"/>
              </w:rPr>
            </w:pPr>
            <w:r>
              <w:rPr>
                <w:rFonts w:ascii="宋体" w:hint="eastAsia"/>
                <w:color w:val="000000"/>
                <w:sz w:val="20"/>
                <w:szCs w:val="20"/>
              </w:rPr>
              <w:t>关税处</w:t>
            </w:r>
          </w:p>
        </w:tc>
        <w:tc>
          <w:tcPr>
            <w:tcW w:w="581" w:type="dxa"/>
            <w:noWrap/>
            <w:vAlign w:val="center"/>
          </w:tcPr>
          <w:p>
            <w:pPr>
              <w:pStyle w:val="98"/>
              <w:jc w:val="center"/>
              <w:rPr>
                <w:rFonts w:eastAsia="方正黑体_GBK"/>
                <w:color w:val="000000"/>
                <w:sz w:val="20"/>
                <w:szCs w:val="20"/>
              </w:rPr>
            </w:pPr>
            <w:r>
              <w:rPr>
                <w:rFonts w:eastAsia="方正黑体_GBK"/>
                <w:color w:val="000000"/>
                <w:sz w:val="20"/>
                <w:szCs w:val="20"/>
              </w:rPr>
              <w:t>1</w:t>
            </w:r>
            <w:r>
              <w:rPr>
                <w:rFonts w:eastAsia="方正黑体_GBK" w:hint="eastAsia"/>
                <w:color w:val="000000"/>
                <w:sz w:val="20"/>
                <w:szCs w:val="20"/>
              </w:rPr>
              <w:t>3</w:t>
            </w:r>
          </w:p>
        </w:tc>
        <w:tc>
          <w:tcPr>
            <w:tcW w:w="4453" w:type="dxa"/>
            <w:noWrap/>
            <w:vAlign w:val="center"/>
          </w:tcPr>
          <w:p>
            <w:pPr>
              <w:pStyle w:val="99"/>
              <w:jc w:val="center"/>
              <w:rPr>
                <w:rFonts w:ascii="宋体"/>
                <w:color w:val="000000"/>
                <w:sz w:val="20"/>
                <w:szCs w:val="20"/>
              </w:rPr>
            </w:pPr>
            <w:r>
              <w:rPr>
                <w:rFonts w:ascii="宋体"/>
                <w:color w:val="000000"/>
                <w:sz w:val="20"/>
                <w:szCs w:val="20"/>
              </w:rPr>
              <w:t>科技处</w:t>
            </w:r>
          </w:p>
        </w:tc>
      </w:tr>
      <w:tr>
        <w:trPr>
          <w:trHeight w:val="391"/>
        </w:trPr>
        <w:tc>
          <w:tcPr>
            <w:tcW w:w="581" w:type="dxa"/>
            <w:noWrap/>
            <w:vAlign w:val="center"/>
          </w:tcPr>
          <w:p>
            <w:pPr>
              <w:pStyle w:val="92"/>
              <w:jc w:val="center"/>
              <w:rPr>
                <w:rFonts w:eastAsia="方正黑体_GBK"/>
                <w:color w:val="000000"/>
                <w:sz w:val="20"/>
                <w:szCs w:val="20"/>
              </w:rPr>
            </w:pPr>
            <w:r>
              <w:rPr>
                <w:rFonts w:eastAsia="方正黑体_GBK" w:hint="eastAsia"/>
                <w:color w:val="000000"/>
                <w:sz w:val="20"/>
                <w:szCs w:val="20"/>
              </w:rPr>
              <w:t>5</w:t>
            </w:r>
          </w:p>
        </w:tc>
        <w:tc>
          <w:tcPr>
            <w:tcW w:w="2913" w:type="dxa"/>
            <w:noWrap/>
            <w:vAlign w:val="center"/>
          </w:tcPr>
          <w:p>
            <w:pPr>
              <w:pStyle w:val="92"/>
              <w:jc w:val="center"/>
              <w:rPr>
                <w:rFonts w:ascii="宋体"/>
                <w:color w:val="000000"/>
                <w:sz w:val="20"/>
                <w:szCs w:val="20"/>
              </w:rPr>
            </w:pPr>
            <w:r>
              <w:rPr>
                <w:rFonts w:ascii="宋体"/>
                <w:color w:val="000000"/>
                <w:sz w:val="20"/>
                <w:szCs w:val="20"/>
              </w:rPr>
              <w:t>卫生检疫处</w:t>
            </w:r>
          </w:p>
        </w:tc>
        <w:tc>
          <w:tcPr>
            <w:tcW w:w="581" w:type="dxa"/>
            <w:noWrap/>
            <w:vAlign w:val="center"/>
          </w:tcPr>
          <w:p>
            <w:pPr>
              <w:pStyle w:val="98"/>
              <w:jc w:val="center"/>
              <w:rPr>
                <w:rFonts w:eastAsia="方正黑体_GBK"/>
                <w:color w:val="000000"/>
                <w:sz w:val="20"/>
                <w:szCs w:val="20"/>
              </w:rPr>
            </w:pPr>
            <w:r>
              <w:rPr>
                <w:rFonts w:eastAsia="方正黑体_GBK" w:hint="eastAsia"/>
                <w:color w:val="000000"/>
                <w:sz w:val="20"/>
                <w:szCs w:val="20"/>
              </w:rPr>
              <w:t>14</w:t>
            </w:r>
          </w:p>
        </w:tc>
        <w:tc>
          <w:tcPr>
            <w:tcW w:w="4453" w:type="dxa"/>
            <w:noWrap/>
            <w:vAlign w:val="center"/>
          </w:tcPr>
          <w:p>
            <w:pPr>
              <w:pStyle w:val="100"/>
              <w:jc w:val="center"/>
              <w:rPr>
                <w:rFonts w:ascii="宋体"/>
                <w:color w:val="000000"/>
                <w:sz w:val="20"/>
                <w:szCs w:val="20"/>
              </w:rPr>
            </w:pPr>
            <w:r>
              <w:rPr>
                <w:rFonts w:ascii="宋体" w:hint="eastAsia"/>
                <w:color w:val="000000"/>
                <w:sz w:val="20"/>
                <w:szCs w:val="20"/>
              </w:rPr>
              <w:t>督查</w:t>
            </w:r>
            <w:r>
              <w:rPr>
                <w:rFonts w:ascii="宋体"/>
                <w:color w:val="000000"/>
                <w:sz w:val="20"/>
                <w:szCs w:val="20"/>
              </w:rPr>
              <w:t>内审处</w:t>
            </w:r>
          </w:p>
        </w:tc>
      </w:tr>
      <w:tr>
        <w:trPr>
          <w:trHeight w:val="391"/>
        </w:trPr>
        <w:tc>
          <w:tcPr>
            <w:tcW w:w="581" w:type="dxa"/>
            <w:noWrap/>
            <w:vAlign w:val="center"/>
          </w:tcPr>
          <w:p>
            <w:pPr>
              <w:pStyle w:val="92"/>
              <w:jc w:val="center"/>
              <w:rPr>
                <w:rFonts w:eastAsia="方正黑体_GBK"/>
                <w:color w:val="000000"/>
                <w:sz w:val="20"/>
                <w:szCs w:val="20"/>
              </w:rPr>
            </w:pPr>
            <w:r>
              <w:rPr>
                <w:rFonts w:eastAsia="方正黑体_GBK" w:hint="eastAsia"/>
                <w:color w:val="000000"/>
                <w:sz w:val="20"/>
                <w:szCs w:val="20"/>
              </w:rPr>
              <w:t>6</w:t>
            </w:r>
          </w:p>
        </w:tc>
        <w:tc>
          <w:tcPr>
            <w:tcW w:w="2913" w:type="dxa"/>
            <w:noWrap/>
            <w:vAlign w:val="center"/>
          </w:tcPr>
          <w:p>
            <w:pPr>
              <w:pStyle w:val="92"/>
              <w:jc w:val="center"/>
              <w:rPr>
                <w:rFonts w:ascii="宋体"/>
                <w:color w:val="000000"/>
                <w:sz w:val="20"/>
                <w:szCs w:val="20"/>
              </w:rPr>
            </w:pPr>
            <w:r>
              <w:rPr>
                <w:rFonts w:ascii="宋体"/>
                <w:color w:val="000000"/>
                <w:sz w:val="20"/>
                <w:szCs w:val="20"/>
              </w:rPr>
              <w:t>动植物检疫处</w:t>
            </w:r>
          </w:p>
        </w:tc>
        <w:tc>
          <w:tcPr>
            <w:tcW w:w="581" w:type="dxa"/>
            <w:noWrap/>
            <w:vAlign w:val="center"/>
          </w:tcPr>
          <w:p>
            <w:pPr>
              <w:pStyle w:val="101"/>
              <w:jc w:val="center"/>
              <w:rPr>
                <w:rFonts w:eastAsia="方正黑体_GBK"/>
                <w:color w:val="000000"/>
                <w:sz w:val="20"/>
                <w:szCs w:val="20"/>
              </w:rPr>
            </w:pPr>
            <w:r>
              <w:rPr>
                <w:rFonts w:eastAsia="方正黑体_GBK"/>
                <w:color w:val="000000"/>
                <w:sz w:val="20"/>
                <w:szCs w:val="20"/>
              </w:rPr>
              <w:t>15</w:t>
            </w:r>
          </w:p>
        </w:tc>
        <w:tc>
          <w:tcPr>
            <w:tcW w:w="4453" w:type="dxa"/>
            <w:noWrap/>
            <w:vAlign w:val="center"/>
          </w:tcPr>
          <w:p>
            <w:pPr>
              <w:pStyle w:val="102"/>
              <w:jc w:val="center"/>
              <w:rPr>
                <w:rFonts w:ascii="宋体"/>
                <w:color w:val="000000"/>
                <w:sz w:val="20"/>
                <w:szCs w:val="20"/>
              </w:rPr>
            </w:pPr>
            <w:r>
              <w:rPr>
                <w:rFonts w:ascii="宋体"/>
                <w:color w:val="000000"/>
                <w:sz w:val="20"/>
                <w:szCs w:val="20"/>
              </w:rPr>
              <w:t>人教处（党委组织部）</w:t>
            </w:r>
          </w:p>
        </w:tc>
      </w:tr>
      <w:tr>
        <w:trPr>
          <w:trHeight w:val="391"/>
        </w:trPr>
        <w:tc>
          <w:tcPr>
            <w:tcW w:w="581" w:type="dxa"/>
            <w:noWrap/>
            <w:vAlign w:val="center"/>
          </w:tcPr>
          <w:p>
            <w:pPr>
              <w:pStyle w:val="92"/>
              <w:jc w:val="center"/>
              <w:rPr>
                <w:rFonts w:eastAsia="方正黑体_GBK"/>
                <w:color w:val="000000"/>
                <w:sz w:val="20"/>
                <w:szCs w:val="20"/>
              </w:rPr>
            </w:pPr>
            <w:r>
              <w:rPr>
                <w:rFonts w:eastAsia="方正黑体_GBK" w:hint="eastAsia"/>
                <w:color w:val="000000"/>
                <w:sz w:val="20"/>
                <w:szCs w:val="20"/>
              </w:rPr>
              <w:t>7</w:t>
            </w:r>
          </w:p>
        </w:tc>
        <w:tc>
          <w:tcPr>
            <w:tcW w:w="2913" w:type="dxa"/>
            <w:noWrap/>
            <w:vAlign w:val="center"/>
          </w:tcPr>
          <w:p>
            <w:pPr>
              <w:pStyle w:val="92"/>
              <w:jc w:val="center"/>
              <w:rPr>
                <w:rFonts w:ascii="宋体"/>
                <w:color w:val="000000"/>
                <w:sz w:val="20"/>
                <w:szCs w:val="20"/>
              </w:rPr>
            </w:pPr>
            <w:r>
              <w:rPr>
                <w:rFonts w:ascii="宋体"/>
                <w:color w:val="000000"/>
                <w:sz w:val="20"/>
                <w:szCs w:val="20"/>
              </w:rPr>
              <w:t>进出口食品安全处</w:t>
            </w:r>
          </w:p>
        </w:tc>
        <w:tc>
          <w:tcPr>
            <w:tcW w:w="581" w:type="dxa"/>
            <w:noWrap/>
            <w:vAlign w:val="center"/>
          </w:tcPr>
          <w:p>
            <w:pPr>
              <w:pStyle w:val="103"/>
              <w:jc w:val="center"/>
              <w:rPr>
                <w:rFonts w:eastAsia="方正黑体_GBK"/>
                <w:color w:val="000000"/>
                <w:sz w:val="20"/>
                <w:szCs w:val="20"/>
              </w:rPr>
            </w:pPr>
            <w:r>
              <w:rPr>
                <w:rFonts w:eastAsia="方正黑体_GBK"/>
                <w:color w:val="000000"/>
                <w:sz w:val="20"/>
                <w:szCs w:val="20"/>
              </w:rPr>
              <w:t>16</w:t>
            </w:r>
          </w:p>
        </w:tc>
        <w:tc>
          <w:tcPr>
            <w:tcW w:w="4453" w:type="dxa"/>
            <w:noWrap/>
            <w:vAlign w:val="center"/>
          </w:tcPr>
          <w:p>
            <w:pPr>
              <w:pStyle w:val="104"/>
              <w:jc w:val="center"/>
              <w:rPr>
                <w:rFonts w:ascii="宋体"/>
                <w:color w:val="000000"/>
                <w:sz w:val="20"/>
                <w:szCs w:val="20"/>
              </w:rPr>
            </w:pPr>
            <w:r>
              <w:rPr>
                <w:rFonts w:ascii="宋体"/>
                <w:color w:val="000000"/>
                <w:sz w:val="20"/>
                <w:szCs w:val="20"/>
              </w:rPr>
              <w:t>机关党委（思想政治工作办公室、党委宣传部、党委巡察工作办公室）</w:t>
            </w:r>
          </w:p>
        </w:tc>
      </w:tr>
      <w:tr>
        <w:trPr>
          <w:trHeight w:val="391"/>
        </w:trPr>
        <w:tc>
          <w:tcPr>
            <w:tcW w:w="581" w:type="dxa"/>
            <w:noWrap/>
            <w:vAlign w:val="center"/>
          </w:tcPr>
          <w:p>
            <w:pPr>
              <w:pStyle w:val="92"/>
              <w:jc w:val="center"/>
              <w:rPr>
                <w:rFonts w:eastAsia="方正黑体_GBK"/>
                <w:color w:val="000000"/>
                <w:sz w:val="20"/>
                <w:szCs w:val="20"/>
              </w:rPr>
            </w:pPr>
            <w:r>
              <w:rPr>
                <w:rFonts w:eastAsia="方正黑体_GBK" w:hint="eastAsia"/>
                <w:color w:val="000000"/>
                <w:sz w:val="20"/>
                <w:szCs w:val="20"/>
              </w:rPr>
              <w:t>8</w:t>
            </w:r>
          </w:p>
        </w:tc>
        <w:tc>
          <w:tcPr>
            <w:tcW w:w="2913" w:type="dxa"/>
            <w:noWrap/>
            <w:vAlign w:val="center"/>
          </w:tcPr>
          <w:p>
            <w:pPr>
              <w:pStyle w:val="92"/>
              <w:jc w:val="center"/>
              <w:rPr>
                <w:rFonts w:ascii="宋体"/>
                <w:color w:val="000000"/>
                <w:sz w:val="20"/>
                <w:szCs w:val="20"/>
              </w:rPr>
            </w:pPr>
            <w:r>
              <w:rPr>
                <w:rFonts w:ascii="宋体"/>
                <w:color w:val="000000"/>
                <w:sz w:val="20"/>
                <w:szCs w:val="20"/>
              </w:rPr>
              <w:t>商品检验处</w:t>
            </w:r>
          </w:p>
        </w:tc>
        <w:tc>
          <w:tcPr>
            <w:tcW w:w="581" w:type="dxa"/>
            <w:noWrap/>
            <w:vAlign w:val="center"/>
          </w:tcPr>
          <w:p>
            <w:pPr>
              <w:pStyle w:val="105"/>
              <w:jc w:val="center"/>
              <w:rPr>
                <w:rFonts w:eastAsia="方正黑体_GBK"/>
                <w:color w:val="000000"/>
                <w:sz w:val="20"/>
                <w:szCs w:val="20"/>
              </w:rPr>
            </w:pPr>
            <w:r>
              <w:rPr>
                <w:rFonts w:eastAsia="方正黑体_GBK"/>
                <w:color w:val="000000"/>
                <w:sz w:val="20"/>
                <w:szCs w:val="20"/>
              </w:rPr>
              <w:t>17</w:t>
            </w:r>
          </w:p>
        </w:tc>
        <w:tc>
          <w:tcPr>
            <w:tcW w:w="4453" w:type="dxa"/>
            <w:noWrap/>
            <w:vAlign w:val="center"/>
          </w:tcPr>
          <w:p>
            <w:pPr>
              <w:pStyle w:val="106"/>
              <w:jc w:val="center"/>
              <w:rPr>
                <w:rFonts w:ascii="宋体"/>
                <w:color w:val="000000"/>
                <w:sz w:val="20"/>
                <w:szCs w:val="20"/>
              </w:rPr>
            </w:pPr>
            <w:r>
              <w:rPr>
                <w:rFonts w:ascii="宋体"/>
                <w:color w:val="000000"/>
                <w:sz w:val="20"/>
                <w:szCs w:val="20"/>
              </w:rPr>
              <w:t>监察室（党委纪检组）</w:t>
            </w:r>
          </w:p>
        </w:tc>
      </w:tr>
      <w:tr>
        <w:trPr>
          <w:trHeight w:val="391"/>
        </w:trPr>
        <w:tc>
          <w:tcPr>
            <w:tcW w:w="581" w:type="dxa"/>
            <w:noWrap/>
            <w:vAlign w:val="center"/>
          </w:tcPr>
          <w:p>
            <w:pPr>
              <w:pStyle w:val="92"/>
              <w:jc w:val="center"/>
              <w:rPr>
                <w:rFonts w:eastAsia="方正黑体_GBK"/>
                <w:color w:val="000000"/>
                <w:sz w:val="20"/>
                <w:szCs w:val="20"/>
              </w:rPr>
            </w:pPr>
            <w:r>
              <w:rPr>
                <w:rFonts w:eastAsia="方正黑体_GBK" w:hint="eastAsia"/>
                <w:color w:val="000000"/>
                <w:sz w:val="20"/>
                <w:szCs w:val="20"/>
              </w:rPr>
              <w:t>9</w:t>
            </w:r>
          </w:p>
        </w:tc>
        <w:tc>
          <w:tcPr>
            <w:tcW w:w="2913" w:type="dxa"/>
            <w:noWrap/>
            <w:vAlign w:val="center"/>
          </w:tcPr>
          <w:p>
            <w:pPr>
              <w:pStyle w:val="92"/>
              <w:jc w:val="center"/>
              <w:rPr>
                <w:rFonts w:ascii="宋体"/>
                <w:color w:val="000000"/>
                <w:sz w:val="20"/>
                <w:szCs w:val="20"/>
              </w:rPr>
            </w:pPr>
            <w:r>
              <w:rPr>
                <w:rFonts w:ascii="宋体"/>
                <w:color w:val="000000"/>
                <w:sz w:val="20"/>
                <w:szCs w:val="20"/>
              </w:rPr>
              <w:t>口岸监管处</w:t>
            </w:r>
          </w:p>
        </w:tc>
        <w:tc>
          <w:tcPr>
            <w:tcW w:w="581" w:type="dxa"/>
            <w:noWrap/>
            <w:vAlign w:val="center"/>
          </w:tcPr>
          <w:p>
            <w:pPr>
              <w:pStyle w:val="107"/>
              <w:jc w:val="center"/>
              <w:rPr>
                <w:rFonts w:eastAsia="方正黑体_GBK"/>
                <w:color w:val="000000"/>
                <w:sz w:val="20"/>
                <w:szCs w:val="20"/>
              </w:rPr>
            </w:pPr>
            <w:r>
              <w:rPr>
                <w:rFonts w:eastAsia="方正黑体_GBK"/>
                <w:color w:val="000000"/>
                <w:sz w:val="20"/>
                <w:szCs w:val="20"/>
              </w:rPr>
              <w:t>18</w:t>
            </w:r>
          </w:p>
        </w:tc>
        <w:tc>
          <w:tcPr>
            <w:tcW w:w="4453" w:type="dxa"/>
            <w:noWrap/>
            <w:vAlign w:val="center"/>
          </w:tcPr>
          <w:p>
            <w:pPr>
              <w:pStyle w:val="108"/>
              <w:jc w:val="center"/>
              <w:rPr>
                <w:rFonts w:ascii="宋体"/>
                <w:color w:val="000000"/>
                <w:sz w:val="20"/>
                <w:szCs w:val="20"/>
              </w:rPr>
            </w:pPr>
            <w:r>
              <w:rPr>
                <w:rFonts w:ascii="宋体"/>
                <w:color w:val="000000"/>
                <w:sz w:val="20"/>
                <w:szCs w:val="20"/>
              </w:rPr>
              <w:t>离退休办公室</w:t>
            </w:r>
          </w:p>
        </w:tc>
      </w:tr>
    </w:tbl>
    <w:p>
      <w:pPr>
        <w:jc w:val="center"/>
        <w:rPr>
          <w:rFonts w:ascii="Times New Roman" w:eastAsia="方正仿宋_GBK" w:hAnsi="Times New Roman"/>
          <w:sz w:val="84"/>
          <w:szCs w:val="84"/>
        </w:rPr>
        <w:sectPr>
          <w:pgSz w:w="11906" w:h="16838"/>
          <w:pgMar w:top="1440" w:right="1800" w:bottom="1440" w:left="1800" w:header="851" w:footer="992" w:gutter="0"/>
          <w:docGrid w:type="lines" w:linePitch="312" w:charSpace="0"/>
        </w:sectPr>
      </w:pP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jc w:val="center"/>
        <w:rPr>
          <w:rFonts w:ascii="Times New Roman" w:hAnsi="Times New Roman"/>
          <w:b/>
          <w:sz w:val="72"/>
          <w:szCs w:val="72"/>
        </w:rPr>
      </w:pPr>
      <w:r>
        <w:rPr>
          <w:rFonts w:ascii="Times New Roman" w:hAnsi="Times New Roman" w:hint="eastAsia"/>
          <w:b/>
          <w:sz w:val="72"/>
          <w:szCs w:val="72"/>
        </w:rPr>
        <w:t>第二部分</w:t>
      </w:r>
      <w:r>
        <w:rPr>
          <w:rFonts w:ascii="Times New Roman" w:hAnsi="Times New Roman"/>
          <w:b/>
          <w:sz w:val="72"/>
          <w:szCs w:val="72"/>
        </w:rPr>
        <w:t xml:space="preserve">  </w:t>
      </w:r>
    </w:p>
    <w:p>
      <w:pPr>
        <w:jc w:val="center"/>
        <w:rPr>
          <w:rFonts w:ascii="Times New Roman" w:hAnsi="Times New Roman"/>
          <w:b/>
          <w:sz w:val="72"/>
          <w:szCs w:val="72"/>
        </w:rPr>
      </w:pPr>
      <w:r>
        <w:rPr>
          <w:rFonts w:ascii="Times New Roman" w:hAnsi="Times New Roman" w:hint="eastAsia"/>
          <w:b/>
          <w:sz w:val="72"/>
          <w:szCs w:val="72"/>
        </w:rPr>
        <w:t>呼和浩特海关</w:t>
      </w:r>
      <w:r>
        <w:rPr>
          <w:rFonts w:ascii="Times New Roman" w:hAnsi="Times New Roman"/>
          <w:b/>
          <w:sz w:val="72"/>
          <w:szCs w:val="72"/>
        </w:rPr>
        <w:t>本级2023</w:t>
      </w:r>
      <w:r>
        <w:rPr>
          <w:rFonts w:ascii="Times New Roman" w:hAnsi="Times New Roman" w:hint="eastAsia"/>
          <w:b/>
          <w:sz w:val="72"/>
          <w:szCs w:val="72"/>
        </w:rPr>
        <w:t>年</w:t>
      </w:r>
    </w:p>
    <w:p>
      <w:pPr>
        <w:jc w:val="center"/>
        <w:rPr>
          <w:rFonts w:ascii="Times New Roman" w:hAnsi="Times New Roman"/>
          <w:szCs w:val="21"/>
        </w:rPr>
      </w:pPr>
      <w:r>
        <w:rPr>
          <w:rFonts w:ascii="Times New Roman" w:hAnsi="Times New Roman" w:hint="eastAsia"/>
          <w:b/>
          <w:sz w:val="72"/>
          <w:szCs w:val="72"/>
        </w:rPr>
        <w:t>部门预算表</w:t>
      </w: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widowControl/>
        <w:jc w:val="left"/>
        <w:rPr>
          <w:rFonts w:ascii="Times New Roman" w:eastAsia="方正仿宋_GBK" w:hAnsi="Times New Roman"/>
          <w:sz w:val="84"/>
          <w:szCs w:val="84"/>
        </w:rPr>
        <w:sectPr>
          <w:pgSz w:w="11906" w:h="16838"/>
          <w:pgMar w:top="1440" w:right="1800" w:bottom="1440" w:left="1800" w:header="851" w:footer="992" w:gutter="0"/>
          <w:docGrid w:type="lines" w:linePitch="312" w:charSpace="0"/>
        </w:sectPr>
      </w:pPr>
    </w:p>
    <w:tbl>
      <w:tblPr>
        <w:jc w:val="center"/>
        <w:tblW w:w="13892"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686"/>
        <w:gridCol w:w="631"/>
        <w:gridCol w:w="2629"/>
        <w:gridCol w:w="3827"/>
        <w:gridCol w:w="3119"/>
      </w:tblGrid>
      <w:tr>
        <w:trPr>
          <w:trHeight w:val="319"/>
        </w:trPr>
        <w:tc>
          <w:tcPr>
            <w:tcW w:w="10773" w:type="dxa"/>
            <w:gridSpan w:val="4"/>
            <w:tcBorders>
              <w:top w:val="nil"/>
              <w:left w:val="nil"/>
              <w:bottom w:val="nil"/>
              <w:right w:val="nil"/>
            </w:tcBorders>
            <w:shd w:val="clear" w:color="auto" w:fill="auto"/>
            <w:noWrap/>
            <w:vAlign w:val="center"/>
          </w:tcPr>
          <w:p>
            <w:pPr>
              <w:widowControl/>
              <w:jc w:val="left"/>
              <w:rPr>
                <w:rFonts w:ascii="Times New Roman" w:cs="宋体" w:hAnsi="Times New Roman"/>
                <w:kern w:val="0"/>
                <w:sz w:val="24"/>
                <w:szCs w:val="24"/>
              </w:rPr>
            </w:pPr>
          </w:p>
        </w:tc>
        <w:tc>
          <w:tcPr>
            <w:tcW w:w="3119" w:type="dxa"/>
            <w:tcBorders>
              <w:top w:val="nil"/>
              <w:left w:val="nil"/>
              <w:bottom w:val="nil"/>
              <w:right w:val="nil"/>
            </w:tcBorders>
            <w:shd w:val="clear" w:color="auto" w:fill="auto"/>
            <w:noWrap/>
            <w:vAlign w:val="center"/>
          </w:tcPr>
          <w:p>
            <w:pPr>
              <w:widowControl/>
              <w:jc w:val="right"/>
              <w:rPr>
                <w:rFonts w:ascii="Times New Roman" w:eastAsia="黑体" w:cs="宋体" w:hAnsi="Times New Roman"/>
                <w:color w:val="000000"/>
                <w:kern w:val="0"/>
                <w:sz w:val="20"/>
                <w:szCs w:val="20"/>
              </w:rPr>
            </w:pPr>
            <w:r>
              <w:rPr>
                <w:rFonts w:ascii="Times New Roman" w:eastAsia="黑体" w:cs="宋体" w:hAnsi="Times New Roman" w:hint="eastAsia"/>
                <w:color w:val="000000"/>
                <w:kern w:val="0"/>
                <w:sz w:val="20"/>
                <w:szCs w:val="20"/>
              </w:rPr>
              <w:t>部门公开表1</w:t>
            </w:r>
          </w:p>
        </w:tc>
      </w:tr>
      <w:tr>
        <w:trPr>
          <w:trHeight w:val="540"/>
        </w:trPr>
        <w:tc>
          <w:tcPr>
            <w:tcW w:w="13892" w:type="dxa"/>
            <w:gridSpan w:val="5"/>
            <w:tcBorders>
              <w:top w:val="nil"/>
              <w:left w:val="nil"/>
              <w:bottom w:val="nil"/>
              <w:right w:val="nil"/>
            </w:tcBorders>
            <w:shd w:val="clear" w:color="auto" w:fill="auto"/>
            <w:noWrap/>
            <w:vAlign w:val="center"/>
          </w:tcPr>
          <w:p>
            <w:pPr>
              <w:widowControl/>
              <w:jc w:val="center"/>
              <w:rPr>
                <w:rFonts w:ascii="Times New Roman" w:cs="宋体" w:hAnsi="Times New Roman"/>
                <w:color w:val="000000"/>
                <w:kern w:val="0"/>
                <w:sz w:val="36"/>
                <w:szCs w:val="36"/>
              </w:rPr>
            </w:pPr>
            <w:r>
              <w:rPr>
                <w:rFonts w:ascii="Times New Roman" w:cs="宋体" w:hAnsi="Times New Roman" w:hint="eastAsia"/>
                <w:color w:val="000000"/>
                <w:kern w:val="0"/>
                <w:sz w:val="36"/>
                <w:szCs w:val="36"/>
              </w:rPr>
              <w:t>部门收支总表</w:t>
            </w:r>
          </w:p>
        </w:tc>
      </w:tr>
      <w:tr>
        <w:trPr>
          <w:trHeight w:val="360"/>
        </w:trPr>
        <w:tc>
          <w:tcPr>
            <w:tcW w:w="4317" w:type="dxa"/>
            <w:gridSpan w:val="2"/>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18"/>
                <w:szCs w:val="18"/>
              </w:rPr>
            </w:pPr>
            <w:r>
              <w:rPr>
                <w:rFonts w:ascii="Times New Roman" w:cs="宋体" w:hAnsi="Times New Roman" w:hint="eastAsia"/>
                <w:color w:val="000000"/>
                <w:kern w:val="0"/>
                <w:sz w:val="18"/>
                <w:szCs w:val="18"/>
              </w:rPr>
              <w:t>　单位名称：中华人民共和国呼和浩特海关本级</w:t>
            </w:r>
          </w:p>
        </w:tc>
        <w:tc>
          <w:tcPr>
            <w:tcW w:w="2629"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3827"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3119" w:type="dxa"/>
            <w:tcBorders>
              <w:top w:val="nil"/>
              <w:left w:val="nil"/>
              <w:bottom w:val="nil"/>
              <w:right w:val="nil"/>
            </w:tcBorders>
            <w:shd w:val="clear" w:color="auto" w:fill="auto"/>
            <w:noWrap/>
            <w:vAlign w:val="center"/>
          </w:tcPr>
          <w:p>
            <w:pPr>
              <w:widowControl/>
              <w:rPr>
                <w:rFonts w:ascii="Times New Roman" w:cs="宋体" w:hAnsi="Times New Roman"/>
                <w:color w:val="000000"/>
                <w:kern w:val="0"/>
                <w:sz w:val="20"/>
                <w:szCs w:val="20"/>
              </w:rPr>
            </w:pPr>
            <w:r>
              <w:rPr>
                <w:rFonts w:ascii="Times New Roman" w:cs="宋体" w:hAnsi="Times New Roman" w:hint="eastAsia"/>
                <w:color w:val="000000"/>
                <w:kern w:val="0"/>
                <w:sz w:val="20"/>
                <w:szCs w:val="20"/>
              </w:rPr>
              <w:t>单位：万元</w:t>
            </w:r>
          </w:p>
        </w:tc>
      </w:tr>
      <w:tr>
        <w:trPr>
          <w:trHeight w:val="360"/>
        </w:trPr>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pPr>
              <w:rPr>
                <w:rFonts w:ascii="宋体" w:eastAsia="宋体"/>
                <w:b w:val="0"/>
                <w:i w:val="0"/>
                <w:strike w:val="0"/>
                <w:dstrike w:val="0"/>
                <w:color w:val="000000"/>
                <w:sz w:val="20"/>
              </w:rPr>
            </w:pPr>
            <w:r>
              <w:rPr>
                <w:rFonts w:ascii="宋体" w:eastAsia="宋体"/>
                <w:b w:val="0"/>
                <w:i w:val="0"/>
                <w:strike w:val="0"/>
                <w:dstrike w:val="0"/>
                <w:color w:val="000000"/>
                <w:sz w:val="20"/>
              </w:rPr>
              <w:t>收      入</w:t>
            </w:r>
          </w:p>
        </w:tc>
        <w:tc>
          <w:tcPr>
            <w:tcW w:w="6946" w:type="dxa"/>
            <w:gridSpan w:val="2"/>
            <w:tcBorders>
              <w:top w:val="single" w:sz="4" w:space="0" w:color="auto"/>
              <w:left w:val="nil"/>
              <w:bottom w:val="single" w:sz="4" w:space="0" w:color="auto"/>
              <w:right w:val="single" w:sz="4" w:space="0" w:color="auto"/>
            </w:tcBorders>
            <w:shd w:val="clear" w:color="auto" w:fill="auto"/>
            <w:vAlign w:val="center"/>
          </w:tcPr>
          <w:p>
            <w:pPr>
              <w:rPr>
                <w:rFonts w:ascii="宋体" w:eastAsia="宋体"/>
                <w:b w:val="0"/>
                <w:i w:val="0"/>
                <w:strike w:val="0"/>
                <w:dstrike w:val="0"/>
                <w:color w:val="000000"/>
                <w:sz w:val="20"/>
              </w:rPr>
            </w:pPr>
            <w:r>
              <w:rPr>
                <w:rFonts w:ascii="宋体" w:eastAsia="宋体"/>
                <w:b w:val="0"/>
                <w:i w:val="0"/>
                <w:strike w:val="0"/>
                <w:dstrike w:val="0"/>
                <w:color w:val="000000"/>
                <w:sz w:val="20"/>
              </w:rPr>
              <w:t>支      出</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vAlign w:val="center"/>
          </w:tcPr>
          <w:p>
            <w:pPr>
              <w:rPr>
                <w:rFonts w:ascii="宋体" w:eastAsia="宋体"/>
                <w:b w:val="0"/>
                <w:i w:val="0"/>
                <w:color w:val="000000"/>
                <w:sz w:val="20"/>
              </w:rPr>
            </w:pPr>
            <w:r>
              <w:rPr>
                <w:rFonts w:ascii="宋体" w:eastAsia="宋体"/>
                <w:b w:val="0"/>
                <w:i w:val="0"/>
                <w:color w:val="000000"/>
                <w:sz w:val="20"/>
              </w:rPr>
              <w:t>项目</w:t>
            </w:r>
          </w:p>
        </w:tc>
        <w:tc>
          <w:tcPr>
            <w:tcW w:w="3260" w:type="dxa"/>
            <w:gridSpan w:val="2"/>
            <w:tcBorders>
              <w:top w:val="nil"/>
              <w:left w:val="nil"/>
              <w:bottom w:val="single" w:sz="4" w:space="0" w:color="auto"/>
              <w:right w:val="single" w:sz="4" w:space="0" w:color="auto"/>
            </w:tcBorders>
            <w:shd w:val="clear" w:color="auto" w:fill="auto"/>
            <w:vAlign w:val="center"/>
          </w:tcPr>
          <w:p>
            <w:pPr>
              <w:rPr>
                <w:rFonts w:ascii="宋体" w:eastAsia="宋体"/>
                <w:b w:val="0"/>
                <w:i w:val="0"/>
                <w:color w:val="000000"/>
                <w:sz w:val="20"/>
              </w:rPr>
            </w:pPr>
            <w:r>
              <w:rPr>
                <w:rFonts w:ascii="宋体" w:eastAsia="宋体"/>
                <w:b w:val="0"/>
                <w:i w:val="0"/>
                <w:color w:val="000000"/>
                <w:sz w:val="20"/>
              </w:rPr>
              <w:t>预算数</w:t>
            </w:r>
          </w:p>
        </w:tc>
        <w:tc>
          <w:tcPr>
            <w:tcW w:w="3827" w:type="dxa"/>
            <w:tcBorders>
              <w:top w:val="nil"/>
              <w:left w:val="nil"/>
              <w:bottom w:val="single" w:sz="4" w:space="0" w:color="auto"/>
              <w:right w:val="single" w:sz="4" w:space="0" w:color="auto"/>
            </w:tcBorders>
            <w:shd w:val="clear" w:color="auto" w:fill="auto"/>
            <w:vAlign w:val="center"/>
          </w:tcPr>
          <w:p>
            <w:pPr>
              <w:rPr>
                <w:rFonts w:ascii="宋体" w:eastAsia="宋体"/>
                <w:b w:val="0"/>
                <w:i w:val="0"/>
                <w:color w:val="000000"/>
                <w:sz w:val="20"/>
              </w:rPr>
            </w:pPr>
            <w:r>
              <w:rPr>
                <w:rFonts w:ascii="宋体" w:eastAsia="宋体"/>
                <w:b w:val="0"/>
                <w:i w:val="0"/>
                <w:color w:val="000000"/>
                <w:sz w:val="20"/>
              </w:rPr>
              <w:t>项目</w:t>
            </w:r>
          </w:p>
        </w:tc>
        <w:tc>
          <w:tcPr>
            <w:tcW w:w="3119" w:type="dxa"/>
            <w:tcBorders>
              <w:top w:val="nil"/>
              <w:left w:val="nil"/>
              <w:bottom w:val="single" w:sz="4" w:space="0" w:color="auto"/>
              <w:right w:val="single" w:sz="4" w:space="0" w:color="auto"/>
            </w:tcBorders>
            <w:shd w:val="clear" w:color="auto" w:fill="auto"/>
            <w:vAlign w:val="center"/>
          </w:tcPr>
          <w:p>
            <w:pPr>
              <w:rPr>
                <w:rFonts w:ascii="宋体" w:eastAsia="宋体"/>
                <w:b w:val="0"/>
                <w:i w:val="0"/>
                <w:color w:val="000000"/>
                <w:sz w:val="20"/>
              </w:rPr>
            </w:pPr>
            <w:r>
              <w:rPr>
                <w:rFonts w:ascii="宋体" w:eastAsia="宋体"/>
                <w:b w:val="0"/>
                <w:i w:val="0"/>
                <w:color w:val="000000"/>
                <w:sz w:val="20"/>
              </w:rPr>
              <w:t>预算数</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rPr>
                <w:rFonts w:ascii="宋体" w:eastAsia="宋体"/>
                <w:b w:val="0"/>
                <w:i w:val="0"/>
                <w:sz w:val="20"/>
              </w:rPr>
            </w:pPr>
            <w:r>
              <w:rPr>
                <w:rFonts w:ascii="宋体" w:eastAsia="宋体"/>
                <w:b w:val="0"/>
                <w:i w:val="0"/>
                <w:sz w:val="20"/>
              </w:rPr>
              <w:t>一、一般公共预算拨款收入</w:t>
            </w:r>
          </w:p>
        </w:tc>
        <w:tc>
          <w:tcPr>
            <w:tcW w:w="3260" w:type="dxa"/>
            <w:gridSpan w:val="2"/>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r>
              <w:rPr>
                <w:rFonts w:ascii="宋体" w:eastAsia="宋体"/>
                <w:b w:val="0"/>
                <w:i w:val="0"/>
                <w:sz w:val="20"/>
              </w:rPr>
              <w:t>9,822.07</w:t>
            </w:r>
          </w:p>
        </w:tc>
        <w:tc>
          <w:tcPr>
            <w:tcW w:w="3827" w:type="dxa"/>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r>
              <w:rPr>
                <w:rFonts w:ascii="宋体" w:eastAsia="宋体"/>
                <w:b w:val="0"/>
                <w:i w:val="0"/>
                <w:sz w:val="20"/>
              </w:rPr>
              <w:t>一、一般公共预算拨款收入</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r>
              <w:rPr>
                <w:rFonts w:ascii="宋体" w:eastAsia="宋体"/>
                <w:b w:val="0"/>
                <w:i w:val="0"/>
                <w:sz w:val="20"/>
              </w:rPr>
              <w:t>9,822.07</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rPr>
                <w:rFonts w:ascii="宋体" w:eastAsia="宋体"/>
                <w:b w:val="0"/>
                <w:i w:val="0"/>
                <w:sz w:val="20"/>
              </w:rPr>
            </w:pPr>
            <w:r>
              <w:rPr>
                <w:rFonts w:ascii="宋体" w:eastAsia="宋体"/>
                <w:b w:val="0"/>
                <w:i w:val="0"/>
                <w:sz w:val="20"/>
              </w:rPr>
              <w:t>二、政府性基金预算拨款收入</w:t>
            </w:r>
          </w:p>
        </w:tc>
        <w:tc>
          <w:tcPr>
            <w:tcW w:w="3260" w:type="dxa"/>
            <w:gridSpan w:val="2"/>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p>
        </w:tc>
        <w:tc>
          <w:tcPr>
            <w:tcW w:w="3827" w:type="dxa"/>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r>
              <w:rPr>
                <w:rFonts w:ascii="宋体" w:eastAsia="宋体"/>
                <w:b w:val="0"/>
                <w:i w:val="0"/>
                <w:sz w:val="20"/>
              </w:rPr>
              <w:t>二、政府性基金预算拨款收入</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rPr>
                <w:rFonts w:ascii="宋体" w:eastAsia="宋体"/>
                <w:b w:val="0"/>
                <w:i w:val="0"/>
                <w:sz w:val="20"/>
              </w:rPr>
            </w:pPr>
            <w:r>
              <w:rPr>
                <w:rFonts w:ascii="宋体" w:eastAsia="宋体"/>
                <w:b w:val="0"/>
                <w:i w:val="0"/>
                <w:sz w:val="20"/>
              </w:rPr>
              <w:t>三、国有资本经营预算拨款收入</w:t>
            </w:r>
          </w:p>
        </w:tc>
        <w:tc>
          <w:tcPr>
            <w:tcW w:w="3260" w:type="dxa"/>
            <w:gridSpan w:val="2"/>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p>
        </w:tc>
        <w:tc>
          <w:tcPr>
            <w:tcW w:w="3827" w:type="dxa"/>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r>
              <w:rPr>
                <w:rFonts w:ascii="宋体" w:eastAsia="宋体"/>
                <w:b w:val="0"/>
                <w:i w:val="0"/>
                <w:sz w:val="20"/>
              </w:rPr>
              <w:t>三、国有资本经营预算拨款收入</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rPr>
                <w:rFonts w:ascii="宋体" w:eastAsia="宋体"/>
                <w:b w:val="0"/>
                <w:i w:val="0"/>
                <w:sz w:val="20"/>
              </w:rPr>
            </w:pPr>
            <w:r>
              <w:rPr>
                <w:rFonts w:ascii="宋体" w:eastAsia="宋体"/>
                <w:b w:val="0"/>
                <w:i w:val="0"/>
                <w:sz w:val="20"/>
              </w:rPr>
              <w:t>四、事业收入</w:t>
            </w:r>
          </w:p>
        </w:tc>
        <w:tc>
          <w:tcPr>
            <w:tcW w:w="3260" w:type="dxa"/>
            <w:gridSpan w:val="2"/>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p>
        </w:tc>
        <w:tc>
          <w:tcPr>
            <w:tcW w:w="3827" w:type="dxa"/>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r>
              <w:rPr>
                <w:rFonts w:ascii="宋体" w:eastAsia="宋体"/>
                <w:b w:val="0"/>
                <w:i w:val="0"/>
                <w:sz w:val="20"/>
              </w:rPr>
              <w:t>四、事业收入</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rPr>
                <w:rFonts w:ascii="宋体" w:eastAsia="宋体"/>
                <w:b w:val="0"/>
                <w:i w:val="0"/>
                <w:sz w:val="20"/>
              </w:rPr>
            </w:pPr>
            <w:r>
              <w:rPr>
                <w:rFonts w:ascii="宋体" w:eastAsia="宋体"/>
                <w:b w:val="0"/>
                <w:i w:val="0"/>
                <w:sz w:val="20"/>
              </w:rPr>
              <w:t>五、事业单位经营收入</w:t>
            </w:r>
          </w:p>
        </w:tc>
        <w:tc>
          <w:tcPr>
            <w:tcW w:w="3260" w:type="dxa"/>
            <w:gridSpan w:val="2"/>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p>
        </w:tc>
        <w:tc>
          <w:tcPr>
            <w:tcW w:w="3827" w:type="dxa"/>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r>
              <w:rPr>
                <w:rFonts w:ascii="宋体" w:eastAsia="宋体"/>
                <w:b w:val="0"/>
                <w:i w:val="0"/>
                <w:sz w:val="20"/>
              </w:rPr>
              <w:t>五、事业单位经营收入</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rPr>
                <w:rFonts w:ascii="宋体" w:eastAsia="宋体"/>
                <w:b w:val="0"/>
                <w:i w:val="0"/>
                <w:sz w:val="20"/>
              </w:rPr>
            </w:pPr>
            <w:r>
              <w:rPr>
                <w:rFonts w:ascii="宋体" w:eastAsia="宋体"/>
                <w:b w:val="0"/>
                <w:i w:val="0"/>
                <w:sz w:val="20"/>
              </w:rPr>
              <w:t>六、其他收入</w:t>
            </w:r>
          </w:p>
        </w:tc>
        <w:tc>
          <w:tcPr>
            <w:tcW w:w="3260" w:type="dxa"/>
            <w:gridSpan w:val="2"/>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r>
              <w:rPr>
                <w:rFonts w:ascii="宋体" w:eastAsia="宋体"/>
                <w:b w:val="0"/>
                <w:i w:val="0"/>
                <w:sz w:val="20"/>
              </w:rPr>
              <w:t>1,621.80</w:t>
            </w:r>
          </w:p>
        </w:tc>
        <w:tc>
          <w:tcPr>
            <w:tcW w:w="3827" w:type="dxa"/>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r>
              <w:rPr>
                <w:rFonts w:ascii="宋体" w:eastAsia="宋体"/>
                <w:b w:val="0"/>
                <w:i w:val="0"/>
                <w:sz w:val="20"/>
              </w:rPr>
              <w:t>六、其他收入</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r>
              <w:rPr>
                <w:rFonts w:ascii="宋体" w:eastAsia="宋体"/>
                <w:b w:val="0"/>
                <w:i w:val="0"/>
                <w:sz w:val="20"/>
              </w:rPr>
              <w:t>1,621.80</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rPr>
                <w:rFonts w:ascii="宋体" w:eastAsia="宋体"/>
                <w:b w:val="0"/>
                <w:i w:val="0"/>
                <w:sz w:val="20"/>
              </w:rPr>
            </w:pPr>
          </w:p>
        </w:tc>
        <w:tc>
          <w:tcPr>
            <w:tcW w:w="3260" w:type="dxa"/>
            <w:gridSpan w:val="2"/>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p>
        </w:tc>
        <w:tc>
          <w:tcPr>
            <w:tcW w:w="3827" w:type="dxa"/>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p>
        </w:tc>
        <w:tc>
          <w:tcPr>
            <w:tcW w:w="3119" w:type="dxa"/>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rPr>
                <w:rFonts w:ascii="宋体" w:eastAsia="宋体"/>
                <w:b w:val="0"/>
                <w:i w:val="0"/>
                <w:sz w:val="20"/>
              </w:rPr>
            </w:pPr>
            <w:r>
              <w:rPr>
                <w:rFonts w:ascii="宋体" w:eastAsia="宋体"/>
                <w:b w:val="0"/>
                <w:i w:val="0"/>
                <w:sz w:val="20"/>
              </w:rPr>
              <w:t>本年收入合计</w:t>
            </w:r>
          </w:p>
        </w:tc>
        <w:tc>
          <w:tcPr>
            <w:tcW w:w="3260" w:type="dxa"/>
            <w:gridSpan w:val="2"/>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r>
              <w:rPr>
                <w:rFonts w:ascii="宋体" w:eastAsia="宋体"/>
                <w:b w:val="0"/>
                <w:i w:val="0"/>
                <w:sz w:val="20"/>
              </w:rPr>
              <w:t>11,443.87</w:t>
            </w:r>
          </w:p>
        </w:tc>
        <w:tc>
          <w:tcPr>
            <w:tcW w:w="3827" w:type="dxa"/>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r>
              <w:rPr>
                <w:rFonts w:ascii="宋体" w:eastAsia="宋体"/>
                <w:b w:val="0"/>
                <w:i w:val="0"/>
                <w:sz w:val="20"/>
              </w:rPr>
              <w:t>本年收入合计</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r>
              <w:rPr>
                <w:rFonts w:ascii="宋体" w:eastAsia="宋体"/>
                <w:b w:val="0"/>
                <w:i w:val="0"/>
                <w:sz w:val="20"/>
              </w:rPr>
              <w:t>11,443.87</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rPr>
                <w:rFonts w:ascii="宋体" w:eastAsia="宋体"/>
                <w:b w:val="0"/>
                <w:i w:val="0"/>
                <w:sz w:val="20"/>
              </w:rPr>
            </w:pPr>
            <w:r>
              <w:rPr>
                <w:rFonts w:ascii="宋体" w:eastAsia="宋体"/>
                <w:b w:val="0"/>
                <w:i w:val="0"/>
                <w:sz w:val="20"/>
              </w:rPr>
              <w:t>使用非财政拨款结余</w:t>
            </w:r>
          </w:p>
        </w:tc>
        <w:tc>
          <w:tcPr>
            <w:tcW w:w="3260" w:type="dxa"/>
            <w:gridSpan w:val="2"/>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p>
        </w:tc>
        <w:tc>
          <w:tcPr>
            <w:tcW w:w="3827" w:type="dxa"/>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r>
              <w:rPr>
                <w:rFonts w:ascii="宋体" w:eastAsia="宋体"/>
                <w:b w:val="0"/>
                <w:i w:val="0"/>
                <w:sz w:val="20"/>
              </w:rPr>
              <w:t>使用非财政拨款结余</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rPr>
                <w:rFonts w:ascii="宋体" w:eastAsia="宋体"/>
                <w:b w:val="0"/>
                <w:i w:val="0"/>
                <w:sz w:val="20"/>
              </w:rPr>
            </w:pPr>
            <w:r>
              <w:rPr>
                <w:rFonts w:ascii="宋体" w:eastAsia="宋体"/>
                <w:b w:val="0"/>
                <w:i w:val="0"/>
                <w:sz w:val="20"/>
              </w:rPr>
              <w:t>上年结转</w:t>
            </w:r>
          </w:p>
        </w:tc>
        <w:tc>
          <w:tcPr>
            <w:tcW w:w="3260" w:type="dxa"/>
            <w:gridSpan w:val="2"/>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r>
              <w:rPr>
                <w:rFonts w:ascii="宋体" w:eastAsia="宋体"/>
                <w:b w:val="0"/>
                <w:i w:val="0"/>
                <w:sz w:val="20"/>
              </w:rPr>
              <w:t>1,487.06</w:t>
            </w:r>
          </w:p>
        </w:tc>
        <w:tc>
          <w:tcPr>
            <w:tcW w:w="3827" w:type="dxa"/>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r>
              <w:rPr>
                <w:rFonts w:ascii="宋体" w:eastAsia="宋体"/>
                <w:b w:val="0"/>
                <w:i w:val="0"/>
                <w:sz w:val="20"/>
              </w:rPr>
              <w:t>上年结转</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r>
              <w:rPr>
                <w:rFonts w:ascii="宋体" w:eastAsia="宋体"/>
                <w:b w:val="0"/>
                <w:i w:val="0"/>
                <w:sz w:val="20"/>
              </w:rPr>
              <w:t>1,487.06</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rPr>
                <w:rFonts w:ascii="宋体" w:eastAsia="宋体"/>
                <w:b w:val="0"/>
                <w:i w:val="0"/>
                <w:sz w:val="20"/>
              </w:rPr>
            </w:pPr>
          </w:p>
        </w:tc>
        <w:tc>
          <w:tcPr>
            <w:tcW w:w="3260" w:type="dxa"/>
            <w:gridSpan w:val="2"/>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p>
        </w:tc>
        <w:tc>
          <w:tcPr>
            <w:tcW w:w="3827" w:type="dxa"/>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p>
        </w:tc>
        <w:tc>
          <w:tcPr>
            <w:tcW w:w="3119" w:type="dxa"/>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rPr>
                <w:rFonts w:ascii="宋体" w:eastAsia="宋体"/>
                <w:b w:val="0"/>
                <w:i w:val="0"/>
                <w:strike w:val="0"/>
                <w:dstrike w:val="0"/>
                <w:color w:val="auto"/>
                <w:sz w:val="20"/>
              </w:rPr>
            </w:pPr>
            <w:r>
              <w:rPr>
                <w:rFonts w:ascii="宋体" w:eastAsia="宋体"/>
                <w:b w:val="0"/>
                <w:i w:val="0"/>
                <w:strike w:val="0"/>
                <w:dstrike w:val="0"/>
                <w:color w:val="auto"/>
                <w:sz w:val="20"/>
              </w:rPr>
              <w:t>收    入    总    计</w:t>
            </w:r>
          </w:p>
        </w:tc>
        <w:tc>
          <w:tcPr>
            <w:tcW w:w="3260" w:type="dxa"/>
            <w:gridSpan w:val="2"/>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r>
              <w:rPr>
                <w:rFonts w:ascii="宋体" w:eastAsia="宋体"/>
                <w:b w:val="0"/>
                <w:i w:val="0"/>
                <w:sz w:val="20"/>
              </w:rPr>
              <w:t>12,930.93</w:t>
            </w:r>
          </w:p>
        </w:tc>
        <w:tc>
          <w:tcPr>
            <w:tcW w:w="3827" w:type="dxa"/>
            <w:tcBorders>
              <w:top w:val="nil"/>
              <w:left w:val="nil"/>
              <w:bottom w:val="single" w:sz="4" w:space="0" w:color="auto"/>
              <w:right w:val="single" w:sz="4" w:space="0" w:color="auto"/>
            </w:tcBorders>
            <w:shd w:val="clear" w:color="auto" w:fill="auto"/>
            <w:noWrap/>
            <w:vAlign w:val="center"/>
          </w:tcPr>
          <w:p>
            <w:pPr>
              <w:rPr>
                <w:rFonts w:ascii="宋体" w:eastAsia="宋体"/>
                <w:b w:val="0"/>
                <w:i w:val="0"/>
                <w:strike w:val="0"/>
                <w:dstrike w:val="0"/>
                <w:color w:val="auto"/>
                <w:sz w:val="20"/>
              </w:rPr>
            </w:pPr>
            <w:r>
              <w:rPr>
                <w:rFonts w:ascii="宋体" w:eastAsia="宋体"/>
                <w:b w:val="0"/>
                <w:i w:val="0"/>
                <w:strike w:val="0"/>
                <w:dstrike w:val="0"/>
                <w:color w:val="auto"/>
                <w:sz w:val="20"/>
              </w:rPr>
              <w:t>收    入    总    计</w:t>
            </w:r>
          </w:p>
        </w:tc>
        <w:tc>
          <w:tcPr>
            <w:tcW w:w="3119" w:type="dxa"/>
            <w:tcBorders>
              <w:top w:val="nil"/>
              <w:left w:val="nil"/>
              <w:bottom w:val="single" w:sz="4" w:space="0" w:color="auto"/>
              <w:right w:val="single" w:sz="4" w:space="0" w:color="auto"/>
            </w:tcBorders>
            <w:shd w:val="clear" w:color="auto" w:fill="auto"/>
            <w:noWrap/>
            <w:vAlign w:val="center"/>
          </w:tcPr>
          <w:p>
            <w:pPr>
              <w:rPr>
                <w:rFonts w:ascii="宋体" w:eastAsia="宋体"/>
                <w:b w:val="0"/>
                <w:i w:val="0"/>
                <w:sz w:val="20"/>
              </w:rPr>
            </w:pPr>
            <w:r>
              <w:rPr>
                <w:rFonts w:ascii="宋体" w:eastAsia="宋体"/>
                <w:b w:val="0"/>
                <w:i w:val="0"/>
                <w:sz w:val="20"/>
              </w:rPr>
              <w:t>12,930.93</w:t>
            </w:r>
          </w:p>
        </w:tc>
      </w:tr>
    </w:tbl>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tbl>
      <w:tblPr>
        <w:jc w:val="center"/>
        <w:tblW w:w="13804"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266"/>
        <w:gridCol w:w="1360"/>
        <w:gridCol w:w="1266"/>
        <w:gridCol w:w="880"/>
        <w:gridCol w:w="880"/>
        <w:gridCol w:w="1116"/>
        <w:gridCol w:w="1120"/>
        <w:gridCol w:w="1139"/>
        <w:gridCol w:w="1134"/>
        <w:gridCol w:w="1087"/>
        <w:gridCol w:w="1266"/>
        <w:gridCol w:w="1290"/>
      </w:tblGrid>
      <w:tr>
        <w:trPr>
          <w:trHeight w:val="270"/>
        </w:trPr>
        <w:tc>
          <w:tcPr>
            <w:tcW w:w="1266" w:type="dxa"/>
            <w:tcBorders>
              <w:top w:val="nil"/>
              <w:left w:val="nil"/>
              <w:bottom w:val="nil"/>
              <w:right w:val="nil"/>
            </w:tcBorders>
            <w:shd w:val="clear" w:color="auto" w:fill="auto"/>
            <w:noWrap/>
            <w:vAlign w:val="center"/>
          </w:tcPr>
          <w:p>
            <w:pPr>
              <w:widowControl/>
              <w:jc w:val="left"/>
              <w:rPr>
                <w:rFonts w:ascii="Times New Roman" w:cs="宋体" w:hAnsi="Times New Roman"/>
                <w:kern w:val="0"/>
                <w:sz w:val="24"/>
                <w:szCs w:val="24"/>
              </w:rPr>
            </w:pPr>
          </w:p>
        </w:tc>
        <w:tc>
          <w:tcPr>
            <w:tcW w:w="1360"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266"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880"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880"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116"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120"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139"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134"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087"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2556" w:type="dxa"/>
            <w:gridSpan w:val="2"/>
            <w:tcBorders>
              <w:top w:val="nil"/>
              <w:left w:val="nil"/>
              <w:bottom w:val="nil"/>
              <w:right w:val="nil"/>
            </w:tcBorders>
            <w:shd w:val="clear" w:color="auto" w:fill="auto"/>
            <w:noWrap/>
            <w:vAlign w:val="center"/>
          </w:tcPr>
          <w:p>
            <w:pPr>
              <w:widowControl/>
              <w:jc w:val="right"/>
              <w:rPr>
                <w:rFonts w:ascii="Times New Roman" w:eastAsia="黑体" w:cs="宋体" w:hAnsi="Times New Roman"/>
                <w:kern w:val="0"/>
                <w:sz w:val="20"/>
                <w:szCs w:val="20"/>
              </w:rPr>
            </w:pPr>
            <w:r>
              <w:rPr>
                <w:rFonts w:ascii="Times New Roman" w:eastAsia="黑体" w:cs="宋体" w:hAnsi="Times New Roman" w:hint="eastAsia"/>
                <w:kern w:val="0"/>
                <w:sz w:val="20"/>
                <w:szCs w:val="20"/>
              </w:rPr>
              <w:t>部门公开表2</w:t>
            </w:r>
          </w:p>
        </w:tc>
      </w:tr>
      <w:tr>
        <w:trPr>
          <w:trHeight w:val="405"/>
        </w:trPr>
        <w:tc>
          <w:tcPr>
            <w:tcW w:w="13804" w:type="dxa"/>
            <w:gridSpan w:val="12"/>
            <w:tcBorders>
              <w:top w:val="nil"/>
              <w:left w:val="nil"/>
              <w:bottom w:val="nil"/>
              <w:right w:val="nil"/>
            </w:tcBorders>
            <w:shd w:val="clear" w:color="auto" w:fill="auto"/>
            <w:noWrap/>
            <w:vAlign w:val="center"/>
          </w:tcPr>
          <w:p>
            <w:pPr>
              <w:widowControl/>
              <w:jc w:val="center"/>
              <w:rPr>
                <w:rFonts w:ascii="Times New Roman" w:cs="宋体" w:hAnsi="Times New Roman"/>
                <w:kern w:val="0"/>
                <w:sz w:val="36"/>
                <w:szCs w:val="36"/>
              </w:rPr>
            </w:pPr>
            <w:r>
              <w:rPr>
                <w:rFonts w:ascii="Times New Roman" w:cs="宋体" w:hAnsi="Times New Roman" w:hint="eastAsia"/>
                <w:kern w:val="0"/>
                <w:sz w:val="36"/>
                <w:szCs w:val="36"/>
              </w:rPr>
              <w:t>部门收入总表</w:t>
            </w:r>
          </w:p>
        </w:tc>
      </w:tr>
      <w:tr>
        <w:trPr>
          <w:trHeight w:val="270"/>
        </w:trPr>
        <w:tc>
          <w:tcPr>
            <w:tcW w:w="5652" w:type="dxa"/>
            <w:gridSpan w:val="5"/>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r>
              <w:rPr>
                <w:rFonts w:ascii="Times New Roman" w:cs="宋体" w:hAnsi="Times New Roman" w:hint="eastAsia"/>
                <w:color w:val="000000"/>
                <w:kern w:val="0"/>
                <w:sz w:val="18"/>
                <w:szCs w:val="18"/>
              </w:rPr>
              <w:t>单位名称：中华人民共和国呼和浩特海关本级</w:t>
            </w:r>
          </w:p>
        </w:tc>
        <w:tc>
          <w:tcPr>
            <w:tcW w:w="1116"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120"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139"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134"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087"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266"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290"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单位：万元</w:t>
            </w:r>
          </w:p>
        </w:tc>
      </w:tr>
    </w:tbl>
    <w:tbl>
      <w:tblPr>
        <w:jc w:val="left"/>
        <w:tblW w:w="4940" w:type="pct"/>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297"/>
        <w:gridCol w:w="952"/>
        <w:gridCol w:w="944"/>
        <w:gridCol w:w="807"/>
        <w:gridCol w:w="451"/>
        <w:gridCol w:w="725"/>
        <w:gridCol w:w="734"/>
        <w:gridCol w:w="809"/>
        <w:gridCol w:w="986"/>
        <w:gridCol w:w="944"/>
        <w:gridCol w:w="305"/>
        <w:gridCol w:w="627"/>
        <w:gridCol w:w="417"/>
        <w:gridCol w:w="633"/>
        <w:gridCol w:w="417"/>
        <w:gridCol w:w="734"/>
        <w:gridCol w:w="524"/>
        <w:gridCol w:w="1025"/>
        <w:gridCol w:w="667"/>
      </w:tblGrid>
      <w:tr>
        <w:trPr>
          <w:trHeight w:val="269"/>
        </w:trPr>
        <w:tc>
          <w:tcPr>
            <w:tcW w:w="463"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单位名称</w:t>
            </w:r>
          </w:p>
        </w:tc>
        <w:tc>
          <w:tcPr>
            <w:tcW w:w="340"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合计</w:t>
            </w:r>
          </w:p>
        </w:tc>
        <w:tc>
          <w:tcPr>
            <w:tcW w:w="1596"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上年结转</w:t>
            </w:r>
          </w:p>
        </w:tc>
        <w:tc>
          <w:tcPr>
            <w:tcW w:w="2361"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本年收入</w:t>
            </w:r>
          </w:p>
        </w:tc>
        <w:tc>
          <w:tcPr>
            <w:tcW w:w="238"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使用非财政拨款结余</w:t>
            </w:r>
          </w:p>
        </w:tc>
      </w:tr>
      <w:tr>
        <w:trPr>
          <w:trHeight w:val="269"/>
        </w:trPr>
        <w:tc>
          <w:tcPr>
            <w:tcW w:w="44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9"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7"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小计</w:t>
            </w:r>
          </w:p>
        </w:tc>
        <w:tc>
          <w:tcPr>
            <w:tcW w:w="288"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一般公共预算结转资金</w:t>
            </w:r>
          </w:p>
        </w:tc>
        <w:tc>
          <w:tcPr>
            <w:tcW w:w="161"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政府性基金预算结转资金</w:t>
            </w:r>
          </w:p>
        </w:tc>
        <w:tc>
          <w:tcPr>
            <w:tcW w:w="25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国有资本经营预算结转资金</w:t>
            </w:r>
          </w:p>
        </w:tc>
        <w:tc>
          <w:tcPr>
            <w:tcW w:w="26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财政专户管理资金</w:t>
            </w:r>
          </w:p>
        </w:tc>
        <w:tc>
          <w:tcPr>
            <w:tcW w:w="287"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其他资金</w:t>
            </w:r>
          </w:p>
        </w:tc>
        <w:tc>
          <w:tcPr>
            <w:tcW w:w="35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小计</w:t>
            </w:r>
          </w:p>
        </w:tc>
        <w:tc>
          <w:tcPr>
            <w:tcW w:w="337"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一般公共预算拨款</w:t>
            </w:r>
          </w:p>
        </w:tc>
        <w:tc>
          <w:tcPr>
            <w:tcW w:w="10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政府性基金预算拨款</w:t>
            </w:r>
          </w:p>
        </w:tc>
        <w:tc>
          <w:tcPr>
            <w:tcW w:w="224"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国有资本经营预算拨款</w:t>
            </w:r>
          </w:p>
        </w:tc>
        <w:tc>
          <w:tcPr>
            <w:tcW w:w="375"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事业收入</w:t>
            </w:r>
          </w:p>
        </w:tc>
        <w:tc>
          <w:tcPr>
            <w:tcW w:w="14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事业单位经营收入</w:t>
            </w:r>
          </w:p>
        </w:tc>
        <w:tc>
          <w:tcPr>
            <w:tcW w:w="26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strike w:val="0"/>
                <w:dstrike w:val="0"/>
                <w:color w:val="000000"/>
                <w:sz w:val="16"/>
              </w:rPr>
            </w:pPr>
            <w:r>
              <w:rPr>
                <w:rFonts w:ascii="宋体" w:eastAsia="宋体"/>
                <w:b w:val="0"/>
                <w:i w:val="0"/>
                <w:strike w:val="0"/>
                <w:dstrike w:val="0"/>
                <w:color w:val="000000"/>
                <w:sz w:val="16"/>
              </w:rPr>
              <w:t>上级补助</w:t>
              <w:br/>
              <w:t>收入</w:t>
            </w:r>
          </w:p>
        </w:tc>
        <w:tc>
          <w:tcPr>
            <w:tcW w:w="187"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strike w:val="0"/>
                <w:dstrike w:val="0"/>
                <w:color w:val="000000"/>
                <w:sz w:val="16"/>
              </w:rPr>
            </w:pPr>
            <w:r>
              <w:rPr>
                <w:rFonts w:ascii="宋体" w:eastAsia="宋体"/>
                <w:b w:val="0"/>
                <w:i w:val="0"/>
                <w:strike w:val="0"/>
                <w:dstrike w:val="0"/>
                <w:color w:val="000000"/>
                <w:sz w:val="16"/>
              </w:rPr>
              <w:t>附属单位</w:t>
              <w:br/>
              <w:t>上缴收入</w:t>
            </w:r>
          </w:p>
        </w:tc>
        <w:tc>
          <w:tcPr>
            <w:tcW w:w="361"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其他收入</w:t>
            </w:r>
          </w:p>
        </w:tc>
        <w:tc>
          <w:tcPr>
            <w:tcW w:w="113"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269"/>
        </w:trPr>
        <w:tc>
          <w:tcPr>
            <w:tcW w:w="44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9"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6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6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4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33"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9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25"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34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9"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01"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23"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4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金额</w:t>
            </w:r>
          </w:p>
        </w:tc>
        <w:tc>
          <w:tcPr>
            <w:tcW w:w="2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其中：财政专户</w:t>
            </w:r>
          </w:p>
        </w:tc>
        <w:tc>
          <w:tcPr>
            <w:tcW w:w="145"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25"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35"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13"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269"/>
        </w:trPr>
        <w:tc>
          <w:tcPr>
            <w:tcW w:w="463"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中华人民共和国呼和浩特海关本级本级</w:t>
            </w:r>
          </w:p>
        </w:tc>
        <w:tc>
          <w:tcPr>
            <w:tcW w:w="3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12,930.93</w:t>
            </w:r>
          </w:p>
        </w:tc>
        <w:tc>
          <w:tcPr>
            <w:tcW w:w="33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1,487.06</w:t>
            </w:r>
          </w:p>
        </w:tc>
        <w:tc>
          <w:tcPr>
            <w:tcW w:w="28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543.81</w:t>
            </w:r>
          </w:p>
        </w:tc>
        <w:tc>
          <w:tcPr>
            <w:tcW w:w="16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25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2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2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943.25</w:t>
            </w:r>
          </w:p>
        </w:tc>
        <w:tc>
          <w:tcPr>
            <w:tcW w:w="35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11,443.87</w:t>
            </w:r>
          </w:p>
        </w:tc>
        <w:tc>
          <w:tcPr>
            <w:tcW w:w="33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9,822.07</w:t>
            </w:r>
          </w:p>
        </w:tc>
        <w:tc>
          <w:tcPr>
            <w:tcW w:w="10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22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14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2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14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2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1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36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1,621.80</w:t>
            </w:r>
          </w:p>
        </w:tc>
        <w:tc>
          <w:tcPr>
            <w:tcW w:w="23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r>
      <w:tr>
        <w:trPr>
          <w:trHeight w:val="269"/>
        </w:trPr>
        <w:tc>
          <w:tcPr>
            <w:tcW w:w="46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sz w:val="16"/>
              </w:rPr>
            </w:pPr>
            <w:r>
              <w:rPr>
                <w:rFonts w:ascii="宋体" w:eastAsia="宋体"/>
                <w:b w:val="0"/>
                <w:i w:val="0"/>
                <w:sz w:val="16"/>
              </w:rPr>
              <w:t>合计</w:t>
            </w:r>
          </w:p>
        </w:tc>
        <w:tc>
          <w:tcPr>
            <w:tcW w:w="3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12,930.93</w:t>
            </w:r>
          </w:p>
        </w:tc>
        <w:tc>
          <w:tcPr>
            <w:tcW w:w="33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1,487.06</w:t>
            </w:r>
          </w:p>
        </w:tc>
        <w:tc>
          <w:tcPr>
            <w:tcW w:w="28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543.81</w:t>
            </w:r>
          </w:p>
        </w:tc>
        <w:tc>
          <w:tcPr>
            <w:tcW w:w="16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25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2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2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943.25</w:t>
            </w:r>
          </w:p>
        </w:tc>
        <w:tc>
          <w:tcPr>
            <w:tcW w:w="35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11,443.87</w:t>
            </w:r>
          </w:p>
        </w:tc>
        <w:tc>
          <w:tcPr>
            <w:tcW w:w="33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9,822.07</w:t>
            </w:r>
          </w:p>
        </w:tc>
        <w:tc>
          <w:tcPr>
            <w:tcW w:w="10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22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14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2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14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2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1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36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1,621.80</w:t>
            </w:r>
          </w:p>
        </w:tc>
        <w:tc>
          <w:tcPr>
            <w:tcW w:w="23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r>
    </w:tbl>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pPr>
    </w:p>
    <w:p>
      <w:pPr>
        <w:rPr>
          <w:rFonts w:ascii="Times New Roman" w:eastAsia="方正仿宋_GBK" w:hAnsi="Times New Roman"/>
          <w:sz w:val="32"/>
          <w:szCs w:val="32"/>
        </w:rPr>
      </w:pPr>
    </w:p>
    <w:p>
      <w:pPr>
        <w:rPr>
          <w:rFonts w:ascii="Times New Roman" w:eastAsia="方正仿宋_GBK" w:hAnsi="Times New Roman"/>
          <w:sz w:val="32"/>
          <w:szCs w:val="32"/>
        </w:rPr>
        <w:sectPr>
          <w:pgSz w:w="16838" w:h="11906" w:orient="landscape"/>
          <w:pgMar w:top="1800" w:right="1440" w:bottom="1800" w:left="1440" w:header="851" w:footer="992" w:gutter="0"/>
          <w:docGrid w:type="lines" w:linePitch="312" w:charSpace="0"/>
        </w:sectPr>
      </w:pPr>
    </w:p>
    <w:tbl>
      <w:tblPr>
        <w:jc w:val="center"/>
        <w:tblW w:w="10484"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0484"/>
      </w:tblGrid>
      <w:tr>
        <w:trPr>
          <w:trHeight w:val="319"/>
        </w:trPr>
        <w:tc>
          <w:tcPr>
            <w:tcW w:w="10484" w:type="dxa"/>
            <w:tcBorders>
              <w:top w:val="nil"/>
              <w:left w:val="nil"/>
              <w:bottom w:val="nil"/>
              <w:right w:val="nil"/>
            </w:tcBorders>
            <w:shd w:val="clear" w:color="auto" w:fill="auto"/>
            <w:noWrap/>
            <w:vAlign w:val="center"/>
          </w:tcPr>
          <w:p>
            <w:pPr>
              <w:widowControl/>
              <w:wordWrap w:val="0"/>
              <w:jc w:val="right"/>
              <w:rPr>
                <w:rFonts w:ascii="Times New Roman" w:eastAsia="黑体" w:cs="宋体" w:hAnsi="Times New Roman"/>
                <w:color w:val="000000"/>
                <w:kern w:val="0"/>
                <w:sz w:val="20"/>
                <w:szCs w:val="20"/>
              </w:rPr>
            </w:pPr>
            <w:r>
              <w:rPr>
                <w:rFonts w:ascii="Times New Roman" w:eastAsia="黑体" w:cs="宋体" w:hAnsi="Times New Roman"/>
                <w:color w:val="000000"/>
                <w:kern w:val="0"/>
                <w:sz w:val="20"/>
                <w:szCs w:val="20"/>
              </w:rPr>
              <w:t xml:space="preserve">      </w:t>
            </w:r>
            <w:r>
              <w:rPr>
                <w:rFonts w:ascii="Times New Roman" w:eastAsia="黑体" w:cs="宋体" w:hAnsi="Times New Roman" w:hint="eastAsia"/>
                <w:color w:val="000000"/>
                <w:kern w:val="0"/>
                <w:sz w:val="20"/>
                <w:szCs w:val="20"/>
              </w:rPr>
              <w:t xml:space="preserve"> 部门公开表3 </w:t>
            </w:r>
          </w:p>
        </w:tc>
      </w:tr>
      <w:tr>
        <w:trPr>
          <w:trHeight w:val="540"/>
        </w:trPr>
        <w:tc>
          <w:tcPr>
            <w:tcW w:w="10484" w:type="dxa"/>
            <w:tcBorders>
              <w:top w:val="nil"/>
              <w:left w:val="nil"/>
              <w:bottom w:val="nil"/>
              <w:right w:val="nil"/>
            </w:tcBorders>
            <w:shd w:val="clear" w:color="auto" w:fill="auto"/>
            <w:noWrap/>
            <w:vAlign w:val="center"/>
          </w:tcPr>
          <w:p>
            <w:pPr>
              <w:widowControl/>
              <w:jc w:val="center"/>
              <w:rPr>
                <w:rFonts w:ascii="Times New Roman" w:cs="宋体" w:hAnsi="Times New Roman"/>
                <w:color w:val="000000"/>
                <w:kern w:val="0"/>
                <w:sz w:val="36"/>
                <w:szCs w:val="36"/>
              </w:rPr>
            </w:pPr>
            <w:r>
              <w:rPr>
                <w:rFonts w:ascii="Times New Roman" w:cs="宋体" w:hAnsi="Times New Roman" w:hint="eastAsia"/>
                <w:color w:val="000000"/>
                <w:kern w:val="0"/>
                <w:sz w:val="36"/>
                <w:szCs w:val="36"/>
              </w:rPr>
              <w:t xml:space="preserve"> 部门支出总表 </w:t>
            </w:r>
          </w:p>
        </w:tc>
      </w:tr>
    </w:tbl>
    <w:tbl>
      <w:tblPr>
        <w:jc w:val="left"/>
        <w:tblW w:w="4869"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248"/>
        <w:gridCol w:w="3096"/>
        <w:gridCol w:w="1747"/>
        <w:gridCol w:w="1655"/>
        <w:gridCol w:w="1556"/>
        <w:gridCol w:w="1176"/>
        <w:gridCol w:w="1668"/>
        <w:gridCol w:w="1656"/>
      </w:tblGrid>
      <w:tr>
        <w:trPr>
          <w:trHeight w:val="269"/>
        </w:trPr>
        <w:tc>
          <w:tcPr>
            <w:tcW w:w="4430" w:type="pct"/>
            <w:gridSpan w:val="7"/>
            <w:tcBorders>
              <w:top w:val="nil"/>
              <w:left w:val="nil"/>
              <w:bottom w:val="nil"/>
              <w:right w:val="nil"/>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单位：中华人民共和国呼和浩特海关本级</w:t>
            </w:r>
          </w:p>
        </w:tc>
        <w:tc>
          <w:tcPr>
            <w:tcW w:w="569" w:type="pct"/>
            <w:tcBorders>
              <w:top w:val="nil"/>
              <w:left w:val="nil"/>
              <w:bottom w:val="nil"/>
              <w:right w:val="nil"/>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单位：万元</w:t>
            </w:r>
          </w:p>
        </w:tc>
      </w:tr>
      <w:tr>
        <w:trPr>
          <w:trHeight w:val="269"/>
        </w:trPr>
        <w:tc>
          <w:tcPr>
            <w:tcW w:w="45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科目代码</w:t>
            </w:r>
          </w:p>
        </w:tc>
        <w:tc>
          <w:tcPr>
            <w:tcW w:w="112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科目名称</w:t>
            </w:r>
          </w:p>
        </w:tc>
        <w:tc>
          <w:tcPr>
            <w:tcW w:w="6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合计</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基本支出</w:t>
            </w:r>
          </w:p>
        </w:tc>
        <w:tc>
          <w:tcPr>
            <w:tcW w:w="57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项目支出</w:t>
            </w:r>
          </w:p>
        </w:tc>
        <w:tc>
          <w:tcPr>
            <w:tcW w:w="4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上缴上级支出</w:t>
            </w:r>
          </w:p>
        </w:tc>
        <w:tc>
          <w:tcPr>
            <w:tcW w:w="60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事业单位经营支出</w:t>
            </w:r>
          </w:p>
        </w:tc>
        <w:tc>
          <w:tcPr>
            <w:tcW w:w="56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对附属单位补助支出</w:t>
            </w:r>
          </w:p>
        </w:tc>
      </w:tr>
      <w:tr>
        <w:trPr>
          <w:trHeight w:val="269"/>
        </w:trPr>
        <w:tc>
          <w:tcPr>
            <w:tcW w:w="457"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z w:val="16"/>
              </w:rPr>
            </w:pPr>
            <w:r>
              <w:rPr>
                <w:rFonts w:ascii="宋体" w:eastAsia="宋体"/>
                <w:b w:val="0"/>
                <w:i w:val="0"/>
                <w:sz w:val="16"/>
              </w:rPr>
              <w:t>201</w:t>
            </w:r>
          </w:p>
        </w:tc>
        <w:tc>
          <w:tcPr>
            <w:tcW w:w="1121"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z w:val="16"/>
              </w:rPr>
            </w:pPr>
            <w:r>
              <w:rPr>
                <w:rFonts w:ascii="宋体" w:eastAsia="宋体"/>
                <w:b w:val="0"/>
                <w:i w:val="0"/>
                <w:sz w:val="16"/>
              </w:rPr>
              <w:t>一般公共服务支出</w:t>
            </w:r>
          </w:p>
        </w:tc>
        <w:tc>
          <w:tcPr>
            <w:tcW w:w="6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9,898.11</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6,176.57</w:t>
            </w:r>
          </w:p>
        </w:tc>
        <w:tc>
          <w:tcPr>
            <w:tcW w:w="57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3,721.54</w:t>
            </w:r>
          </w:p>
        </w:tc>
        <w:tc>
          <w:tcPr>
            <w:tcW w:w="4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0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6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r>
      <w:tr>
        <w:trPr>
          <w:trHeight w:val="269"/>
        </w:trPr>
        <w:tc>
          <w:tcPr>
            <w:tcW w:w="457"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20109</w:t>
            </w:r>
          </w:p>
        </w:tc>
        <w:tc>
          <w:tcPr>
            <w:tcW w:w="1121"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海关事务</w:t>
            </w:r>
          </w:p>
        </w:tc>
        <w:tc>
          <w:tcPr>
            <w:tcW w:w="6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9,898.11</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6,176.57</w:t>
            </w:r>
          </w:p>
        </w:tc>
        <w:tc>
          <w:tcPr>
            <w:tcW w:w="57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3,721.54</w:t>
            </w:r>
          </w:p>
        </w:tc>
        <w:tc>
          <w:tcPr>
            <w:tcW w:w="4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0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6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r>
      <w:tr>
        <w:trPr>
          <w:trHeight w:val="269"/>
        </w:trPr>
        <w:tc>
          <w:tcPr>
            <w:tcW w:w="457"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2010901</w:t>
            </w:r>
          </w:p>
        </w:tc>
        <w:tc>
          <w:tcPr>
            <w:tcW w:w="1121"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行政运行</w:t>
            </w:r>
          </w:p>
        </w:tc>
        <w:tc>
          <w:tcPr>
            <w:tcW w:w="6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6,176.57</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6,176.57</w:t>
            </w:r>
          </w:p>
        </w:tc>
        <w:tc>
          <w:tcPr>
            <w:tcW w:w="57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4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0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6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r>
      <w:tr>
        <w:trPr>
          <w:trHeight w:val="269"/>
        </w:trPr>
        <w:tc>
          <w:tcPr>
            <w:tcW w:w="457"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2010902</w:t>
            </w:r>
          </w:p>
        </w:tc>
        <w:tc>
          <w:tcPr>
            <w:tcW w:w="1121"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一般行政管理事务</w:t>
            </w:r>
          </w:p>
        </w:tc>
        <w:tc>
          <w:tcPr>
            <w:tcW w:w="6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2,163.51</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7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2,163.51</w:t>
            </w:r>
          </w:p>
        </w:tc>
        <w:tc>
          <w:tcPr>
            <w:tcW w:w="4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0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6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r>
      <w:tr>
        <w:trPr>
          <w:trHeight w:val="269"/>
        </w:trPr>
        <w:tc>
          <w:tcPr>
            <w:tcW w:w="457"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2010905</w:t>
            </w:r>
          </w:p>
        </w:tc>
        <w:tc>
          <w:tcPr>
            <w:tcW w:w="1121"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缉私办案</w:t>
            </w:r>
          </w:p>
        </w:tc>
        <w:tc>
          <w:tcPr>
            <w:tcW w:w="6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8.00</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7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8.00</w:t>
            </w:r>
          </w:p>
        </w:tc>
        <w:tc>
          <w:tcPr>
            <w:tcW w:w="4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0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6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r>
      <w:tr>
        <w:trPr>
          <w:trHeight w:val="269"/>
        </w:trPr>
        <w:tc>
          <w:tcPr>
            <w:tcW w:w="457"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2010907</w:t>
            </w:r>
          </w:p>
        </w:tc>
        <w:tc>
          <w:tcPr>
            <w:tcW w:w="1121"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口岸管理</w:t>
            </w:r>
          </w:p>
        </w:tc>
        <w:tc>
          <w:tcPr>
            <w:tcW w:w="6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39.20</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7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39.20</w:t>
            </w:r>
          </w:p>
        </w:tc>
        <w:tc>
          <w:tcPr>
            <w:tcW w:w="4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0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6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r>
      <w:tr>
        <w:trPr>
          <w:trHeight w:val="269"/>
        </w:trPr>
        <w:tc>
          <w:tcPr>
            <w:tcW w:w="457"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2010908</w:t>
            </w:r>
          </w:p>
        </w:tc>
        <w:tc>
          <w:tcPr>
            <w:tcW w:w="1121"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信息化建设</w:t>
            </w:r>
          </w:p>
        </w:tc>
        <w:tc>
          <w:tcPr>
            <w:tcW w:w="6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380.50</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7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380.50</w:t>
            </w:r>
          </w:p>
        </w:tc>
        <w:tc>
          <w:tcPr>
            <w:tcW w:w="4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0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6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r>
      <w:tr>
        <w:trPr>
          <w:trHeight w:val="269"/>
        </w:trPr>
        <w:tc>
          <w:tcPr>
            <w:tcW w:w="457"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2010909</w:t>
            </w:r>
          </w:p>
        </w:tc>
        <w:tc>
          <w:tcPr>
            <w:tcW w:w="1121"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海关关务</w:t>
            </w:r>
          </w:p>
        </w:tc>
        <w:tc>
          <w:tcPr>
            <w:tcW w:w="6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954.30</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7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954.30</w:t>
            </w:r>
          </w:p>
        </w:tc>
        <w:tc>
          <w:tcPr>
            <w:tcW w:w="4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0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6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r>
      <w:tr>
        <w:trPr>
          <w:trHeight w:val="269"/>
        </w:trPr>
        <w:tc>
          <w:tcPr>
            <w:tcW w:w="457"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2010911</w:t>
            </w:r>
          </w:p>
        </w:tc>
        <w:tc>
          <w:tcPr>
            <w:tcW w:w="1121"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海关监管</w:t>
            </w:r>
          </w:p>
        </w:tc>
        <w:tc>
          <w:tcPr>
            <w:tcW w:w="6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149.42</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7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149.42</w:t>
            </w:r>
          </w:p>
        </w:tc>
        <w:tc>
          <w:tcPr>
            <w:tcW w:w="4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0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6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r>
      <w:tr>
        <w:trPr>
          <w:trHeight w:val="269"/>
        </w:trPr>
        <w:tc>
          <w:tcPr>
            <w:tcW w:w="457"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2010912</w:t>
            </w:r>
          </w:p>
        </w:tc>
        <w:tc>
          <w:tcPr>
            <w:tcW w:w="1121"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检验检疫</w:t>
            </w:r>
          </w:p>
        </w:tc>
        <w:tc>
          <w:tcPr>
            <w:tcW w:w="6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26.61</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7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26.61</w:t>
            </w:r>
          </w:p>
        </w:tc>
        <w:tc>
          <w:tcPr>
            <w:tcW w:w="4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0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6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r>
      <w:tr>
        <w:trPr>
          <w:trHeight w:val="269"/>
        </w:trPr>
        <w:tc>
          <w:tcPr>
            <w:tcW w:w="457"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z w:val="16"/>
              </w:rPr>
            </w:pPr>
            <w:r>
              <w:rPr>
                <w:rFonts w:ascii="宋体" w:eastAsia="宋体"/>
                <w:b w:val="0"/>
                <w:i w:val="0"/>
                <w:sz w:val="16"/>
              </w:rPr>
              <w:t>204</w:t>
            </w:r>
          </w:p>
        </w:tc>
        <w:tc>
          <w:tcPr>
            <w:tcW w:w="1121"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z w:val="16"/>
              </w:rPr>
            </w:pPr>
            <w:r>
              <w:rPr>
                <w:rFonts w:ascii="宋体" w:eastAsia="宋体"/>
                <w:b w:val="0"/>
                <w:i w:val="0"/>
                <w:sz w:val="16"/>
              </w:rPr>
              <w:t>公共安全支出</w:t>
            </w:r>
          </w:p>
        </w:tc>
        <w:tc>
          <w:tcPr>
            <w:tcW w:w="6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802.91</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600.62</w:t>
            </w:r>
          </w:p>
        </w:tc>
        <w:tc>
          <w:tcPr>
            <w:tcW w:w="57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202.29</w:t>
            </w:r>
          </w:p>
        </w:tc>
        <w:tc>
          <w:tcPr>
            <w:tcW w:w="4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0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6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r>
      <w:tr>
        <w:trPr>
          <w:trHeight w:val="269"/>
        </w:trPr>
        <w:tc>
          <w:tcPr>
            <w:tcW w:w="457"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20410</w:t>
            </w:r>
          </w:p>
        </w:tc>
        <w:tc>
          <w:tcPr>
            <w:tcW w:w="1121"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缉私警察</w:t>
            </w:r>
          </w:p>
        </w:tc>
        <w:tc>
          <w:tcPr>
            <w:tcW w:w="6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802.91</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600.62</w:t>
            </w:r>
          </w:p>
        </w:tc>
        <w:tc>
          <w:tcPr>
            <w:tcW w:w="57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202.29</w:t>
            </w:r>
          </w:p>
        </w:tc>
        <w:tc>
          <w:tcPr>
            <w:tcW w:w="4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0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6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r>
      <w:tr>
        <w:trPr>
          <w:trHeight w:val="269"/>
        </w:trPr>
        <w:tc>
          <w:tcPr>
            <w:tcW w:w="457"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2041001</w:t>
            </w:r>
          </w:p>
        </w:tc>
        <w:tc>
          <w:tcPr>
            <w:tcW w:w="1121"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行政运行</w:t>
            </w:r>
          </w:p>
        </w:tc>
        <w:tc>
          <w:tcPr>
            <w:tcW w:w="6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600.62</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600.62</w:t>
            </w:r>
          </w:p>
        </w:tc>
        <w:tc>
          <w:tcPr>
            <w:tcW w:w="57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4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0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6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r>
      <w:tr>
        <w:trPr>
          <w:trHeight w:val="269"/>
        </w:trPr>
        <w:tc>
          <w:tcPr>
            <w:tcW w:w="457"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2041006</w:t>
            </w:r>
          </w:p>
        </w:tc>
        <w:tc>
          <w:tcPr>
            <w:tcW w:w="1121"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信息化建设</w:t>
            </w:r>
          </w:p>
        </w:tc>
        <w:tc>
          <w:tcPr>
            <w:tcW w:w="6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72.30</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7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72.30</w:t>
            </w:r>
          </w:p>
        </w:tc>
        <w:tc>
          <w:tcPr>
            <w:tcW w:w="4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0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6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r>
      <w:tr>
        <w:trPr>
          <w:trHeight w:val="269"/>
        </w:trPr>
        <w:tc>
          <w:tcPr>
            <w:tcW w:w="457"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2041007</w:t>
            </w:r>
          </w:p>
        </w:tc>
        <w:tc>
          <w:tcPr>
            <w:tcW w:w="1121"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缉私业务</w:t>
            </w:r>
          </w:p>
        </w:tc>
        <w:tc>
          <w:tcPr>
            <w:tcW w:w="6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129.99</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7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129.99</w:t>
            </w:r>
          </w:p>
        </w:tc>
        <w:tc>
          <w:tcPr>
            <w:tcW w:w="4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0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6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r>
      <w:tr>
        <w:trPr>
          <w:trHeight w:val="269"/>
        </w:trPr>
        <w:tc>
          <w:tcPr>
            <w:tcW w:w="457"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z w:val="16"/>
              </w:rPr>
            </w:pPr>
            <w:r>
              <w:rPr>
                <w:rFonts w:ascii="宋体" w:eastAsia="宋体"/>
                <w:b w:val="0"/>
                <w:i w:val="0"/>
                <w:sz w:val="16"/>
              </w:rPr>
              <w:t>208</w:t>
            </w:r>
          </w:p>
        </w:tc>
        <w:tc>
          <w:tcPr>
            <w:tcW w:w="1121"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z w:val="16"/>
              </w:rPr>
            </w:pPr>
            <w:r>
              <w:rPr>
                <w:rFonts w:ascii="宋体" w:eastAsia="宋体"/>
                <w:b w:val="0"/>
                <w:i w:val="0"/>
                <w:sz w:val="16"/>
              </w:rPr>
              <w:t>社会保障和就业支出</w:t>
            </w:r>
          </w:p>
        </w:tc>
        <w:tc>
          <w:tcPr>
            <w:tcW w:w="6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878.88</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878.88</w:t>
            </w:r>
          </w:p>
        </w:tc>
        <w:tc>
          <w:tcPr>
            <w:tcW w:w="57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4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0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6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r>
      <w:tr>
        <w:trPr>
          <w:trHeight w:val="269"/>
        </w:trPr>
        <w:tc>
          <w:tcPr>
            <w:tcW w:w="457"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20805</w:t>
            </w:r>
          </w:p>
        </w:tc>
        <w:tc>
          <w:tcPr>
            <w:tcW w:w="1121"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行政事业单位养老支出</w:t>
            </w:r>
          </w:p>
        </w:tc>
        <w:tc>
          <w:tcPr>
            <w:tcW w:w="6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878.88</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878.88</w:t>
            </w:r>
          </w:p>
        </w:tc>
        <w:tc>
          <w:tcPr>
            <w:tcW w:w="57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4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0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6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r>
      <w:tr>
        <w:trPr>
          <w:trHeight w:val="269"/>
        </w:trPr>
        <w:tc>
          <w:tcPr>
            <w:tcW w:w="457"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2080501</w:t>
            </w:r>
          </w:p>
        </w:tc>
        <w:tc>
          <w:tcPr>
            <w:tcW w:w="1121"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行政单位离退休</w:t>
            </w:r>
          </w:p>
        </w:tc>
        <w:tc>
          <w:tcPr>
            <w:tcW w:w="6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171.66</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171.66</w:t>
            </w:r>
          </w:p>
        </w:tc>
        <w:tc>
          <w:tcPr>
            <w:tcW w:w="57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4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0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6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r>
      <w:tr>
        <w:trPr>
          <w:trHeight w:val="269"/>
        </w:trPr>
        <w:tc>
          <w:tcPr>
            <w:tcW w:w="457"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2080505</w:t>
            </w:r>
          </w:p>
        </w:tc>
        <w:tc>
          <w:tcPr>
            <w:tcW w:w="1121"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机关事业单位基本养老保险缴费支出</w:t>
            </w:r>
          </w:p>
        </w:tc>
        <w:tc>
          <w:tcPr>
            <w:tcW w:w="6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452.04</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452.04</w:t>
            </w:r>
          </w:p>
        </w:tc>
        <w:tc>
          <w:tcPr>
            <w:tcW w:w="57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4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0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6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r>
      <w:tr>
        <w:trPr>
          <w:trHeight w:val="269"/>
        </w:trPr>
        <w:tc>
          <w:tcPr>
            <w:tcW w:w="457"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2080506</w:t>
            </w:r>
          </w:p>
        </w:tc>
        <w:tc>
          <w:tcPr>
            <w:tcW w:w="1121"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机关事业单位职业年金缴费支出</w:t>
            </w:r>
          </w:p>
        </w:tc>
        <w:tc>
          <w:tcPr>
            <w:tcW w:w="6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255.18</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255.18</w:t>
            </w:r>
          </w:p>
        </w:tc>
        <w:tc>
          <w:tcPr>
            <w:tcW w:w="57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4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0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6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r>
      <w:tr>
        <w:trPr>
          <w:trHeight w:val="268"/>
        </w:trPr>
        <w:tc>
          <w:tcPr>
            <w:tcW w:w="457" w:type="pc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2"/>
              <w:jc w:val="center"/>
              <w:rPr>
                <w:rFonts w:ascii="宋体" w:eastAsia="宋体"/>
                <w:b w:val="0"/>
                <w:i w:val="0"/>
                <w:color w:val="000000"/>
                <w:sz w:val="16"/>
              </w:rPr>
            </w:pPr>
            <w:r>
              <w:rPr>
                <w:rFonts w:ascii="宋体" w:eastAsia="宋体"/>
                <w:b w:val="0"/>
                <w:i w:val="0"/>
                <w:color w:val="000000"/>
                <w:sz w:val="16"/>
              </w:rPr>
              <w:t>科目代码</w:t>
            </w:r>
          </w:p>
        </w:tc>
        <w:tc>
          <w:tcPr>
            <w:tcW w:w="1121" w:type="pc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3"/>
              <w:jc w:val="center"/>
              <w:rPr>
                <w:rFonts w:ascii="宋体" w:eastAsia="宋体"/>
                <w:b w:val="0"/>
                <w:i w:val="0"/>
                <w:color w:val="000000"/>
                <w:sz w:val="16"/>
              </w:rPr>
            </w:pPr>
            <w:r>
              <w:rPr>
                <w:rFonts w:ascii="宋体" w:eastAsia="宋体"/>
                <w:b w:val="0"/>
                <w:i w:val="0"/>
                <w:color w:val="000000"/>
                <w:sz w:val="16"/>
              </w:rPr>
              <w:t>科目名称</w:t>
            </w:r>
          </w:p>
        </w:tc>
        <w:tc>
          <w:tcPr>
            <w:tcW w:w="6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4"/>
              <w:jc w:val="center"/>
              <w:rPr>
                <w:rFonts w:ascii="宋体" w:eastAsia="宋体"/>
                <w:b w:val="0"/>
                <w:i w:val="0"/>
                <w:color w:val="000000"/>
                <w:sz w:val="16"/>
              </w:rPr>
            </w:pPr>
            <w:r>
              <w:rPr>
                <w:rFonts w:ascii="宋体" w:eastAsia="宋体"/>
                <w:b w:val="0"/>
                <w:i w:val="0"/>
                <w:color w:val="000000"/>
                <w:sz w:val="16"/>
              </w:rPr>
              <w:t>合计</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5"/>
              <w:jc w:val="center"/>
              <w:rPr>
                <w:rFonts w:ascii="宋体" w:eastAsia="宋体"/>
                <w:b w:val="0"/>
                <w:i w:val="0"/>
                <w:color w:val="000000"/>
                <w:sz w:val="16"/>
              </w:rPr>
            </w:pPr>
            <w:r>
              <w:rPr>
                <w:rFonts w:ascii="宋体" w:eastAsia="宋体"/>
                <w:b w:val="0"/>
                <w:i w:val="0"/>
                <w:color w:val="000000"/>
                <w:sz w:val="16"/>
              </w:rPr>
              <w:t>基本支出</w:t>
            </w:r>
          </w:p>
        </w:tc>
        <w:tc>
          <w:tcPr>
            <w:tcW w:w="570" w:type="pc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6"/>
              <w:jc w:val="center"/>
              <w:rPr>
                <w:rFonts w:ascii="宋体" w:eastAsia="宋体"/>
                <w:b w:val="0"/>
                <w:i w:val="0"/>
                <w:color w:val="000000"/>
                <w:sz w:val="16"/>
              </w:rPr>
            </w:pPr>
            <w:r>
              <w:rPr>
                <w:rFonts w:ascii="宋体" w:eastAsia="宋体"/>
                <w:b w:val="0"/>
                <w:i w:val="0"/>
                <w:color w:val="000000"/>
                <w:sz w:val="16"/>
              </w:rPr>
              <w:t>项目支出</w:t>
            </w:r>
          </w:p>
        </w:tc>
        <w:tc>
          <w:tcPr>
            <w:tcW w:w="4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7"/>
              <w:jc w:val="center"/>
              <w:rPr>
                <w:rFonts w:ascii="宋体" w:eastAsia="宋体"/>
                <w:b w:val="0"/>
                <w:i w:val="0"/>
                <w:color w:val="000000"/>
                <w:sz w:val="16"/>
              </w:rPr>
            </w:pPr>
            <w:r>
              <w:rPr>
                <w:rFonts w:ascii="宋体" w:eastAsia="宋体"/>
                <w:b w:val="0"/>
                <w:i w:val="0"/>
                <w:color w:val="000000"/>
                <w:sz w:val="16"/>
              </w:rPr>
              <w:t>上缴上级支出</w:t>
            </w:r>
          </w:p>
        </w:tc>
        <w:tc>
          <w:tcPr>
            <w:tcW w:w="607" w:type="pc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8"/>
              <w:jc w:val="center"/>
              <w:rPr>
                <w:rFonts w:ascii="宋体" w:eastAsia="宋体"/>
                <w:b w:val="0"/>
                <w:i w:val="0"/>
                <w:color w:val="000000"/>
                <w:sz w:val="16"/>
              </w:rPr>
            </w:pPr>
            <w:r>
              <w:rPr>
                <w:rFonts w:ascii="宋体" w:eastAsia="宋体"/>
                <w:b w:val="0"/>
                <w:i w:val="0"/>
                <w:color w:val="000000"/>
                <w:sz w:val="16"/>
              </w:rPr>
              <w:t>事业单位经营支出</w:t>
            </w:r>
          </w:p>
        </w:tc>
        <w:tc>
          <w:tcPr>
            <w:tcW w:w="569" w:type="pc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9"/>
              <w:jc w:val="center"/>
              <w:rPr>
                <w:rFonts w:ascii="宋体" w:eastAsia="宋体"/>
                <w:b w:val="0"/>
                <w:i w:val="0"/>
                <w:color w:val="000000"/>
                <w:sz w:val="16"/>
              </w:rPr>
            </w:pPr>
            <w:r>
              <w:rPr>
                <w:rFonts w:ascii="宋体" w:eastAsia="宋体"/>
                <w:b w:val="0"/>
                <w:i w:val="0"/>
                <w:color w:val="000000"/>
                <w:sz w:val="16"/>
              </w:rPr>
              <w:t>对附属单位补助支出</w:t>
            </w:r>
          </w:p>
        </w:tc>
      </w:tr>
      <w:tr>
        <w:trPr>
          <w:trHeight w:val="269"/>
        </w:trPr>
        <w:tc>
          <w:tcPr>
            <w:tcW w:w="457"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z w:val="16"/>
              </w:rPr>
            </w:pPr>
            <w:r>
              <w:rPr>
                <w:rFonts w:ascii="宋体" w:eastAsia="宋体"/>
                <w:b w:val="0"/>
                <w:i w:val="0"/>
                <w:sz w:val="16"/>
              </w:rPr>
              <w:t>210</w:t>
            </w:r>
          </w:p>
        </w:tc>
        <w:tc>
          <w:tcPr>
            <w:tcW w:w="1121"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z w:val="16"/>
              </w:rPr>
            </w:pPr>
            <w:r>
              <w:rPr>
                <w:rFonts w:ascii="宋体" w:eastAsia="宋体"/>
                <w:b w:val="0"/>
                <w:i w:val="0"/>
                <w:sz w:val="16"/>
              </w:rPr>
              <w:t>卫生健康支出</w:t>
            </w:r>
          </w:p>
        </w:tc>
        <w:tc>
          <w:tcPr>
            <w:tcW w:w="6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477.76</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477.76</w:t>
            </w:r>
          </w:p>
        </w:tc>
        <w:tc>
          <w:tcPr>
            <w:tcW w:w="57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4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0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6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r>
      <w:tr>
        <w:trPr>
          <w:trHeight w:val="269"/>
        </w:trPr>
        <w:tc>
          <w:tcPr>
            <w:tcW w:w="457"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21011</w:t>
            </w:r>
          </w:p>
        </w:tc>
        <w:tc>
          <w:tcPr>
            <w:tcW w:w="1121"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行政事业单位医疗</w:t>
            </w:r>
          </w:p>
        </w:tc>
        <w:tc>
          <w:tcPr>
            <w:tcW w:w="6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477.76</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477.76</w:t>
            </w:r>
          </w:p>
        </w:tc>
        <w:tc>
          <w:tcPr>
            <w:tcW w:w="57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4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0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6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r>
      <w:tr>
        <w:trPr>
          <w:trHeight w:val="269"/>
        </w:trPr>
        <w:tc>
          <w:tcPr>
            <w:tcW w:w="457"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2101101</w:t>
            </w:r>
          </w:p>
        </w:tc>
        <w:tc>
          <w:tcPr>
            <w:tcW w:w="1121"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行政单位医疗</w:t>
            </w:r>
          </w:p>
        </w:tc>
        <w:tc>
          <w:tcPr>
            <w:tcW w:w="6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260.54</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260.54</w:t>
            </w:r>
          </w:p>
        </w:tc>
        <w:tc>
          <w:tcPr>
            <w:tcW w:w="57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4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0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6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r>
      <w:tr>
        <w:trPr>
          <w:trHeight w:val="269"/>
        </w:trPr>
        <w:tc>
          <w:tcPr>
            <w:tcW w:w="457"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2101103</w:t>
            </w:r>
          </w:p>
        </w:tc>
        <w:tc>
          <w:tcPr>
            <w:tcW w:w="1121"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公务员医疗补助</w:t>
            </w:r>
          </w:p>
        </w:tc>
        <w:tc>
          <w:tcPr>
            <w:tcW w:w="6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211.42</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211.42</w:t>
            </w:r>
          </w:p>
        </w:tc>
        <w:tc>
          <w:tcPr>
            <w:tcW w:w="57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4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0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6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r>
      <w:tr>
        <w:trPr>
          <w:trHeight w:val="269"/>
        </w:trPr>
        <w:tc>
          <w:tcPr>
            <w:tcW w:w="457"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2101199</w:t>
            </w:r>
          </w:p>
        </w:tc>
        <w:tc>
          <w:tcPr>
            <w:tcW w:w="1121"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其他行政事业单位医疗支出</w:t>
            </w:r>
          </w:p>
        </w:tc>
        <w:tc>
          <w:tcPr>
            <w:tcW w:w="6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5.80</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5.80</w:t>
            </w:r>
          </w:p>
        </w:tc>
        <w:tc>
          <w:tcPr>
            <w:tcW w:w="57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4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0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6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r>
      <w:tr>
        <w:trPr>
          <w:trHeight w:val="269"/>
        </w:trPr>
        <w:tc>
          <w:tcPr>
            <w:tcW w:w="457"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z w:val="16"/>
              </w:rPr>
            </w:pPr>
            <w:r>
              <w:rPr>
                <w:rFonts w:ascii="宋体" w:eastAsia="宋体"/>
                <w:b w:val="0"/>
                <w:i w:val="0"/>
                <w:sz w:val="16"/>
              </w:rPr>
              <w:t>221</w:t>
            </w:r>
          </w:p>
        </w:tc>
        <w:tc>
          <w:tcPr>
            <w:tcW w:w="1121"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z w:val="16"/>
              </w:rPr>
            </w:pPr>
            <w:r>
              <w:rPr>
                <w:rFonts w:ascii="宋体" w:eastAsia="宋体"/>
                <w:b w:val="0"/>
                <w:i w:val="0"/>
                <w:sz w:val="16"/>
              </w:rPr>
              <w:t>住房保障支出</w:t>
            </w:r>
          </w:p>
        </w:tc>
        <w:tc>
          <w:tcPr>
            <w:tcW w:w="6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873.27</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873.27</w:t>
            </w:r>
          </w:p>
        </w:tc>
        <w:tc>
          <w:tcPr>
            <w:tcW w:w="57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4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0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6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r>
      <w:tr>
        <w:trPr>
          <w:trHeight w:val="269"/>
        </w:trPr>
        <w:tc>
          <w:tcPr>
            <w:tcW w:w="457"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22102</w:t>
            </w:r>
          </w:p>
        </w:tc>
        <w:tc>
          <w:tcPr>
            <w:tcW w:w="1121"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住房改革支出</w:t>
            </w:r>
          </w:p>
        </w:tc>
        <w:tc>
          <w:tcPr>
            <w:tcW w:w="6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873.27</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873.27</w:t>
            </w:r>
          </w:p>
        </w:tc>
        <w:tc>
          <w:tcPr>
            <w:tcW w:w="57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4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0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6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r>
      <w:tr>
        <w:trPr>
          <w:trHeight w:val="269"/>
        </w:trPr>
        <w:tc>
          <w:tcPr>
            <w:tcW w:w="457"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2210201</w:t>
            </w:r>
          </w:p>
        </w:tc>
        <w:tc>
          <w:tcPr>
            <w:tcW w:w="1121"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住房公积金</w:t>
            </w:r>
          </w:p>
        </w:tc>
        <w:tc>
          <w:tcPr>
            <w:tcW w:w="6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598.78</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598.78</w:t>
            </w:r>
          </w:p>
        </w:tc>
        <w:tc>
          <w:tcPr>
            <w:tcW w:w="57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4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0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6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r>
      <w:tr>
        <w:trPr>
          <w:trHeight w:val="269"/>
        </w:trPr>
        <w:tc>
          <w:tcPr>
            <w:tcW w:w="457"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2210203</w:t>
            </w:r>
          </w:p>
        </w:tc>
        <w:tc>
          <w:tcPr>
            <w:tcW w:w="1121"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trike w:val="0"/>
                <w:dstrike w:val="0"/>
                <w:color w:val="auto"/>
                <w:sz w:val="16"/>
              </w:rPr>
            </w:pPr>
            <w:r>
              <w:rPr>
                <w:rFonts w:ascii="宋体" w:eastAsia="宋体"/>
                <w:b w:val="0"/>
                <w:i w:val="0"/>
                <w:strike w:val="0"/>
                <w:dstrike w:val="0"/>
                <w:color w:val="auto"/>
                <w:sz w:val="16"/>
              </w:rPr>
              <w:t xml:space="preserve">    购房补贴</w:t>
            </w:r>
          </w:p>
        </w:tc>
        <w:tc>
          <w:tcPr>
            <w:tcW w:w="6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274.49</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274.49</w:t>
            </w:r>
          </w:p>
        </w:tc>
        <w:tc>
          <w:tcPr>
            <w:tcW w:w="57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4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0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56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r>
      <w:tr>
        <w:trPr>
          <w:trHeight w:val="269"/>
        </w:trPr>
        <w:tc>
          <w:tcPr>
            <w:tcW w:w="45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i w:val="0"/>
                <w:sz w:val="16"/>
              </w:rPr>
            </w:pPr>
          </w:p>
        </w:tc>
        <w:tc>
          <w:tcPr>
            <w:tcW w:w="112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i w:val="0"/>
                <w:strike w:val="0"/>
                <w:dstrike w:val="0"/>
                <w:color w:val="auto"/>
                <w:sz w:val="16"/>
              </w:rPr>
            </w:pPr>
            <w:r>
              <w:rPr>
                <w:rFonts w:ascii="宋体" w:eastAsia="宋体"/>
                <w:b/>
                <w:i w:val="0"/>
                <w:strike w:val="0"/>
                <w:dstrike w:val="0"/>
                <w:color w:val="auto"/>
                <w:sz w:val="16"/>
              </w:rPr>
              <w:t>合        计</w:t>
            </w:r>
          </w:p>
        </w:tc>
        <w:tc>
          <w:tcPr>
            <w:tcW w:w="6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i w:val="0"/>
                <w:sz w:val="16"/>
              </w:rPr>
            </w:pPr>
            <w:r>
              <w:rPr>
                <w:rFonts w:ascii="宋体" w:eastAsia="宋体"/>
                <w:b/>
                <w:i w:val="0"/>
                <w:sz w:val="16"/>
              </w:rPr>
              <w:t>12,930.93</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i w:val="0"/>
                <w:sz w:val="16"/>
              </w:rPr>
            </w:pPr>
            <w:r>
              <w:rPr>
                <w:rFonts w:ascii="宋体" w:eastAsia="宋体"/>
                <w:b/>
                <w:i w:val="0"/>
                <w:sz w:val="16"/>
              </w:rPr>
              <w:t>9,007.10</w:t>
            </w:r>
          </w:p>
        </w:tc>
        <w:tc>
          <w:tcPr>
            <w:tcW w:w="57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i w:val="0"/>
                <w:sz w:val="16"/>
              </w:rPr>
            </w:pPr>
            <w:r>
              <w:rPr>
                <w:rFonts w:ascii="宋体" w:eastAsia="宋体"/>
                <w:b/>
                <w:i w:val="0"/>
                <w:sz w:val="16"/>
              </w:rPr>
              <w:t>3,923.83</w:t>
            </w:r>
          </w:p>
        </w:tc>
        <w:tc>
          <w:tcPr>
            <w:tcW w:w="4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i w:val="0"/>
                <w:sz w:val="16"/>
              </w:rPr>
            </w:pPr>
          </w:p>
        </w:tc>
        <w:tc>
          <w:tcPr>
            <w:tcW w:w="60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i w:val="0"/>
                <w:sz w:val="16"/>
              </w:rPr>
            </w:pPr>
          </w:p>
        </w:tc>
        <w:tc>
          <w:tcPr>
            <w:tcW w:w="56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i w:val="0"/>
                <w:sz w:val="16"/>
              </w:rPr>
            </w:pPr>
          </w:p>
        </w:tc>
      </w:tr>
    </w:tbl>
    <w:tbl>
      <w:tblPr>
        <w:jc w:val="center"/>
        <w:tblW w:w="13892"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253"/>
        <w:gridCol w:w="2693"/>
        <w:gridCol w:w="4253"/>
        <w:gridCol w:w="2693"/>
      </w:tblGrid>
      <w:tr>
        <w:trPr>
          <w:trHeight w:val="319"/>
        </w:trPr>
        <w:tc>
          <w:tcPr>
            <w:tcW w:w="11199" w:type="dxa"/>
            <w:gridSpan w:val="3"/>
            <w:tcBorders>
              <w:top w:val="nil"/>
              <w:left w:val="nil"/>
              <w:bottom w:val="nil"/>
              <w:right w:val="nil"/>
            </w:tcBorders>
            <w:shd w:val="clear" w:color="auto" w:fill="auto"/>
            <w:noWrap/>
            <w:vAlign w:val="center"/>
          </w:tcPr>
          <w:p>
            <w:pPr>
              <w:widowControl/>
              <w:jc w:val="left"/>
              <w:rPr>
                <w:rFonts w:ascii="Times New Roman" w:cs="宋体" w:hAnsi="Times New Roman"/>
                <w:kern w:val="0"/>
                <w:sz w:val="24"/>
                <w:szCs w:val="24"/>
              </w:rPr>
            </w:pPr>
          </w:p>
        </w:tc>
        <w:tc>
          <w:tcPr>
            <w:tcW w:w="2693" w:type="dxa"/>
            <w:tcBorders>
              <w:top w:val="nil"/>
              <w:left w:val="nil"/>
              <w:bottom w:val="nil"/>
              <w:right w:val="nil"/>
            </w:tcBorders>
            <w:shd w:val="clear" w:color="auto" w:fill="auto"/>
            <w:noWrap/>
            <w:vAlign w:val="center"/>
          </w:tcPr>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r>
              <w:rPr>
                <w:rFonts w:ascii="Times New Roman" w:eastAsia="黑体" w:cs="宋体" w:hAnsi="Times New Roman" w:hint="eastAsia"/>
                <w:color w:val="000000"/>
                <w:kern w:val="0"/>
                <w:sz w:val="20"/>
                <w:szCs w:val="20"/>
              </w:rPr>
              <w:t>部门公开表4</w:t>
            </w:r>
          </w:p>
        </w:tc>
      </w:tr>
      <w:tr>
        <w:trPr>
          <w:trHeight w:val="540"/>
        </w:trPr>
        <w:tc>
          <w:tcPr>
            <w:tcW w:w="13892" w:type="dxa"/>
            <w:gridSpan w:val="4"/>
            <w:tcBorders>
              <w:top w:val="nil"/>
              <w:left w:val="nil"/>
              <w:bottom w:val="nil"/>
              <w:right w:val="nil"/>
            </w:tcBorders>
            <w:shd w:val="clear" w:color="auto" w:fill="auto"/>
            <w:noWrap/>
            <w:vAlign w:val="center"/>
          </w:tcPr>
          <w:p>
            <w:pPr>
              <w:widowControl/>
              <w:jc w:val="center"/>
              <w:rPr>
                <w:rFonts w:ascii="Times New Roman" w:cs="宋体" w:hAnsi="Times New Roman"/>
                <w:color w:val="000000"/>
                <w:kern w:val="0"/>
                <w:sz w:val="36"/>
                <w:szCs w:val="36"/>
              </w:rPr>
            </w:pPr>
            <w:r>
              <w:rPr>
                <w:rFonts w:ascii="Times New Roman" w:cs="宋体" w:hAnsi="Times New Roman" w:hint="eastAsia"/>
                <w:color w:val="000000"/>
                <w:kern w:val="0"/>
                <w:sz w:val="36"/>
                <w:szCs w:val="36"/>
              </w:rPr>
              <w:t>财政拨款收支总表</w:t>
            </w:r>
          </w:p>
        </w:tc>
      </w:tr>
      <w:tr>
        <w:trPr>
          <w:trHeight w:val="360"/>
        </w:trPr>
        <w:tc>
          <w:tcPr>
            <w:tcW w:w="4253"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18"/>
                <w:szCs w:val="18"/>
              </w:rPr>
            </w:pPr>
            <w:r>
              <w:rPr>
                <w:rFonts w:ascii="Times New Roman" w:cs="宋体" w:hAnsi="Times New Roman" w:hint="eastAsia"/>
                <w:color w:val="000000"/>
                <w:kern w:val="0"/>
                <w:sz w:val="18"/>
                <w:szCs w:val="18"/>
              </w:rPr>
              <w:t>单位名称：中华人民共和国呼和浩特海关本级</w:t>
            </w:r>
          </w:p>
        </w:tc>
        <w:tc>
          <w:tcPr>
            <w:tcW w:w="2693"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4253"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2693" w:type="dxa"/>
            <w:tcBorders>
              <w:top w:val="nil"/>
              <w:left w:val="nil"/>
              <w:bottom w:val="nil"/>
              <w:right w:val="nil"/>
            </w:tcBorders>
            <w:shd w:val="clear" w:color="auto" w:fill="auto"/>
            <w:noWrap/>
            <w:vAlign w:val="center"/>
          </w:tcPr>
          <w:p>
            <w:pPr>
              <w:widowControl/>
              <w:jc w:val="right"/>
              <w:rPr>
                <w:rFonts w:ascii="Times New Roman" w:cs="宋体" w:hAnsi="Times New Roman"/>
                <w:color w:val="000000"/>
                <w:kern w:val="0"/>
                <w:sz w:val="18"/>
                <w:szCs w:val="18"/>
              </w:rPr>
            </w:pPr>
            <w:r>
              <w:rPr>
                <w:rFonts w:ascii="Times New Roman" w:cs="宋体" w:hAnsi="Times New Roman" w:hint="eastAsia"/>
                <w:color w:val="000000"/>
                <w:kern w:val="0"/>
                <w:sz w:val="18"/>
                <w:szCs w:val="18"/>
              </w:rPr>
              <w:t>单位：万元</w:t>
            </w:r>
          </w:p>
        </w:tc>
      </w:tr>
    </w:tbl>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609"/>
        <w:gridCol w:w="2897"/>
        <w:gridCol w:w="3439"/>
        <w:gridCol w:w="3226"/>
      </w:tblGrid>
      <w:tr>
        <w:trPr>
          <w:trHeight w:val="269"/>
        </w:trPr>
        <w:tc>
          <w:tcPr>
            <w:tcW w:w="264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strike w:val="0"/>
                <w:dstrike w:val="0"/>
                <w:color w:val="000000"/>
                <w:sz w:val="20"/>
              </w:rPr>
            </w:pPr>
            <w:r>
              <w:rPr>
                <w:rFonts w:ascii="宋体" w:eastAsia="宋体"/>
                <w:b w:val="0"/>
                <w:i w:val="0"/>
                <w:strike w:val="0"/>
                <w:dstrike w:val="0"/>
                <w:color w:val="000000"/>
                <w:sz w:val="20"/>
              </w:rPr>
              <w:t>收      入</w:t>
            </w:r>
          </w:p>
        </w:tc>
        <w:tc>
          <w:tcPr>
            <w:tcW w:w="2351"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strike w:val="0"/>
                <w:dstrike w:val="0"/>
                <w:color w:val="000000"/>
                <w:sz w:val="20"/>
              </w:rPr>
            </w:pPr>
            <w:r>
              <w:rPr>
                <w:rFonts w:ascii="宋体" w:eastAsia="宋体"/>
                <w:b w:val="0"/>
                <w:i w:val="0"/>
                <w:strike w:val="0"/>
                <w:dstrike w:val="0"/>
                <w:color w:val="000000"/>
                <w:sz w:val="20"/>
              </w:rPr>
              <w:t>支      出</w:t>
            </w:r>
          </w:p>
        </w:tc>
      </w:tr>
      <w:tr>
        <w:trPr>
          <w:trHeight w:val="269"/>
        </w:trPr>
        <w:tc>
          <w:tcPr>
            <w:tcW w:w="162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strike w:val="0"/>
                <w:dstrike w:val="0"/>
                <w:color w:val="000000"/>
                <w:sz w:val="20"/>
              </w:rPr>
            </w:pPr>
            <w:r>
              <w:rPr>
                <w:rFonts w:ascii="宋体" w:eastAsia="宋体"/>
                <w:b w:val="0"/>
                <w:i w:val="0"/>
                <w:strike w:val="0"/>
                <w:dstrike w:val="0"/>
                <w:color w:val="000000"/>
                <w:sz w:val="20"/>
              </w:rPr>
              <w:t>项    目</w:t>
            </w:r>
          </w:p>
        </w:tc>
        <w:tc>
          <w:tcPr>
            <w:tcW w:w="102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20"/>
              </w:rPr>
            </w:pPr>
            <w:r>
              <w:rPr>
                <w:rFonts w:ascii="宋体" w:eastAsia="宋体"/>
                <w:b w:val="0"/>
                <w:i w:val="0"/>
                <w:color w:val="000000"/>
                <w:sz w:val="20"/>
              </w:rPr>
              <w:t>预算数</w:t>
            </w:r>
          </w:p>
        </w:tc>
        <w:tc>
          <w:tcPr>
            <w:tcW w:w="121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strike w:val="0"/>
                <w:dstrike w:val="0"/>
                <w:color w:val="000000"/>
                <w:sz w:val="20"/>
              </w:rPr>
            </w:pPr>
            <w:r>
              <w:rPr>
                <w:rFonts w:ascii="宋体" w:eastAsia="宋体"/>
                <w:b w:val="0"/>
                <w:i w:val="0"/>
                <w:strike w:val="0"/>
                <w:dstrike w:val="0"/>
                <w:color w:val="000000"/>
                <w:sz w:val="20"/>
              </w:rPr>
              <w:t>项    目</w:t>
            </w:r>
          </w:p>
        </w:tc>
        <w:tc>
          <w:tcPr>
            <w:tcW w:w="113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20"/>
              </w:rPr>
            </w:pPr>
            <w:r>
              <w:rPr>
                <w:rFonts w:ascii="宋体" w:eastAsia="宋体"/>
                <w:b w:val="0"/>
                <w:i w:val="0"/>
                <w:color w:val="000000"/>
                <w:sz w:val="20"/>
              </w:rPr>
              <w:t>预算数</w:t>
            </w:r>
          </w:p>
        </w:tc>
      </w:tr>
      <w:tr>
        <w:trPr>
          <w:trHeight w:val="269"/>
        </w:trPr>
        <w:tc>
          <w:tcPr>
            <w:tcW w:w="1626"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8"/>
              </w:rPr>
            </w:pPr>
            <w:r>
              <w:rPr>
                <w:rFonts w:ascii="宋体" w:eastAsia="宋体"/>
                <w:b w:val="0"/>
                <w:i w:val="0"/>
                <w:color w:val="000000"/>
                <w:sz w:val="18"/>
              </w:rPr>
              <w:t>一、本年收入</w:t>
            </w:r>
          </w:p>
        </w:tc>
        <w:tc>
          <w:tcPr>
            <w:tcW w:w="102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8"/>
              </w:rPr>
            </w:pPr>
            <w:r>
              <w:rPr>
                <w:rFonts w:ascii="宋体" w:eastAsia="宋体"/>
                <w:b w:val="0"/>
                <w:i w:val="0"/>
                <w:color w:val="000000"/>
                <w:sz w:val="18"/>
              </w:rPr>
              <w:t>9,822.07</w:t>
            </w:r>
          </w:p>
        </w:tc>
        <w:tc>
          <w:tcPr>
            <w:tcW w:w="1213"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8"/>
              </w:rPr>
            </w:pPr>
            <w:r>
              <w:rPr>
                <w:rFonts w:ascii="宋体" w:eastAsia="宋体"/>
                <w:b w:val="0"/>
                <w:i w:val="0"/>
                <w:color w:val="000000"/>
                <w:sz w:val="18"/>
              </w:rPr>
              <w:t>一、本年支出</w:t>
            </w:r>
          </w:p>
        </w:tc>
        <w:tc>
          <w:tcPr>
            <w:tcW w:w="113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8"/>
              </w:rPr>
            </w:pPr>
            <w:r>
              <w:rPr>
                <w:rFonts w:ascii="宋体" w:eastAsia="宋体"/>
                <w:b w:val="0"/>
                <w:i w:val="0"/>
                <w:color w:val="000000"/>
                <w:sz w:val="18"/>
              </w:rPr>
              <w:t>10,365.88</w:t>
            </w:r>
          </w:p>
        </w:tc>
      </w:tr>
      <w:tr>
        <w:trPr>
          <w:trHeight w:val="269"/>
        </w:trPr>
        <w:tc>
          <w:tcPr>
            <w:tcW w:w="1626"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8"/>
              </w:rPr>
            </w:pPr>
            <w:r>
              <w:rPr>
                <w:rFonts w:ascii="宋体" w:eastAsia="宋体"/>
                <w:b w:val="0"/>
                <w:i w:val="0"/>
                <w:color w:val="000000"/>
                <w:sz w:val="18"/>
              </w:rPr>
              <w:t>（一）一般公共预算拨款</w:t>
            </w:r>
          </w:p>
        </w:tc>
        <w:tc>
          <w:tcPr>
            <w:tcW w:w="102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8"/>
              </w:rPr>
            </w:pPr>
            <w:r>
              <w:rPr>
                <w:rFonts w:ascii="宋体" w:eastAsia="宋体"/>
                <w:b w:val="0"/>
                <w:i w:val="0"/>
                <w:color w:val="000000"/>
                <w:sz w:val="18"/>
              </w:rPr>
              <w:t>9,822.07</w:t>
            </w:r>
          </w:p>
        </w:tc>
        <w:tc>
          <w:tcPr>
            <w:tcW w:w="1213"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8"/>
              </w:rPr>
            </w:pPr>
            <w:r>
              <w:rPr>
                <w:rFonts w:ascii="宋体" w:eastAsia="宋体"/>
                <w:b w:val="0"/>
                <w:i w:val="0"/>
                <w:color w:val="000000"/>
                <w:sz w:val="18"/>
              </w:rPr>
              <w:t>（一）一般公共服务支出</w:t>
            </w:r>
          </w:p>
        </w:tc>
        <w:tc>
          <w:tcPr>
            <w:tcW w:w="113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8"/>
              </w:rPr>
            </w:pPr>
            <w:r>
              <w:rPr>
                <w:rFonts w:ascii="宋体" w:eastAsia="宋体"/>
                <w:b w:val="0"/>
                <w:i w:val="0"/>
                <w:color w:val="000000"/>
                <w:sz w:val="18"/>
              </w:rPr>
              <w:t>7,358.05</w:t>
            </w:r>
          </w:p>
        </w:tc>
      </w:tr>
      <w:tr>
        <w:trPr>
          <w:trHeight w:val="269"/>
        </w:trPr>
        <w:tc>
          <w:tcPr>
            <w:tcW w:w="1626"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8"/>
              </w:rPr>
            </w:pPr>
            <w:r>
              <w:rPr>
                <w:rFonts w:ascii="宋体" w:eastAsia="宋体"/>
                <w:b w:val="0"/>
                <w:i w:val="0"/>
                <w:color w:val="000000"/>
                <w:sz w:val="18"/>
              </w:rPr>
              <w:t>（二）政府性基金预算拨款</w:t>
            </w:r>
          </w:p>
        </w:tc>
        <w:tc>
          <w:tcPr>
            <w:tcW w:w="102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8"/>
              </w:rPr>
            </w:pPr>
          </w:p>
        </w:tc>
        <w:tc>
          <w:tcPr>
            <w:tcW w:w="1213"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8"/>
              </w:rPr>
            </w:pPr>
            <w:r>
              <w:rPr>
                <w:rFonts w:ascii="宋体" w:eastAsia="宋体"/>
                <w:b w:val="0"/>
                <w:i w:val="0"/>
                <w:color w:val="000000"/>
                <w:sz w:val="18"/>
              </w:rPr>
              <w:t>（二）公共安全支出</w:t>
            </w:r>
          </w:p>
        </w:tc>
        <w:tc>
          <w:tcPr>
            <w:tcW w:w="113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8"/>
              </w:rPr>
            </w:pPr>
            <w:r>
              <w:rPr>
                <w:rFonts w:ascii="宋体" w:eastAsia="宋体"/>
                <w:b w:val="0"/>
                <w:i w:val="0"/>
                <w:color w:val="000000"/>
                <w:sz w:val="18"/>
              </w:rPr>
              <w:t>802.91</w:t>
            </w:r>
          </w:p>
        </w:tc>
      </w:tr>
      <w:tr>
        <w:trPr>
          <w:trHeight w:val="269"/>
        </w:trPr>
        <w:tc>
          <w:tcPr>
            <w:tcW w:w="1626"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8"/>
              </w:rPr>
            </w:pPr>
            <w:r>
              <w:rPr>
                <w:rFonts w:ascii="宋体" w:eastAsia="宋体"/>
                <w:b w:val="0"/>
                <w:i w:val="0"/>
                <w:color w:val="000000"/>
                <w:sz w:val="18"/>
              </w:rPr>
              <w:t>（三）国有资本经营预算拨款</w:t>
            </w:r>
          </w:p>
        </w:tc>
        <w:tc>
          <w:tcPr>
            <w:tcW w:w="102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8"/>
              </w:rPr>
            </w:pPr>
          </w:p>
        </w:tc>
        <w:tc>
          <w:tcPr>
            <w:tcW w:w="1213"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8"/>
              </w:rPr>
            </w:pPr>
            <w:r>
              <w:rPr>
                <w:rFonts w:ascii="宋体" w:eastAsia="宋体"/>
                <w:b w:val="0"/>
                <w:i w:val="0"/>
                <w:color w:val="000000"/>
                <w:sz w:val="18"/>
              </w:rPr>
              <w:t>（三）社会保障和就业支出</w:t>
            </w:r>
          </w:p>
        </w:tc>
        <w:tc>
          <w:tcPr>
            <w:tcW w:w="113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8"/>
              </w:rPr>
            </w:pPr>
            <w:r>
              <w:rPr>
                <w:rFonts w:ascii="宋体" w:eastAsia="宋体"/>
                <w:b w:val="0"/>
                <w:i w:val="0"/>
                <w:color w:val="000000"/>
                <w:sz w:val="18"/>
              </w:rPr>
              <w:t>878.88</w:t>
            </w:r>
          </w:p>
        </w:tc>
      </w:tr>
      <w:tr>
        <w:trPr>
          <w:trHeight w:val="269"/>
        </w:trPr>
        <w:tc>
          <w:tcPr>
            <w:tcW w:w="1626"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8"/>
              </w:rPr>
            </w:pPr>
          </w:p>
        </w:tc>
        <w:tc>
          <w:tcPr>
            <w:tcW w:w="102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8"/>
              </w:rPr>
            </w:pPr>
          </w:p>
        </w:tc>
        <w:tc>
          <w:tcPr>
            <w:tcW w:w="1213"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8"/>
              </w:rPr>
            </w:pPr>
          </w:p>
        </w:tc>
        <w:tc>
          <w:tcPr>
            <w:tcW w:w="113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8"/>
              </w:rPr>
            </w:pPr>
          </w:p>
        </w:tc>
      </w:tr>
      <w:tr>
        <w:trPr>
          <w:trHeight w:val="269"/>
        </w:trPr>
        <w:tc>
          <w:tcPr>
            <w:tcW w:w="1626"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8"/>
              </w:rPr>
            </w:pPr>
          </w:p>
        </w:tc>
        <w:tc>
          <w:tcPr>
            <w:tcW w:w="102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8"/>
              </w:rPr>
            </w:pPr>
          </w:p>
        </w:tc>
        <w:tc>
          <w:tcPr>
            <w:tcW w:w="1213"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8"/>
              </w:rPr>
            </w:pPr>
            <w:r>
              <w:rPr>
                <w:rFonts w:ascii="宋体" w:eastAsia="宋体"/>
                <w:b w:val="0"/>
                <w:i w:val="0"/>
                <w:color w:val="000000"/>
                <w:sz w:val="18"/>
              </w:rPr>
              <w:t>（四）卫生健康支出</w:t>
            </w:r>
          </w:p>
        </w:tc>
        <w:tc>
          <w:tcPr>
            <w:tcW w:w="113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8"/>
              </w:rPr>
            </w:pPr>
            <w:r>
              <w:rPr>
                <w:rFonts w:ascii="宋体" w:eastAsia="宋体"/>
                <w:b w:val="0"/>
                <w:i w:val="0"/>
                <w:color w:val="000000"/>
                <w:sz w:val="18"/>
              </w:rPr>
              <w:t>477.76</w:t>
            </w:r>
          </w:p>
        </w:tc>
      </w:tr>
      <w:tr>
        <w:trPr>
          <w:trHeight w:val="269"/>
        </w:trPr>
        <w:tc>
          <w:tcPr>
            <w:tcW w:w="1626"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8"/>
              </w:rPr>
            </w:pPr>
            <w:r>
              <w:rPr>
                <w:rFonts w:ascii="宋体" w:eastAsia="宋体"/>
                <w:b w:val="0"/>
                <w:i w:val="0"/>
                <w:color w:val="000000"/>
                <w:sz w:val="18"/>
              </w:rPr>
              <w:t>二、上年结转</w:t>
            </w:r>
          </w:p>
        </w:tc>
        <w:tc>
          <w:tcPr>
            <w:tcW w:w="102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8"/>
              </w:rPr>
            </w:pPr>
            <w:r>
              <w:rPr>
                <w:rFonts w:ascii="宋体" w:eastAsia="宋体"/>
                <w:b w:val="0"/>
                <w:i w:val="0"/>
                <w:color w:val="000000"/>
                <w:sz w:val="18"/>
              </w:rPr>
              <w:t>543.81</w:t>
            </w:r>
          </w:p>
        </w:tc>
        <w:tc>
          <w:tcPr>
            <w:tcW w:w="1213"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8"/>
              </w:rPr>
            </w:pPr>
            <w:r>
              <w:rPr>
                <w:rFonts w:ascii="宋体" w:eastAsia="宋体"/>
                <w:b w:val="0"/>
                <w:i w:val="0"/>
                <w:color w:val="000000"/>
                <w:sz w:val="18"/>
              </w:rPr>
              <w:t>（五）住房保障支出</w:t>
            </w:r>
          </w:p>
        </w:tc>
        <w:tc>
          <w:tcPr>
            <w:tcW w:w="113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8"/>
              </w:rPr>
            </w:pPr>
            <w:r>
              <w:rPr>
                <w:rFonts w:ascii="宋体" w:eastAsia="宋体"/>
                <w:b w:val="0"/>
                <w:i w:val="0"/>
                <w:color w:val="000000"/>
                <w:sz w:val="18"/>
              </w:rPr>
              <w:t>848.28</w:t>
            </w:r>
          </w:p>
        </w:tc>
      </w:tr>
      <w:tr>
        <w:trPr>
          <w:trHeight w:val="269"/>
        </w:trPr>
        <w:tc>
          <w:tcPr>
            <w:tcW w:w="1626"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8"/>
              </w:rPr>
            </w:pPr>
            <w:r>
              <w:rPr>
                <w:rFonts w:ascii="宋体" w:eastAsia="宋体"/>
                <w:b w:val="0"/>
                <w:i w:val="0"/>
                <w:color w:val="000000"/>
                <w:sz w:val="18"/>
              </w:rPr>
              <w:t>（一）一般公共预算拨款</w:t>
            </w:r>
          </w:p>
        </w:tc>
        <w:tc>
          <w:tcPr>
            <w:tcW w:w="102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8"/>
              </w:rPr>
            </w:pPr>
            <w:r>
              <w:rPr>
                <w:rFonts w:ascii="宋体" w:eastAsia="宋体"/>
                <w:b w:val="0"/>
                <w:i w:val="0"/>
                <w:color w:val="000000"/>
                <w:sz w:val="18"/>
              </w:rPr>
              <w:t>543.81</w:t>
            </w:r>
          </w:p>
        </w:tc>
        <w:tc>
          <w:tcPr>
            <w:tcW w:w="1213"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8"/>
              </w:rPr>
            </w:pPr>
          </w:p>
        </w:tc>
        <w:tc>
          <w:tcPr>
            <w:tcW w:w="113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8"/>
              </w:rPr>
            </w:pPr>
          </w:p>
        </w:tc>
      </w:tr>
      <w:tr>
        <w:trPr>
          <w:trHeight w:val="269"/>
        </w:trPr>
        <w:tc>
          <w:tcPr>
            <w:tcW w:w="1626"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8"/>
              </w:rPr>
            </w:pPr>
            <w:r>
              <w:rPr>
                <w:rFonts w:ascii="宋体" w:eastAsia="宋体"/>
                <w:b w:val="0"/>
                <w:i w:val="0"/>
                <w:color w:val="000000"/>
                <w:sz w:val="18"/>
              </w:rPr>
              <w:t>（二）政府性基金预算拨款</w:t>
            </w:r>
          </w:p>
        </w:tc>
        <w:tc>
          <w:tcPr>
            <w:tcW w:w="102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8"/>
              </w:rPr>
            </w:pPr>
          </w:p>
        </w:tc>
        <w:tc>
          <w:tcPr>
            <w:tcW w:w="1213"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8"/>
              </w:rPr>
            </w:pPr>
          </w:p>
        </w:tc>
        <w:tc>
          <w:tcPr>
            <w:tcW w:w="113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8"/>
              </w:rPr>
            </w:pPr>
          </w:p>
        </w:tc>
      </w:tr>
      <w:tr>
        <w:trPr>
          <w:trHeight w:val="269"/>
        </w:trPr>
        <w:tc>
          <w:tcPr>
            <w:tcW w:w="1626"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8"/>
              </w:rPr>
            </w:pPr>
            <w:r>
              <w:rPr>
                <w:rFonts w:ascii="宋体" w:eastAsia="宋体"/>
                <w:b w:val="0"/>
                <w:i w:val="0"/>
                <w:color w:val="000000"/>
                <w:sz w:val="18"/>
              </w:rPr>
              <w:t>（三）国有资本经营预算拨款</w:t>
            </w:r>
          </w:p>
        </w:tc>
        <w:tc>
          <w:tcPr>
            <w:tcW w:w="102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8"/>
              </w:rPr>
            </w:pPr>
          </w:p>
        </w:tc>
        <w:tc>
          <w:tcPr>
            <w:tcW w:w="1213"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8"/>
              </w:rPr>
            </w:pPr>
          </w:p>
        </w:tc>
        <w:tc>
          <w:tcPr>
            <w:tcW w:w="113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8"/>
              </w:rPr>
            </w:pPr>
          </w:p>
        </w:tc>
      </w:tr>
      <w:tr>
        <w:trPr>
          <w:trHeight w:val="269"/>
        </w:trPr>
        <w:tc>
          <w:tcPr>
            <w:tcW w:w="1626"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z w:val="20"/>
              </w:rPr>
            </w:pPr>
          </w:p>
        </w:tc>
        <w:tc>
          <w:tcPr>
            <w:tcW w:w="1022"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z w:val="20"/>
              </w:rPr>
            </w:pPr>
          </w:p>
        </w:tc>
        <w:tc>
          <w:tcPr>
            <w:tcW w:w="1213"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z w:val="20"/>
              </w:rPr>
            </w:pPr>
          </w:p>
        </w:tc>
        <w:tc>
          <w:tcPr>
            <w:tcW w:w="1138"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z w:val="20"/>
              </w:rPr>
            </w:pPr>
          </w:p>
        </w:tc>
      </w:tr>
      <w:tr>
        <w:trPr>
          <w:trHeight w:val="269"/>
        </w:trPr>
        <w:tc>
          <w:tcPr>
            <w:tcW w:w="1626"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z w:val="20"/>
              </w:rPr>
            </w:pPr>
          </w:p>
        </w:tc>
        <w:tc>
          <w:tcPr>
            <w:tcW w:w="1022"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z w:val="20"/>
              </w:rPr>
            </w:pPr>
          </w:p>
        </w:tc>
        <w:tc>
          <w:tcPr>
            <w:tcW w:w="1213"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z w:val="20"/>
              </w:rPr>
            </w:pPr>
          </w:p>
        </w:tc>
        <w:tc>
          <w:tcPr>
            <w:tcW w:w="1138"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z w:val="20"/>
              </w:rPr>
            </w:pPr>
          </w:p>
        </w:tc>
      </w:tr>
      <w:tr>
        <w:trPr>
          <w:trHeight w:val="269"/>
        </w:trPr>
        <w:tc>
          <w:tcPr>
            <w:tcW w:w="1626"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z w:val="20"/>
              </w:rPr>
            </w:pPr>
          </w:p>
        </w:tc>
        <w:tc>
          <w:tcPr>
            <w:tcW w:w="1022"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z w:val="20"/>
              </w:rPr>
            </w:pPr>
          </w:p>
        </w:tc>
        <w:tc>
          <w:tcPr>
            <w:tcW w:w="1213"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z w:val="20"/>
              </w:rPr>
            </w:pPr>
          </w:p>
        </w:tc>
        <w:tc>
          <w:tcPr>
            <w:tcW w:w="1138"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z w:val="20"/>
              </w:rPr>
            </w:pPr>
          </w:p>
        </w:tc>
      </w:tr>
      <w:tr>
        <w:trPr>
          <w:trHeight w:val="269"/>
        </w:trPr>
        <w:tc>
          <w:tcPr>
            <w:tcW w:w="162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strike w:val="0"/>
                <w:dstrike w:val="0"/>
                <w:color w:val="000000"/>
                <w:sz w:val="18"/>
              </w:rPr>
            </w:pPr>
            <w:r>
              <w:rPr>
                <w:rFonts w:ascii="宋体" w:eastAsia="宋体"/>
                <w:b w:val="0"/>
                <w:i w:val="0"/>
                <w:strike w:val="0"/>
                <w:dstrike w:val="0"/>
                <w:color w:val="000000"/>
                <w:sz w:val="18"/>
              </w:rPr>
              <w:t xml:space="preserve">     收    入    总    计</w:t>
            </w:r>
          </w:p>
        </w:tc>
        <w:tc>
          <w:tcPr>
            <w:tcW w:w="102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20"/>
              </w:rPr>
            </w:pPr>
            <w:r>
              <w:rPr>
                <w:rFonts w:ascii="宋体" w:eastAsia="宋体"/>
                <w:b w:val="0"/>
                <w:i w:val="0"/>
                <w:sz w:val="20"/>
              </w:rPr>
              <w:t>10,365.88</w:t>
            </w:r>
          </w:p>
        </w:tc>
        <w:tc>
          <w:tcPr>
            <w:tcW w:w="121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strike w:val="0"/>
                <w:dstrike w:val="0"/>
                <w:color w:val="auto"/>
                <w:sz w:val="20"/>
              </w:rPr>
            </w:pPr>
            <w:r>
              <w:rPr>
                <w:rFonts w:ascii="宋体" w:eastAsia="宋体"/>
                <w:b w:val="0"/>
                <w:i w:val="0"/>
                <w:strike w:val="0"/>
                <w:dstrike w:val="0"/>
                <w:color w:val="auto"/>
                <w:sz w:val="20"/>
              </w:rPr>
              <w:t xml:space="preserve">     支    出    总    计</w:t>
            </w:r>
          </w:p>
        </w:tc>
        <w:tc>
          <w:tcPr>
            <w:tcW w:w="113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20"/>
              </w:rPr>
            </w:pPr>
            <w:r>
              <w:rPr>
                <w:rFonts w:ascii="宋体" w:eastAsia="宋体"/>
                <w:b w:val="0"/>
                <w:i w:val="0"/>
                <w:sz w:val="20"/>
              </w:rPr>
              <w:t>10,365.88</w:t>
            </w:r>
          </w:p>
        </w:tc>
      </w:tr>
    </w:tbl>
    <w:p>
      <w:pPr>
        <w:jc w:val="left"/>
        <w:rPr>
          <w:rFonts w:ascii="Times New Roman" w:eastAsia="方正仿宋_GBK" w:hAnsi="Times New Roman"/>
          <w:sz w:val="32"/>
          <w:szCs w:val="32"/>
        </w:rPr>
      </w:pPr>
    </w:p>
    <w:p>
      <w:pPr>
        <w:jc w:val="left"/>
        <w:rPr>
          <w:rFonts w:ascii="黑体" w:eastAsia="黑体" w:cs="黑体"/>
          <w:kern w:val="0"/>
          <w:sz w:val="20"/>
          <w:szCs w:val="20"/>
        </w:rPr>
      </w:pPr>
    </w:p>
    <w:p>
      <w:pPr>
        <w:jc w:val="left"/>
        <w:rPr>
          <w:rFonts w:ascii="黑体" w:eastAsia="黑体" w:cs="黑体"/>
          <w:kern w:val="0"/>
          <w:sz w:val="20"/>
          <w:szCs w:val="20"/>
        </w:rPr>
      </w:pPr>
    </w:p>
    <w:p>
      <w:pPr>
        <w:ind w:firstLineChars="5850" w:firstLine="11700"/>
        <w:jc w:val="left"/>
        <w:rPr>
          <w:rFonts w:ascii="黑体" w:eastAsia="黑体" w:cs="黑体"/>
          <w:kern w:val="0"/>
          <w:sz w:val="20"/>
          <w:szCs w:val="20"/>
        </w:rPr>
      </w:pPr>
      <w:r>
        <w:rPr>
          <w:rFonts w:ascii="黑体" w:eastAsia="黑体" w:cs="黑体" w:hint="eastAsia"/>
          <w:kern w:val="0"/>
          <w:sz w:val="20"/>
          <w:szCs w:val="20"/>
        </w:rPr>
        <w:t>部门公开表5</w:t>
      </w:r>
    </w:p>
    <w:p>
      <w:pPr>
        <w:widowControl/>
        <w:jc w:val="center"/>
        <w:rPr>
          <w:rFonts w:ascii="Times New Roman" w:cs="宋体" w:hAnsi="Times New Roman" w:hint="eastAsia"/>
          <w:color w:val="000000"/>
          <w:kern w:val="0"/>
          <w:sz w:val="36"/>
          <w:szCs w:val="36"/>
        </w:rPr>
      </w:pPr>
      <w:r>
        <w:rPr>
          <w:rFonts w:ascii="Times New Roman" w:cs="宋体" w:hAnsi="Times New Roman" w:hint="eastAsia"/>
          <w:color w:val="000000"/>
          <w:kern w:val="0"/>
          <w:sz w:val="36"/>
          <w:szCs w:val="36"/>
        </w:rPr>
        <w:t>一般公共预算支出表</w:t>
      </w:r>
    </w:p>
    <w:tbl>
      <w:tblPr>
        <w:jc w:val="left"/>
        <w:tblInd w:w="0" w:type="dxa"/>
        <w:tblW w:w="4995" w:type="pct"/>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852"/>
        <w:gridCol w:w="2668"/>
        <w:gridCol w:w="1144"/>
        <w:gridCol w:w="1153"/>
        <w:gridCol w:w="1303"/>
        <w:gridCol w:w="1003"/>
        <w:gridCol w:w="946"/>
        <w:gridCol w:w="943"/>
        <w:gridCol w:w="1257"/>
        <w:gridCol w:w="1113"/>
        <w:gridCol w:w="799"/>
        <w:gridCol w:w="974"/>
      </w:tblGrid>
      <w:tr>
        <w:trPr>
          <w:trHeight w:val="269"/>
        </w:trPr>
        <w:tc>
          <w:tcPr>
            <w:tcW w:w="2054" w:type="pct"/>
            <w:gridSpan w:val="4"/>
            <w:tcBorders>
              <w:top w:val="nil"/>
              <w:left w:val="nil"/>
              <w:bottom w:val="single" w:sz="12" w:space="0" w:color="auto"/>
              <w:right w:val="nil"/>
              <w:tl2br w:val="nil"/>
              <w:tr2bl w:val="nil"/>
            </w:tcBorders>
            <w:noWrap/>
            <w:vAlign w:val="bottom"/>
          </w:tcPr>
          <w:p>
            <w:pPr>
              <w:rPr>
                <w:rFonts w:ascii="宋体" w:eastAsia="宋体"/>
                <w:b w:val="0"/>
                <w:i w:val="0"/>
                <w:color w:val="000000"/>
                <w:sz w:val="18"/>
              </w:rPr>
            </w:pPr>
            <w:r>
              <w:rPr>
                <w:rFonts w:ascii="宋体" w:eastAsia="宋体"/>
                <w:b w:val="0"/>
                <w:i w:val="0"/>
                <w:color w:val="000000"/>
                <w:sz w:val="18"/>
              </w:rPr>
              <w:t>单位名称：中华人民共和国呼和浩特海关本级</w:t>
            </w:r>
          </w:p>
        </w:tc>
        <w:tc>
          <w:tcPr>
            <w:tcW w:w="460" w:type="pct"/>
            <w:tcBorders>
              <w:top w:val="nil"/>
              <w:left w:val="nil"/>
              <w:bottom w:val="single" w:sz="12" w:space="0" w:color="auto"/>
              <w:right w:val="nil"/>
              <w:tl2br w:val="nil"/>
              <w:tr2bl w:val="nil"/>
            </w:tcBorders>
            <w:noWrap/>
            <w:vAlign w:val="bottom"/>
          </w:tcPr>
          <w:p>
            <w:pPr>
              <w:rPr>
                <w:rFonts w:ascii="宋体" w:eastAsia="宋体"/>
                <w:b w:val="0"/>
                <w:i w:val="0"/>
                <w:sz w:val="16"/>
              </w:rPr>
            </w:pPr>
          </w:p>
        </w:tc>
        <w:tc>
          <w:tcPr>
            <w:tcW w:w="354" w:type="pct"/>
            <w:tcBorders>
              <w:top w:val="nil"/>
              <w:left w:val="nil"/>
              <w:bottom w:val="single" w:sz="12" w:space="0" w:color="auto"/>
              <w:right w:val="nil"/>
              <w:tl2br w:val="nil"/>
              <w:tr2bl w:val="nil"/>
            </w:tcBorders>
            <w:noWrap/>
            <w:vAlign w:val="bottom"/>
          </w:tcPr>
          <w:p>
            <w:pPr>
              <w:rPr>
                <w:rFonts w:ascii="宋体" w:eastAsia="宋体"/>
                <w:b w:val="0"/>
                <w:i w:val="0"/>
                <w:sz w:val="16"/>
              </w:rPr>
            </w:pPr>
          </w:p>
        </w:tc>
        <w:tc>
          <w:tcPr>
            <w:tcW w:w="334" w:type="pct"/>
            <w:tcBorders>
              <w:top w:val="nil"/>
              <w:left w:val="nil"/>
              <w:bottom w:val="single" w:sz="12" w:space="0" w:color="auto"/>
              <w:right w:val="nil"/>
              <w:tl2br w:val="nil"/>
              <w:tr2bl w:val="nil"/>
            </w:tcBorders>
            <w:noWrap/>
            <w:vAlign w:val="bottom"/>
          </w:tcPr>
          <w:p>
            <w:pPr>
              <w:rPr>
                <w:rFonts w:ascii="宋体" w:eastAsia="宋体"/>
                <w:b w:val="0"/>
                <w:i w:val="0"/>
                <w:sz w:val="16"/>
              </w:rPr>
            </w:pPr>
          </w:p>
        </w:tc>
        <w:tc>
          <w:tcPr>
            <w:tcW w:w="333" w:type="pct"/>
            <w:tcBorders>
              <w:top w:val="nil"/>
              <w:left w:val="nil"/>
              <w:bottom w:val="single" w:sz="12" w:space="0" w:color="auto"/>
              <w:right w:val="nil"/>
              <w:tl2br w:val="nil"/>
              <w:tr2bl w:val="nil"/>
            </w:tcBorders>
            <w:noWrap/>
            <w:vAlign w:val="bottom"/>
          </w:tcPr>
          <w:p>
            <w:pPr>
              <w:rPr>
                <w:rFonts w:ascii="宋体" w:eastAsia="宋体"/>
                <w:b w:val="0"/>
                <w:i w:val="0"/>
                <w:sz w:val="16"/>
              </w:rPr>
            </w:pPr>
          </w:p>
        </w:tc>
        <w:tc>
          <w:tcPr>
            <w:tcW w:w="444" w:type="pct"/>
            <w:tcBorders>
              <w:top w:val="nil"/>
              <w:left w:val="nil"/>
              <w:bottom w:val="single" w:sz="12" w:space="0" w:color="auto"/>
              <w:right w:val="nil"/>
              <w:tl2br w:val="nil"/>
              <w:tr2bl w:val="nil"/>
            </w:tcBorders>
            <w:noWrap/>
            <w:vAlign w:val="bottom"/>
          </w:tcPr>
          <w:p>
            <w:pPr>
              <w:rPr>
                <w:rFonts w:ascii="宋体" w:eastAsia="宋体"/>
                <w:b w:val="0"/>
                <w:i w:val="0"/>
                <w:sz w:val="16"/>
              </w:rPr>
            </w:pPr>
          </w:p>
        </w:tc>
        <w:tc>
          <w:tcPr>
            <w:tcW w:w="393" w:type="pct"/>
            <w:tcBorders>
              <w:top w:val="nil"/>
              <w:left w:val="nil"/>
              <w:bottom w:val="nil"/>
              <w:right w:val="nil"/>
              <w:tl2br w:val="nil"/>
              <w:tr2bl w:val="nil"/>
            </w:tcBorders>
            <w:noWrap/>
            <w:vAlign w:val="bottom"/>
          </w:tcPr>
          <w:p>
            <w:pPr>
              <w:rPr>
                <w:rFonts w:ascii="Times New Roman" w:eastAsia="宋体" w:hAnsi="Times New Roman"/>
                <w:b w:val="0"/>
                <w:i w:val="0"/>
                <w:sz w:val="16"/>
              </w:rPr>
            </w:pPr>
          </w:p>
        </w:tc>
        <w:tc>
          <w:tcPr>
            <w:tcW w:w="282" w:type="pct"/>
            <w:tcBorders>
              <w:top w:val="nil"/>
              <w:left w:val="nil"/>
              <w:bottom w:val="single" w:sz="12" w:space="0" w:color="auto"/>
              <w:right w:val="nil"/>
              <w:tl2br w:val="nil"/>
              <w:tr2bl w:val="nil"/>
            </w:tcBorders>
            <w:noWrap/>
            <w:vAlign w:val="bottom"/>
          </w:tcPr>
          <w:p>
            <w:pPr>
              <w:rPr>
                <w:rFonts w:ascii="宋体" w:eastAsia="宋体"/>
                <w:b w:val="0"/>
                <w:i w:val="0"/>
                <w:sz w:val="16"/>
              </w:rPr>
            </w:pPr>
          </w:p>
        </w:tc>
        <w:tc>
          <w:tcPr>
            <w:tcW w:w="344" w:type="pct"/>
            <w:tcBorders>
              <w:top w:val="nil"/>
              <w:left w:val="nil"/>
              <w:bottom w:val="nil"/>
              <w:right w:val="nil"/>
              <w:tl2br w:val="nil"/>
              <w:tr2bl w:val="nil"/>
            </w:tcBorders>
            <w:noWrap/>
            <w:vAlign w:val="bottom"/>
          </w:tcPr>
          <w:p>
            <w:pPr>
              <w:jc w:val="right"/>
              <w:rPr>
                <w:rFonts w:ascii="宋体" w:eastAsia="宋体"/>
                <w:b w:val="0"/>
                <w:i w:val="0"/>
                <w:sz w:val="16"/>
              </w:rPr>
            </w:pPr>
            <w:r>
              <w:rPr>
                <w:rFonts w:ascii="宋体" w:eastAsia="宋体"/>
                <w:b w:val="0"/>
                <w:i w:val="0"/>
                <w:sz w:val="16"/>
              </w:rPr>
              <w:t>单位：万元</w:t>
            </w:r>
          </w:p>
        </w:tc>
      </w:tr>
      <w:tr>
        <w:trPr>
          <w:trHeight w:val="269"/>
        </w:trPr>
        <w:tc>
          <w:tcPr>
            <w:tcW w:w="1243" w:type="pct"/>
            <w:gridSpan w:val="2"/>
            <w:vMerge w:val="restart"/>
            <w:tcBorders>
              <w:top w:val="single" w:sz="12" w:space="0" w:color="auto"/>
              <w:left w:val="single" w:sz="12" w:space="0" w:color="auto"/>
              <w:bottom w:val="single" w:sz="12" w:space="0" w:color="000000"/>
              <w:right w:val="single" w:sz="12" w:space="0" w:color="000000"/>
              <w:tl2br w:val="nil"/>
              <w:tr2bl w:val="nil"/>
            </w:tcBorders>
            <w:noWrap/>
            <w:vAlign w:val="bottom"/>
          </w:tcPr>
          <w:p>
            <w:pPr>
              <w:jc w:val="center"/>
              <w:rPr>
                <w:rFonts w:ascii="宋体" w:eastAsia="宋体"/>
                <w:b w:val="0"/>
                <w:i w:val="0"/>
                <w:sz w:val="16"/>
              </w:rPr>
            </w:pPr>
            <w:r>
              <w:rPr>
                <w:rFonts w:ascii="宋体" w:eastAsia="宋体"/>
                <w:b w:val="0"/>
                <w:i w:val="0"/>
                <w:sz w:val="16"/>
              </w:rPr>
              <w:t>功能分类科目</w:t>
            </w:r>
          </w:p>
        </w:tc>
        <w:tc>
          <w:tcPr>
            <w:tcW w:w="811" w:type="pct"/>
            <w:gridSpan w:val="2"/>
            <w:vMerge w:val="restart"/>
            <w:tcBorders>
              <w:top w:val="single" w:sz="12" w:space="0" w:color="auto"/>
              <w:left w:val="single" w:sz="12" w:space="0" w:color="auto"/>
              <w:bottom w:val="single" w:sz="12" w:space="0" w:color="000000"/>
              <w:right w:val="single" w:sz="12" w:space="0" w:color="000000"/>
              <w:tl2br w:val="nil"/>
              <w:tr2bl w:val="nil"/>
            </w:tcBorders>
            <w:noWrap/>
            <w:vAlign w:val="bottom"/>
          </w:tcPr>
          <w:p>
            <w:pPr>
              <w:jc w:val="center"/>
              <w:rPr>
                <w:rFonts w:ascii="宋体" w:eastAsia="宋体"/>
                <w:b w:val="0"/>
                <w:i w:val="0"/>
                <w:strike w:val="0"/>
                <w:dstrike w:val="0"/>
                <w:color w:val="auto"/>
                <w:sz w:val="16"/>
              </w:rPr>
            </w:pPr>
            <w:r>
              <w:rPr>
                <w:rFonts w:ascii="Times New Roman" w:hAnsi="Times New Roman"/>
                <w:b w:val="0"/>
                <w:i w:val="0"/>
                <w:strike w:val="0"/>
                <w:dstrike w:val="0"/>
                <w:color w:val="auto"/>
                <w:sz w:val="16"/>
              </w:rPr>
              <w:t>2022</w:t>
            </w:r>
            <w:r>
              <w:rPr>
                <w:rFonts w:ascii="宋体" w:eastAsia="宋体"/>
                <w:b w:val="0"/>
                <w:i w:val="0"/>
                <w:strike w:val="0"/>
                <w:dstrike w:val="0"/>
                <w:color w:val="auto"/>
                <w:sz w:val="16"/>
              </w:rPr>
              <w:t>年执行数</w:t>
            </w:r>
          </w:p>
        </w:tc>
        <w:tc>
          <w:tcPr>
            <w:tcW w:w="1481" w:type="pct"/>
            <w:gridSpan w:val="4"/>
            <w:vMerge w:val="restart"/>
            <w:tcBorders>
              <w:top w:val="single" w:sz="12" w:space="0" w:color="auto"/>
              <w:left w:val="single" w:sz="12" w:space="0" w:color="000000"/>
              <w:bottom w:val="single" w:sz="12" w:space="0" w:color="000000"/>
              <w:right w:val="single" w:sz="12" w:space="0" w:color="000000"/>
              <w:tl2br w:val="nil"/>
              <w:tr2bl w:val="nil"/>
            </w:tcBorders>
            <w:noWrap/>
            <w:vAlign w:val="bottom"/>
          </w:tcPr>
          <w:p>
            <w:pPr>
              <w:jc w:val="center"/>
              <w:rPr>
                <w:rFonts w:ascii="宋体" w:eastAsia="宋体"/>
                <w:b w:val="0"/>
                <w:i w:val="0"/>
                <w:strike w:val="0"/>
                <w:dstrike w:val="0"/>
                <w:color w:val="auto"/>
                <w:sz w:val="16"/>
              </w:rPr>
            </w:pPr>
            <w:r>
              <w:rPr>
                <w:rFonts w:ascii="Times New Roman" w:hAnsi="Times New Roman"/>
                <w:b w:val="0"/>
                <w:i w:val="0"/>
                <w:strike w:val="0"/>
                <w:dstrike w:val="0"/>
                <w:color w:val="auto"/>
                <w:sz w:val="16"/>
              </w:rPr>
              <w:t>2023</w:t>
            </w:r>
            <w:r>
              <w:rPr>
                <w:rFonts w:ascii="宋体" w:eastAsia="宋体"/>
                <w:b w:val="0"/>
                <w:i w:val="0"/>
                <w:strike w:val="0"/>
                <w:dstrike w:val="0"/>
                <w:color w:val="auto"/>
                <w:sz w:val="16"/>
              </w:rPr>
              <w:t>年预算数</w:t>
            </w:r>
          </w:p>
        </w:tc>
        <w:tc>
          <w:tcPr>
            <w:tcW w:w="837" w:type="pct"/>
            <w:gridSpan w:val="2"/>
            <w:tcBorders>
              <w:top w:val="single" w:sz="12" w:space="0" w:color="auto"/>
              <w:left w:val="single" w:sz="12" w:space="0" w:color="000000"/>
              <w:bottom w:val="nil"/>
              <w:right w:val="single" w:sz="12" w:space="0" w:color="000000"/>
              <w:tl2br w:val="nil"/>
              <w:tr2bl w:val="nil"/>
            </w:tcBorders>
            <w:noWrap/>
            <w:vAlign w:val="bottom"/>
          </w:tcPr>
          <w:p>
            <w:pPr>
              <w:jc w:val="center"/>
              <w:rPr>
                <w:rFonts w:ascii="宋体" w:eastAsia="宋体"/>
                <w:b w:val="0"/>
                <w:i w:val="0"/>
                <w:strike w:val="0"/>
                <w:dstrike w:val="0"/>
                <w:color w:val="auto"/>
                <w:sz w:val="16"/>
              </w:rPr>
            </w:pPr>
            <w:r>
              <w:rPr>
                <w:rFonts w:ascii="Times New Roman" w:hAnsi="Times New Roman"/>
                <w:b w:val="0"/>
                <w:i w:val="0"/>
                <w:strike w:val="0"/>
                <w:dstrike w:val="0"/>
                <w:color w:val="auto"/>
                <w:sz w:val="16"/>
              </w:rPr>
              <w:t>2023</w:t>
            </w:r>
            <w:r>
              <w:rPr>
                <w:rFonts w:ascii="宋体" w:eastAsia="宋体"/>
                <w:b w:val="0"/>
                <w:i w:val="0"/>
                <w:strike w:val="0"/>
                <w:dstrike w:val="0"/>
                <w:color w:val="auto"/>
                <w:sz w:val="16"/>
              </w:rPr>
              <w:t>年预算数比</w:t>
            </w:r>
          </w:p>
        </w:tc>
        <w:tc>
          <w:tcPr>
            <w:tcW w:w="626" w:type="pct"/>
            <w:gridSpan w:val="2"/>
            <w:tcBorders>
              <w:top w:val="single" w:sz="12" w:space="0" w:color="auto"/>
              <w:left w:val="single" w:sz="12" w:space="0" w:color="auto"/>
              <w:bottom w:val="nil"/>
              <w:right w:val="single" w:sz="12" w:space="0" w:color="000000"/>
              <w:tl2br w:val="nil"/>
              <w:tr2bl w:val="nil"/>
            </w:tcBorders>
            <w:noWrap/>
            <w:vAlign w:val="bottom"/>
          </w:tcPr>
          <w:p>
            <w:pPr>
              <w:jc w:val="center"/>
              <w:rPr>
                <w:rFonts w:ascii="宋体" w:eastAsia="宋体"/>
                <w:b w:val="0"/>
                <w:i w:val="0"/>
                <w:strike w:val="0"/>
                <w:dstrike w:val="0"/>
                <w:color w:val="auto"/>
                <w:sz w:val="16"/>
              </w:rPr>
            </w:pPr>
            <w:r>
              <w:rPr>
                <w:rFonts w:ascii="Times New Roman" w:hAnsi="Times New Roman"/>
                <w:b w:val="0"/>
                <w:i w:val="0"/>
                <w:strike w:val="0"/>
                <w:dstrike w:val="0"/>
                <w:color w:val="auto"/>
                <w:sz w:val="16"/>
              </w:rPr>
              <w:t>2023</w:t>
            </w:r>
            <w:r>
              <w:rPr>
                <w:rFonts w:ascii="宋体" w:eastAsia="宋体"/>
                <w:b w:val="0"/>
                <w:i w:val="0"/>
                <w:strike w:val="0"/>
                <w:dstrike w:val="0"/>
                <w:color w:val="auto"/>
                <w:sz w:val="16"/>
              </w:rPr>
              <w:t>年预算数比</w:t>
            </w:r>
          </w:p>
        </w:tc>
      </w:tr>
      <w:tr>
        <w:trPr>
          <w:trHeight w:val="269"/>
        </w:trPr>
        <w:tc>
          <w:tcPr>
            <w:tcW w:w="1747" w:type="pct"/>
            <w:gridSpan w:val="2"/>
            <w:vMerge/>
            <w:tcBorders>
              <w:top w:val="single" w:sz="12" w:space="0" w:color="auto"/>
              <w:left w:val="single" w:sz="12" w:space="0" w:color="auto"/>
              <w:bottom w:val="single" w:sz="12" w:space="0" w:color="000000"/>
              <w:right w:val="single" w:sz="12" w:space="0" w:color="000000"/>
              <w:tl2br w:val="nil"/>
              <w:tr2bl w:val="nil"/>
            </w:tcBorders>
            <w:noWrap/>
            <w:vAlign w:val="bottom"/>
          </w:tcPr>
          <w:p/>
        </w:tc>
        <w:tc>
          <w:tcPr>
            <w:tcW w:w="611" w:type="pct"/>
            <w:gridSpan w:val="2"/>
            <w:vMerge/>
            <w:tcBorders>
              <w:top w:val="single" w:sz="12" w:space="0" w:color="auto"/>
              <w:left w:val="single" w:sz="12" w:space="0" w:color="auto"/>
              <w:bottom w:val="single" w:sz="12" w:space="0" w:color="000000"/>
              <w:right w:val="single" w:sz="12" w:space="0" w:color="000000"/>
              <w:tl2br w:val="nil"/>
              <w:tr2bl w:val="nil"/>
            </w:tcBorders>
            <w:noWrap/>
            <w:vAlign w:val="bottom"/>
          </w:tcPr>
          <w:p/>
        </w:tc>
        <w:tc>
          <w:tcPr>
            <w:tcW w:w="1417" w:type="pct"/>
            <w:gridSpan w:val="4"/>
            <w:vMerge/>
            <w:tcBorders>
              <w:top w:val="single" w:sz="12" w:space="0" w:color="auto"/>
              <w:left w:val="single" w:sz="12" w:space="0" w:color="000000"/>
              <w:bottom w:val="single" w:sz="12" w:space="0" w:color="000000"/>
              <w:right w:val="single" w:sz="12" w:space="0" w:color="000000"/>
              <w:tl2br w:val="nil"/>
              <w:tr2bl w:val="nil"/>
            </w:tcBorders>
            <w:noWrap/>
            <w:vAlign w:val="bottom"/>
          </w:tcPr>
          <w:p/>
        </w:tc>
        <w:tc>
          <w:tcPr>
            <w:tcW w:w="837" w:type="pct"/>
            <w:gridSpan w:val="2"/>
            <w:tcBorders>
              <w:top w:val="nil"/>
              <w:left w:val="single" w:sz="12" w:space="0" w:color="000000"/>
              <w:bottom w:val="nil"/>
              <w:right w:val="single" w:sz="12" w:space="0" w:color="000000"/>
              <w:tl2br w:val="nil"/>
              <w:tr2bl w:val="nil"/>
            </w:tcBorders>
            <w:noWrap/>
            <w:vAlign w:val="bottom"/>
          </w:tcPr>
          <w:p>
            <w:pPr>
              <w:jc w:val="center"/>
              <w:rPr>
                <w:rFonts w:ascii="宋体" w:eastAsia="宋体"/>
                <w:b w:val="0"/>
                <w:i w:val="0"/>
                <w:strike w:val="0"/>
                <w:dstrike w:val="0"/>
                <w:color w:val="auto"/>
                <w:sz w:val="16"/>
              </w:rPr>
            </w:pPr>
            <w:r>
              <w:rPr>
                <w:rFonts w:ascii="Times New Roman" w:hAnsi="Times New Roman"/>
                <w:b w:val="0"/>
                <w:i w:val="0"/>
                <w:strike w:val="0"/>
                <w:dstrike w:val="0"/>
                <w:color w:val="auto"/>
                <w:sz w:val="16"/>
              </w:rPr>
              <w:t>2022</w:t>
            </w:r>
            <w:r>
              <w:rPr>
                <w:rFonts w:ascii="宋体" w:eastAsia="宋体"/>
                <w:b w:val="0"/>
                <w:i w:val="0"/>
                <w:strike w:val="0"/>
                <w:dstrike w:val="0"/>
                <w:color w:val="auto"/>
                <w:sz w:val="16"/>
              </w:rPr>
              <w:t>年执行数</w:t>
            </w:r>
          </w:p>
        </w:tc>
        <w:tc>
          <w:tcPr>
            <w:tcW w:w="626" w:type="pct"/>
            <w:gridSpan w:val="2"/>
            <w:tcBorders>
              <w:top w:val="nil"/>
              <w:left w:val="single" w:sz="12" w:space="0" w:color="auto"/>
              <w:bottom w:val="nil"/>
              <w:right w:val="single" w:sz="12" w:space="0" w:color="000000"/>
              <w:tl2br w:val="nil"/>
              <w:tr2bl w:val="nil"/>
            </w:tcBorders>
            <w:noWrap/>
            <w:vAlign w:val="bottom"/>
          </w:tcPr>
          <w:p>
            <w:pPr>
              <w:jc w:val="center"/>
              <w:rPr>
                <w:rFonts w:ascii="宋体" w:eastAsia="宋体"/>
                <w:b w:val="0"/>
                <w:i w:val="0"/>
                <w:strike w:val="0"/>
                <w:dstrike w:val="0"/>
                <w:color w:val="auto"/>
                <w:sz w:val="16"/>
              </w:rPr>
            </w:pPr>
            <w:r>
              <w:rPr>
                <w:rFonts w:ascii="Times New Roman" w:hAnsi="Times New Roman"/>
                <w:b w:val="0"/>
                <w:i w:val="0"/>
                <w:strike w:val="0"/>
                <w:dstrike w:val="0"/>
                <w:color w:val="auto"/>
                <w:sz w:val="16"/>
              </w:rPr>
              <w:t>2022</w:t>
            </w:r>
            <w:r>
              <w:rPr>
                <w:rFonts w:ascii="宋体" w:eastAsia="宋体"/>
                <w:b w:val="0"/>
                <w:i w:val="0"/>
                <w:strike w:val="0"/>
                <w:dstrike w:val="0"/>
                <w:color w:val="auto"/>
                <w:sz w:val="16"/>
              </w:rPr>
              <w:t>年执行数</w:t>
            </w:r>
          </w:p>
        </w:tc>
      </w:tr>
      <w:tr>
        <w:trPr>
          <w:trHeight w:val="47"/>
        </w:trPr>
        <w:tc>
          <w:tcPr>
            <w:tcW w:w="1747" w:type="pct"/>
            <w:gridSpan w:val="2"/>
            <w:vMerge/>
            <w:tcBorders>
              <w:top w:val="single" w:sz="12" w:space="0" w:color="auto"/>
              <w:left w:val="single" w:sz="12" w:space="0" w:color="auto"/>
              <w:bottom w:val="single" w:sz="12" w:space="0" w:color="000000"/>
              <w:right w:val="single" w:sz="12" w:space="0" w:color="000000"/>
              <w:tl2br w:val="nil"/>
              <w:tr2bl w:val="nil"/>
            </w:tcBorders>
            <w:noWrap/>
            <w:vAlign w:val="bottom"/>
          </w:tcPr>
          <w:p/>
        </w:tc>
        <w:tc>
          <w:tcPr>
            <w:tcW w:w="611" w:type="pct"/>
            <w:gridSpan w:val="2"/>
            <w:vMerge/>
            <w:tcBorders>
              <w:top w:val="single" w:sz="12" w:space="0" w:color="auto"/>
              <w:left w:val="single" w:sz="12" w:space="0" w:color="auto"/>
              <w:bottom w:val="single" w:sz="12" w:space="0" w:color="000000"/>
              <w:right w:val="single" w:sz="12" w:space="0" w:color="000000"/>
              <w:tl2br w:val="nil"/>
              <w:tr2bl w:val="nil"/>
            </w:tcBorders>
            <w:noWrap/>
            <w:vAlign w:val="bottom"/>
          </w:tcPr>
          <w:p/>
        </w:tc>
        <w:tc>
          <w:tcPr>
            <w:tcW w:w="1417" w:type="pct"/>
            <w:gridSpan w:val="4"/>
            <w:vMerge/>
            <w:tcBorders>
              <w:top w:val="single" w:sz="12" w:space="0" w:color="auto"/>
              <w:left w:val="single" w:sz="12" w:space="0" w:color="000000"/>
              <w:bottom w:val="single" w:sz="12" w:space="0" w:color="000000"/>
              <w:right w:val="single" w:sz="12" w:space="0" w:color="000000"/>
              <w:tl2br w:val="nil"/>
              <w:tr2bl w:val="nil"/>
            </w:tcBorders>
            <w:noWrap/>
            <w:vAlign w:val="bottom"/>
          </w:tcPr>
          <w:p/>
        </w:tc>
        <w:tc>
          <w:tcPr>
            <w:tcW w:w="837" w:type="pct"/>
            <w:gridSpan w:val="2"/>
            <w:tcBorders>
              <w:top w:val="nil"/>
              <w:left w:val="single" w:sz="12" w:space="0" w:color="000000"/>
              <w:bottom w:val="single" w:sz="12" w:space="0" w:color="auto"/>
              <w:right w:val="single" w:sz="12" w:space="0" w:color="000000"/>
              <w:tl2br w:val="nil"/>
              <w:tr2bl w:val="nil"/>
            </w:tcBorders>
            <w:noWrap/>
            <w:vAlign w:val="bottom"/>
          </w:tcPr>
          <w:p>
            <w:pPr>
              <w:rPr>
                <w:rFonts w:ascii="Calibri" w:eastAsia="宋体" w:hAnsi="Calibri"/>
                <w:b w:val="0"/>
                <w:i w:val="0"/>
                <w:sz w:val="22"/>
              </w:rPr>
            </w:pPr>
          </w:p>
        </w:tc>
        <w:tc>
          <w:tcPr>
            <w:tcW w:w="626" w:type="pct"/>
            <w:gridSpan w:val="2"/>
            <w:tcBorders>
              <w:top w:val="nil"/>
              <w:left w:val="single" w:sz="12" w:space="0" w:color="auto"/>
              <w:bottom w:val="single" w:sz="12" w:space="0" w:color="auto"/>
              <w:right w:val="single" w:sz="12" w:space="0" w:color="000000"/>
              <w:tl2br w:val="nil"/>
              <w:tr2bl w:val="nil"/>
            </w:tcBorders>
            <w:noWrap/>
            <w:vAlign w:val="bottom"/>
          </w:tcPr>
          <w:p>
            <w:pPr>
              <w:jc w:val="center"/>
              <w:rPr>
                <w:rFonts w:ascii="宋体" w:eastAsia="宋体"/>
                <w:b w:val="0"/>
                <w:i w:val="0"/>
                <w:sz w:val="16"/>
              </w:rPr>
            </w:pPr>
            <w:r>
              <w:rPr>
                <w:rFonts w:ascii="宋体" w:eastAsia="宋体"/>
                <w:b w:val="0"/>
                <w:i w:val="0"/>
                <w:sz w:val="16"/>
              </w:rPr>
              <w:t>（扣除中央基建投资）</w:t>
            </w:r>
          </w:p>
        </w:tc>
      </w:tr>
      <w:tr>
        <w:trPr>
          <w:trHeight w:val="269"/>
        </w:trPr>
        <w:tc>
          <w:tcPr>
            <w:tcW w:w="301" w:type="pct"/>
            <w:vMerge w:val="restart"/>
            <w:tcBorders>
              <w:top w:val="single" w:sz="12" w:space="0" w:color="auto"/>
              <w:left w:val="single" w:sz="12" w:space="0" w:color="auto"/>
              <w:bottom w:val="single" w:sz="12" w:space="0" w:color="000000"/>
              <w:right w:val="single" w:sz="12" w:space="0" w:color="auto"/>
              <w:tl2br w:val="nil"/>
              <w:tr2bl w:val="nil"/>
            </w:tcBorders>
            <w:noWrap/>
            <w:vAlign w:val="bottom"/>
          </w:tcPr>
          <w:p>
            <w:pPr>
              <w:jc w:val="center"/>
              <w:rPr>
                <w:rFonts w:ascii="宋体" w:eastAsia="宋体"/>
                <w:b w:val="0"/>
                <w:i w:val="0"/>
                <w:sz w:val="16"/>
              </w:rPr>
            </w:pPr>
            <w:r>
              <w:rPr>
                <w:rFonts w:ascii="宋体" w:eastAsia="宋体"/>
                <w:b w:val="0"/>
                <w:i w:val="0"/>
                <w:sz w:val="16"/>
              </w:rPr>
              <w:t>科目编码</w:t>
            </w:r>
          </w:p>
        </w:tc>
        <w:tc>
          <w:tcPr>
            <w:tcW w:w="942" w:type="pct"/>
            <w:vMerge w:val="restart"/>
            <w:tcBorders>
              <w:top w:val="single" w:sz="12" w:space="0" w:color="auto"/>
              <w:left w:val="single" w:sz="12" w:space="0" w:color="auto"/>
              <w:bottom w:val="single" w:sz="12" w:space="0" w:color="000000"/>
              <w:right w:val="single" w:sz="12" w:space="0" w:color="auto"/>
              <w:tl2br w:val="nil"/>
              <w:tr2bl w:val="nil"/>
            </w:tcBorders>
            <w:noWrap/>
            <w:vAlign w:val="bottom"/>
          </w:tcPr>
          <w:p>
            <w:pPr>
              <w:jc w:val="center"/>
              <w:rPr>
                <w:rFonts w:ascii="宋体" w:eastAsia="宋体"/>
                <w:b w:val="0"/>
                <w:i w:val="0"/>
                <w:sz w:val="16"/>
              </w:rPr>
            </w:pPr>
            <w:r>
              <w:rPr>
                <w:rFonts w:ascii="宋体" w:eastAsia="宋体"/>
                <w:b w:val="0"/>
                <w:i w:val="0"/>
                <w:sz w:val="16"/>
              </w:rPr>
              <w:t>科目名称</w:t>
            </w:r>
          </w:p>
        </w:tc>
        <w:tc>
          <w:tcPr>
            <w:tcW w:w="404" w:type="pct"/>
            <w:vMerge w:val="restart"/>
            <w:tcBorders>
              <w:top w:val="single" w:sz="12" w:space="0" w:color="auto"/>
              <w:left w:val="single" w:sz="12" w:space="0" w:color="auto"/>
              <w:bottom w:val="single" w:sz="12" w:space="0" w:color="000000"/>
              <w:right w:val="single" w:sz="12" w:space="0" w:color="auto"/>
              <w:tl2br w:val="nil"/>
              <w:tr2bl w:val="nil"/>
            </w:tcBorders>
            <w:noWrap/>
            <w:vAlign w:val="bottom"/>
          </w:tcPr>
          <w:p>
            <w:pPr>
              <w:jc w:val="center"/>
              <w:rPr>
                <w:rFonts w:ascii="宋体" w:eastAsia="宋体"/>
                <w:b w:val="0"/>
                <w:i w:val="0"/>
                <w:sz w:val="16"/>
              </w:rPr>
            </w:pPr>
            <w:r>
              <w:rPr>
                <w:rFonts w:ascii="宋体" w:eastAsia="宋体"/>
                <w:b w:val="0"/>
                <w:i w:val="0"/>
                <w:sz w:val="16"/>
              </w:rPr>
              <w:t>执行数</w:t>
            </w:r>
          </w:p>
        </w:tc>
        <w:tc>
          <w:tcPr>
            <w:tcW w:w="406" w:type="pct"/>
            <w:vMerge w:val="restart"/>
            <w:tcBorders>
              <w:top w:val="single" w:sz="12" w:space="0" w:color="auto"/>
              <w:left w:val="single" w:sz="12" w:space="0" w:color="auto"/>
              <w:bottom w:val="single" w:sz="12" w:space="0" w:color="000000"/>
              <w:right w:val="single" w:sz="12" w:space="0" w:color="auto"/>
              <w:tl2br w:val="nil"/>
              <w:tr2bl w:val="nil"/>
            </w:tcBorders>
            <w:noWrap/>
            <w:vAlign w:val="bottom"/>
          </w:tcPr>
          <w:p>
            <w:pPr>
              <w:jc w:val="center"/>
              <w:rPr>
                <w:rFonts w:ascii="宋体" w:eastAsia="宋体"/>
                <w:b w:val="0"/>
                <w:i w:val="0"/>
                <w:sz w:val="16"/>
              </w:rPr>
            </w:pPr>
            <w:r>
              <w:rPr>
                <w:rFonts w:ascii="宋体" w:eastAsia="宋体"/>
                <w:b w:val="0"/>
                <w:i w:val="0"/>
                <w:sz w:val="16"/>
              </w:rPr>
              <w:t>扣除中央基建投资后执行数</w:t>
            </w:r>
          </w:p>
        </w:tc>
        <w:tc>
          <w:tcPr>
            <w:tcW w:w="1148" w:type="pct"/>
            <w:gridSpan w:val="3"/>
            <w:tcBorders>
              <w:top w:val="single" w:sz="12" w:space="0" w:color="auto"/>
              <w:left w:val="single" w:sz="12" w:space="0" w:color="auto"/>
              <w:bottom w:val="single" w:sz="12" w:space="0" w:color="auto"/>
              <w:right w:val="single" w:sz="12" w:space="0" w:color="000000"/>
              <w:tl2br w:val="nil"/>
              <w:tr2bl w:val="nil"/>
            </w:tcBorders>
            <w:noWrap/>
            <w:vAlign w:val="bottom"/>
          </w:tcPr>
          <w:p>
            <w:pPr>
              <w:jc w:val="center"/>
              <w:rPr>
                <w:rFonts w:ascii="宋体" w:eastAsia="宋体"/>
                <w:b w:val="0"/>
                <w:i w:val="0"/>
                <w:sz w:val="16"/>
              </w:rPr>
            </w:pPr>
            <w:r>
              <w:rPr>
                <w:rFonts w:ascii="宋体" w:eastAsia="宋体"/>
                <w:b w:val="0"/>
                <w:i w:val="0"/>
                <w:sz w:val="16"/>
              </w:rPr>
              <w:t>年初预算数</w:t>
            </w:r>
          </w:p>
        </w:tc>
        <w:tc>
          <w:tcPr>
            <w:tcW w:w="333" w:type="pct"/>
            <w:vMerge w:val="restart"/>
            <w:tcBorders>
              <w:top w:val="single" w:sz="12" w:space="0" w:color="auto"/>
              <w:left w:val="single" w:sz="12" w:space="0" w:color="auto"/>
              <w:bottom w:val="single" w:sz="12" w:space="0" w:color="000000"/>
              <w:right w:val="single" w:sz="12" w:space="0" w:color="auto"/>
              <w:tl2br w:val="nil"/>
              <w:tr2bl w:val="nil"/>
            </w:tcBorders>
            <w:noWrap/>
            <w:vAlign w:val="bottom"/>
          </w:tcPr>
          <w:p>
            <w:pPr>
              <w:jc w:val="center"/>
              <w:rPr>
                <w:rFonts w:ascii="宋体" w:eastAsia="宋体"/>
                <w:b w:val="0"/>
                <w:i w:val="0"/>
                <w:sz w:val="16"/>
              </w:rPr>
            </w:pPr>
            <w:r>
              <w:rPr>
                <w:rFonts w:ascii="宋体" w:eastAsia="宋体"/>
                <w:b w:val="0"/>
                <w:i w:val="0"/>
                <w:sz w:val="16"/>
              </w:rPr>
              <w:t>扣除中央基建投资后预算数</w:t>
            </w:r>
          </w:p>
        </w:tc>
        <w:tc>
          <w:tcPr>
            <w:tcW w:w="444" w:type="pct"/>
            <w:vMerge w:val="restart"/>
            <w:tcBorders>
              <w:top w:val="single" w:sz="12" w:space="0" w:color="auto"/>
              <w:left w:val="single" w:sz="12" w:space="0" w:color="auto"/>
              <w:bottom w:val="single" w:sz="12" w:space="0" w:color="000000"/>
              <w:right w:val="single" w:sz="12" w:space="0" w:color="auto"/>
              <w:tl2br w:val="nil"/>
              <w:tr2bl w:val="nil"/>
            </w:tcBorders>
            <w:noWrap/>
            <w:vAlign w:val="bottom"/>
          </w:tcPr>
          <w:p>
            <w:pPr>
              <w:jc w:val="center"/>
              <w:rPr>
                <w:rFonts w:ascii="宋体" w:eastAsia="宋体"/>
                <w:b w:val="0"/>
                <w:i w:val="0"/>
                <w:sz w:val="16"/>
              </w:rPr>
            </w:pPr>
            <w:r>
              <w:rPr>
                <w:rFonts w:ascii="宋体" w:eastAsia="宋体"/>
                <w:b w:val="0"/>
                <w:i w:val="0"/>
                <w:sz w:val="16"/>
              </w:rPr>
              <w:t>增减额</w:t>
            </w:r>
          </w:p>
        </w:tc>
        <w:tc>
          <w:tcPr>
            <w:tcW w:w="393" w:type="pct"/>
            <w:vMerge w:val="restart"/>
            <w:tcBorders>
              <w:top w:val="single" w:sz="12" w:space="0" w:color="auto"/>
              <w:left w:val="single" w:sz="12" w:space="0" w:color="auto"/>
              <w:bottom w:val="single" w:sz="12" w:space="0" w:color="000000"/>
              <w:right w:val="single" w:sz="12" w:space="0" w:color="auto"/>
              <w:tl2br w:val="nil"/>
              <w:tr2bl w:val="nil"/>
            </w:tcBorders>
            <w:noWrap/>
            <w:vAlign w:val="bottom"/>
          </w:tcPr>
          <w:p>
            <w:pPr>
              <w:jc w:val="center"/>
              <w:rPr>
                <w:rFonts w:ascii="Times New Roman" w:hAnsi="Times New Roman"/>
                <w:b w:val="0"/>
                <w:i w:val="0"/>
                <w:strike w:val="0"/>
                <w:dstrike w:val="0"/>
                <w:color w:val="auto"/>
                <w:sz w:val="16"/>
              </w:rPr>
            </w:pPr>
            <w:r>
              <w:rPr>
                <w:rFonts w:ascii="宋体" w:eastAsia="宋体"/>
                <w:b w:val="0"/>
                <w:i w:val="0"/>
                <w:strike w:val="0"/>
                <w:dstrike w:val="0"/>
                <w:color w:val="auto"/>
                <w:sz w:val="16"/>
              </w:rPr>
              <w:t>增减</w:t>
            </w:r>
            <w:r>
              <w:rPr>
                <w:rFonts w:ascii="Times New Roman" w:hAnsi="Times New Roman"/>
                <w:b w:val="0"/>
                <w:i w:val="0"/>
                <w:strike w:val="0"/>
                <w:dstrike w:val="0"/>
                <w:color w:val="auto"/>
                <w:sz w:val="16"/>
              </w:rPr>
              <w:t>(%)</w:t>
            </w:r>
          </w:p>
        </w:tc>
        <w:tc>
          <w:tcPr>
            <w:tcW w:w="282" w:type="pct"/>
            <w:vMerge w:val="restart"/>
            <w:tcBorders>
              <w:top w:val="single" w:sz="12" w:space="0" w:color="auto"/>
              <w:left w:val="single" w:sz="12" w:space="0" w:color="auto"/>
              <w:bottom w:val="single" w:sz="12" w:space="0" w:color="000000"/>
              <w:right w:val="single" w:sz="12" w:space="0" w:color="auto"/>
              <w:tl2br w:val="nil"/>
              <w:tr2bl w:val="nil"/>
            </w:tcBorders>
            <w:noWrap/>
            <w:vAlign w:val="bottom"/>
          </w:tcPr>
          <w:p>
            <w:pPr>
              <w:jc w:val="center"/>
              <w:rPr>
                <w:rFonts w:ascii="宋体" w:eastAsia="宋体"/>
                <w:b w:val="0"/>
                <w:i w:val="0"/>
                <w:sz w:val="16"/>
              </w:rPr>
            </w:pPr>
            <w:r>
              <w:rPr>
                <w:rFonts w:ascii="宋体" w:eastAsia="宋体"/>
                <w:b w:val="0"/>
                <w:i w:val="0"/>
                <w:sz w:val="16"/>
              </w:rPr>
              <w:t>增减额</w:t>
            </w:r>
          </w:p>
        </w:tc>
        <w:tc>
          <w:tcPr>
            <w:tcW w:w="344" w:type="pct"/>
            <w:vMerge w:val="restart"/>
            <w:tcBorders>
              <w:top w:val="single" w:sz="12" w:space="0" w:color="auto"/>
              <w:left w:val="single" w:sz="12" w:space="0" w:color="auto"/>
              <w:bottom w:val="single" w:sz="12" w:space="0" w:color="000000"/>
              <w:right w:val="single" w:sz="12" w:space="0" w:color="auto"/>
              <w:tl2br w:val="nil"/>
              <w:tr2bl w:val="nil"/>
            </w:tcBorders>
            <w:noWrap/>
            <w:vAlign w:val="bottom"/>
          </w:tcPr>
          <w:p>
            <w:pPr>
              <w:jc w:val="center"/>
              <w:rPr>
                <w:rFonts w:ascii="Times New Roman" w:hAnsi="Times New Roman"/>
                <w:b w:val="0"/>
                <w:i w:val="0"/>
                <w:strike w:val="0"/>
                <w:dstrike w:val="0"/>
                <w:color w:val="auto"/>
                <w:sz w:val="16"/>
              </w:rPr>
            </w:pPr>
            <w:r>
              <w:rPr>
                <w:rFonts w:ascii="宋体" w:eastAsia="宋体"/>
                <w:b w:val="0"/>
                <w:i w:val="0"/>
                <w:strike w:val="0"/>
                <w:dstrike w:val="0"/>
                <w:color w:val="auto"/>
                <w:sz w:val="16"/>
              </w:rPr>
              <w:t>增减（</w:t>
            </w:r>
            <w:r>
              <w:rPr>
                <w:rFonts w:ascii="Times New Roman" w:hAnsi="Times New Roman"/>
                <w:b w:val="0"/>
                <w:i w:val="0"/>
                <w:strike w:val="0"/>
                <w:dstrike w:val="0"/>
                <w:color w:val="auto"/>
                <w:sz w:val="16"/>
              </w:rPr>
              <w:t>%)</w:t>
            </w:r>
          </w:p>
        </w:tc>
      </w:tr>
      <w:tr>
        <w:trPr>
          <w:trHeight w:val="426"/>
        </w:trPr>
        <w:tc>
          <w:tcPr>
            <w:tcW w:w="1162" w:type="pct"/>
            <w:vMerge/>
            <w:tcBorders>
              <w:top w:val="single" w:sz="12" w:space="0" w:color="auto"/>
              <w:left w:val="single" w:sz="12" w:space="0" w:color="auto"/>
              <w:bottom w:val="single" w:sz="12" w:space="0" w:color="000000"/>
              <w:right w:val="single" w:sz="12" w:space="0" w:color="auto"/>
              <w:tl2br w:val="nil"/>
              <w:tr2bl w:val="nil"/>
            </w:tcBorders>
            <w:noWrap/>
            <w:vAlign w:val="bottom"/>
          </w:tcPr>
          <w:p/>
        </w:tc>
        <w:tc>
          <w:tcPr>
            <w:tcW w:w="584" w:type="pct"/>
            <w:vMerge/>
            <w:tcBorders>
              <w:top w:val="single" w:sz="12" w:space="0" w:color="auto"/>
              <w:left w:val="single" w:sz="12" w:space="0" w:color="auto"/>
              <w:bottom w:val="single" w:sz="12" w:space="0" w:color="000000"/>
              <w:right w:val="single" w:sz="12" w:space="0" w:color="auto"/>
              <w:tl2br w:val="nil"/>
              <w:tr2bl w:val="nil"/>
            </w:tcBorders>
            <w:noWrap/>
            <w:vAlign w:val="bottom"/>
          </w:tcPr>
          <w:p/>
        </w:tc>
        <w:tc>
          <w:tcPr>
            <w:tcW w:w="402" w:type="pct"/>
            <w:vMerge/>
            <w:tcBorders>
              <w:top w:val="single" w:sz="12" w:space="0" w:color="auto"/>
              <w:left w:val="single" w:sz="12" w:space="0" w:color="auto"/>
              <w:bottom w:val="single" w:sz="12" w:space="0" w:color="000000"/>
              <w:right w:val="single" w:sz="12" w:space="0" w:color="auto"/>
              <w:tl2br w:val="nil"/>
              <w:tr2bl w:val="nil"/>
            </w:tcBorders>
            <w:noWrap/>
            <w:vAlign w:val="bottom"/>
          </w:tcPr>
          <w:p/>
        </w:tc>
        <w:tc>
          <w:tcPr>
            <w:tcW w:w="208" w:type="pct"/>
            <w:vMerge/>
            <w:tcBorders>
              <w:top w:val="single" w:sz="12" w:space="0" w:color="auto"/>
              <w:left w:val="single" w:sz="12" w:space="0" w:color="auto"/>
              <w:bottom w:val="single" w:sz="12" w:space="0" w:color="000000"/>
              <w:right w:val="single" w:sz="12" w:space="0" w:color="auto"/>
              <w:tl2br w:val="nil"/>
              <w:tr2bl w:val="nil"/>
            </w:tcBorders>
            <w:noWrap/>
            <w:vAlign w:val="bottom"/>
          </w:tcPr>
          <w:p/>
        </w:tc>
        <w:tc>
          <w:tcPr>
            <w:tcW w:w="460" w:type="pct"/>
            <w:tcBorders>
              <w:top w:val="nil"/>
              <w:left w:val="nil"/>
              <w:bottom w:val="single" w:sz="12" w:space="0" w:color="auto"/>
              <w:right w:val="single" w:sz="12" w:space="0" w:color="auto"/>
              <w:tl2br w:val="nil"/>
              <w:tr2bl w:val="nil"/>
            </w:tcBorders>
            <w:noWrap/>
            <w:vAlign w:val="bottom"/>
          </w:tcPr>
          <w:p>
            <w:pPr>
              <w:jc w:val="center"/>
              <w:rPr>
                <w:rFonts w:ascii="宋体" w:eastAsia="宋体"/>
                <w:b w:val="0"/>
                <w:i w:val="0"/>
                <w:sz w:val="16"/>
              </w:rPr>
            </w:pPr>
            <w:r>
              <w:rPr>
                <w:rFonts w:ascii="宋体" w:eastAsia="宋体"/>
                <w:b w:val="0"/>
                <w:i w:val="0"/>
                <w:sz w:val="16"/>
              </w:rPr>
              <w:t>小计</w:t>
            </w:r>
          </w:p>
        </w:tc>
        <w:tc>
          <w:tcPr>
            <w:tcW w:w="354" w:type="pct"/>
            <w:tcBorders>
              <w:top w:val="nil"/>
              <w:left w:val="nil"/>
              <w:bottom w:val="single" w:sz="12" w:space="0" w:color="auto"/>
              <w:right w:val="single" w:sz="12" w:space="0" w:color="auto"/>
              <w:tl2br w:val="nil"/>
              <w:tr2bl w:val="nil"/>
            </w:tcBorders>
            <w:noWrap/>
            <w:vAlign w:val="bottom"/>
          </w:tcPr>
          <w:p>
            <w:pPr>
              <w:jc w:val="center"/>
              <w:rPr>
                <w:rFonts w:ascii="宋体" w:eastAsia="宋体"/>
                <w:b w:val="0"/>
                <w:i w:val="0"/>
                <w:sz w:val="16"/>
              </w:rPr>
            </w:pPr>
            <w:r>
              <w:rPr>
                <w:rFonts w:ascii="宋体" w:eastAsia="宋体"/>
                <w:b w:val="0"/>
                <w:i w:val="0"/>
                <w:sz w:val="16"/>
              </w:rPr>
              <w:t>基本支出</w:t>
            </w:r>
          </w:p>
        </w:tc>
        <w:tc>
          <w:tcPr>
            <w:tcW w:w="334" w:type="pct"/>
            <w:tcBorders>
              <w:top w:val="nil"/>
              <w:left w:val="nil"/>
              <w:bottom w:val="single" w:sz="12" w:space="0" w:color="auto"/>
              <w:right w:val="single" w:sz="12" w:space="0" w:color="auto"/>
              <w:tl2br w:val="nil"/>
              <w:tr2bl w:val="nil"/>
            </w:tcBorders>
            <w:noWrap/>
            <w:vAlign w:val="bottom"/>
          </w:tcPr>
          <w:p>
            <w:pPr>
              <w:jc w:val="center"/>
              <w:rPr>
                <w:rFonts w:ascii="宋体" w:eastAsia="宋体"/>
                <w:b w:val="0"/>
                <w:i w:val="0"/>
                <w:sz w:val="16"/>
              </w:rPr>
            </w:pPr>
            <w:r>
              <w:rPr>
                <w:rFonts w:ascii="宋体" w:eastAsia="宋体"/>
                <w:b w:val="0"/>
                <w:i w:val="0"/>
                <w:sz w:val="16"/>
              </w:rPr>
              <w:t>项目支出</w:t>
            </w:r>
          </w:p>
        </w:tc>
        <w:tc>
          <w:tcPr>
            <w:tcW w:w="208" w:type="pct"/>
            <w:vMerge/>
            <w:tcBorders>
              <w:top w:val="single" w:sz="12" w:space="0" w:color="auto"/>
              <w:left w:val="single" w:sz="12" w:space="0" w:color="auto"/>
              <w:bottom w:val="single" w:sz="12" w:space="0" w:color="000000"/>
              <w:right w:val="single" w:sz="12" w:space="0" w:color="auto"/>
              <w:tl2br w:val="nil"/>
              <w:tr2bl w:val="nil"/>
            </w:tcBorders>
            <w:noWrap/>
            <w:vAlign w:val="bottom"/>
          </w:tcPr>
          <w:p/>
        </w:tc>
        <w:tc>
          <w:tcPr>
            <w:tcW w:w="402" w:type="pct"/>
            <w:vMerge/>
            <w:tcBorders>
              <w:top w:val="single" w:sz="12" w:space="0" w:color="auto"/>
              <w:left w:val="single" w:sz="12" w:space="0" w:color="auto"/>
              <w:bottom w:val="single" w:sz="12" w:space="0" w:color="000000"/>
              <w:right w:val="single" w:sz="12" w:space="0" w:color="auto"/>
              <w:tl2br w:val="nil"/>
              <w:tr2bl w:val="nil"/>
            </w:tcBorders>
            <w:noWrap/>
            <w:vAlign w:val="bottom"/>
          </w:tcPr>
          <w:p/>
        </w:tc>
        <w:tc>
          <w:tcPr>
            <w:tcW w:w="208" w:type="pct"/>
            <w:vMerge/>
            <w:tcBorders>
              <w:top w:val="single" w:sz="12" w:space="0" w:color="auto"/>
              <w:left w:val="single" w:sz="12" w:space="0" w:color="auto"/>
              <w:bottom w:val="single" w:sz="12" w:space="0" w:color="000000"/>
              <w:right w:val="single" w:sz="12" w:space="0" w:color="auto"/>
              <w:tl2br w:val="nil"/>
              <w:tr2bl w:val="nil"/>
            </w:tcBorders>
            <w:noWrap/>
            <w:vAlign w:val="bottom"/>
          </w:tcPr>
          <w:p/>
        </w:tc>
        <w:tc>
          <w:tcPr>
            <w:tcW w:w="402" w:type="pct"/>
            <w:vMerge/>
            <w:tcBorders>
              <w:top w:val="single" w:sz="12" w:space="0" w:color="auto"/>
              <w:left w:val="single" w:sz="12" w:space="0" w:color="auto"/>
              <w:bottom w:val="single" w:sz="12" w:space="0" w:color="000000"/>
              <w:right w:val="single" w:sz="12" w:space="0" w:color="auto"/>
              <w:tl2br w:val="nil"/>
              <w:tr2bl w:val="nil"/>
            </w:tcBorders>
            <w:noWrap/>
            <w:vAlign w:val="bottom"/>
          </w:tcPr>
          <w:p/>
        </w:tc>
        <w:tc>
          <w:tcPr>
            <w:tcW w:w="208" w:type="pct"/>
            <w:vMerge/>
            <w:tcBorders>
              <w:top w:val="single" w:sz="12" w:space="0" w:color="auto"/>
              <w:left w:val="single" w:sz="12" w:space="0" w:color="auto"/>
              <w:bottom w:val="single" w:sz="12" w:space="0" w:color="000000"/>
              <w:right w:val="single" w:sz="12" w:space="0" w:color="auto"/>
              <w:tl2br w:val="nil"/>
              <w:tr2bl w:val="nil"/>
            </w:tcBorders>
            <w:noWrap/>
            <w:vAlign w:val="bottom"/>
          </w:tcPr>
          <w:p/>
        </w:tc>
      </w:tr>
      <w:tr>
        <w:trPr>
          <w:trHeight w:val="269"/>
        </w:trPr>
        <w:tc>
          <w:tcPr>
            <w:tcW w:w="301" w:type="pct"/>
            <w:tcBorders>
              <w:top w:val="nil"/>
              <w:left w:val="single" w:sz="12" w:space="0" w:color="auto"/>
              <w:bottom w:val="single" w:sz="12" w:space="0" w:color="auto"/>
              <w:right w:val="single" w:sz="12" w:space="0" w:color="auto"/>
              <w:tl2br w:val="nil"/>
              <w:tr2bl w:val="nil"/>
            </w:tcBorders>
            <w:noWrap/>
            <w:vAlign w:val="bottom"/>
          </w:tcPr>
          <w:p>
            <w:pPr>
              <w:rPr>
                <w:rFonts w:ascii="Times New Roman" w:eastAsia="宋体" w:hAnsi="Times New Roman"/>
                <w:b/>
                <w:i w:val="0"/>
                <w:color w:val="000000"/>
                <w:sz w:val="16"/>
              </w:rPr>
            </w:pPr>
            <w:r>
              <w:rPr>
                <w:rFonts w:ascii="Times New Roman" w:eastAsia="宋体" w:hAnsi="Times New Roman"/>
                <w:b/>
                <w:i w:val="0"/>
                <w:color w:val="000000"/>
                <w:sz w:val="16"/>
              </w:rPr>
              <w:t>201</w:t>
            </w:r>
          </w:p>
        </w:tc>
        <w:tc>
          <w:tcPr>
            <w:tcW w:w="942" w:type="pct"/>
            <w:tcBorders>
              <w:top w:val="nil"/>
              <w:left w:val="nil"/>
              <w:bottom w:val="single" w:sz="12" w:space="0" w:color="auto"/>
              <w:right w:val="single" w:sz="12" w:space="0" w:color="auto"/>
              <w:tl2br w:val="nil"/>
              <w:tr2bl w:val="nil"/>
            </w:tcBorders>
            <w:noWrap/>
            <w:vAlign w:val="bottom"/>
          </w:tcPr>
          <w:p>
            <w:pPr>
              <w:rPr>
                <w:rFonts w:ascii="宋体" w:eastAsia="宋体"/>
                <w:b/>
                <w:i w:val="0"/>
                <w:strike w:val="0"/>
                <w:dstrike w:val="0"/>
                <w:color w:val="000000"/>
                <w:sz w:val="16"/>
              </w:rPr>
            </w:pPr>
            <w:r>
              <w:rPr>
                <w:rFonts w:ascii="Times New Roman" w:hAnsi="Times New Roman"/>
                <w:b/>
                <w:i w:val="0"/>
                <w:strike w:val="0"/>
                <w:dstrike w:val="0"/>
                <w:color w:val="000000"/>
                <w:sz w:val="16"/>
              </w:rPr>
              <w:t xml:space="preserve">  </w:t>
            </w:r>
            <w:r>
              <w:rPr>
                <w:rFonts w:ascii="宋体" w:eastAsia="宋体"/>
                <w:b/>
                <w:i w:val="0"/>
                <w:strike w:val="0"/>
                <w:dstrike w:val="0"/>
                <w:color w:val="000000"/>
                <w:sz w:val="16"/>
              </w:rPr>
              <w:t>一般公共服务支出</w:t>
            </w:r>
          </w:p>
        </w:tc>
        <w:tc>
          <w:tcPr>
            <w:tcW w:w="40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6,038.33</w:t>
            </w:r>
          </w:p>
        </w:tc>
        <w:tc>
          <w:tcPr>
            <w:tcW w:w="406"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6,038.33</w:t>
            </w:r>
          </w:p>
        </w:tc>
        <w:tc>
          <w:tcPr>
            <w:tcW w:w="46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6,840.81</w:t>
            </w:r>
          </w:p>
        </w:tc>
        <w:tc>
          <w:tcPr>
            <w:tcW w:w="35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5,282.78</w:t>
            </w:r>
          </w:p>
        </w:tc>
        <w:tc>
          <w:tcPr>
            <w:tcW w:w="33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1,558.03</w:t>
            </w:r>
          </w:p>
        </w:tc>
        <w:tc>
          <w:tcPr>
            <w:tcW w:w="33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6,840.81</w:t>
            </w:r>
          </w:p>
        </w:tc>
        <w:tc>
          <w:tcPr>
            <w:tcW w:w="44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802.48</w:t>
            </w:r>
          </w:p>
        </w:tc>
        <w:tc>
          <w:tcPr>
            <w:tcW w:w="39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13.29%</w:t>
            </w:r>
          </w:p>
        </w:tc>
        <w:tc>
          <w:tcPr>
            <w:tcW w:w="282"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802.48</w:t>
            </w:r>
          </w:p>
        </w:tc>
        <w:tc>
          <w:tcPr>
            <w:tcW w:w="34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13.29%</w:t>
            </w:r>
          </w:p>
        </w:tc>
      </w:tr>
      <w:tr>
        <w:trPr>
          <w:trHeight w:val="269"/>
        </w:trPr>
        <w:tc>
          <w:tcPr>
            <w:tcW w:w="301" w:type="pct"/>
            <w:tcBorders>
              <w:top w:val="nil"/>
              <w:left w:val="single" w:sz="12" w:space="0" w:color="auto"/>
              <w:bottom w:val="single" w:sz="12" w:space="0" w:color="auto"/>
              <w:right w:val="single" w:sz="12" w:space="0" w:color="auto"/>
              <w:tl2br w:val="nil"/>
              <w:tr2bl w:val="nil"/>
            </w:tcBorders>
            <w:noWrap/>
            <w:vAlign w:val="bottom"/>
          </w:tcPr>
          <w:p>
            <w:pPr>
              <w:rPr>
                <w:rFonts w:ascii="Times New Roman" w:eastAsia="宋体" w:hAnsi="Times New Roman"/>
                <w:b/>
                <w:i w:val="0"/>
                <w:color w:val="000000"/>
                <w:sz w:val="16"/>
              </w:rPr>
            </w:pPr>
            <w:r>
              <w:rPr>
                <w:rFonts w:ascii="Times New Roman" w:eastAsia="宋体" w:hAnsi="Times New Roman"/>
                <w:b/>
                <w:i w:val="0"/>
                <w:color w:val="000000"/>
                <w:sz w:val="16"/>
              </w:rPr>
              <w:t>20109</w:t>
            </w:r>
          </w:p>
        </w:tc>
        <w:tc>
          <w:tcPr>
            <w:tcW w:w="942" w:type="pct"/>
            <w:tcBorders>
              <w:top w:val="nil"/>
              <w:left w:val="nil"/>
              <w:bottom w:val="single" w:sz="12" w:space="0" w:color="auto"/>
              <w:right w:val="single" w:sz="12" w:space="0" w:color="auto"/>
              <w:tl2br w:val="nil"/>
              <w:tr2bl w:val="nil"/>
            </w:tcBorders>
            <w:noWrap/>
            <w:vAlign w:val="bottom"/>
          </w:tcPr>
          <w:p>
            <w:pPr>
              <w:rPr>
                <w:rFonts w:ascii="宋体" w:eastAsia="宋体"/>
                <w:b/>
                <w:i w:val="0"/>
                <w:strike w:val="0"/>
                <w:dstrike w:val="0"/>
                <w:color w:val="000000"/>
                <w:sz w:val="16"/>
              </w:rPr>
            </w:pPr>
            <w:r>
              <w:rPr>
                <w:rFonts w:ascii="Times New Roman" w:hAnsi="Times New Roman"/>
                <w:b/>
                <w:i w:val="0"/>
                <w:strike w:val="0"/>
                <w:dstrike w:val="0"/>
                <w:color w:val="000000"/>
                <w:sz w:val="16"/>
              </w:rPr>
              <w:t xml:space="preserve">    </w:t>
            </w:r>
            <w:r>
              <w:rPr>
                <w:rFonts w:ascii="宋体" w:eastAsia="宋体"/>
                <w:b/>
                <w:i w:val="0"/>
                <w:strike w:val="0"/>
                <w:dstrike w:val="0"/>
                <w:color w:val="000000"/>
                <w:sz w:val="16"/>
              </w:rPr>
              <w:t>海关事务</w:t>
            </w:r>
          </w:p>
        </w:tc>
        <w:tc>
          <w:tcPr>
            <w:tcW w:w="40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6,038.33</w:t>
            </w:r>
          </w:p>
        </w:tc>
        <w:tc>
          <w:tcPr>
            <w:tcW w:w="406"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6,038.33</w:t>
            </w:r>
          </w:p>
        </w:tc>
        <w:tc>
          <w:tcPr>
            <w:tcW w:w="46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6,840.81</w:t>
            </w:r>
          </w:p>
        </w:tc>
        <w:tc>
          <w:tcPr>
            <w:tcW w:w="35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5,282.78</w:t>
            </w:r>
          </w:p>
        </w:tc>
        <w:tc>
          <w:tcPr>
            <w:tcW w:w="33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1,558.03</w:t>
            </w:r>
          </w:p>
        </w:tc>
        <w:tc>
          <w:tcPr>
            <w:tcW w:w="33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6,840.81</w:t>
            </w:r>
          </w:p>
        </w:tc>
        <w:tc>
          <w:tcPr>
            <w:tcW w:w="44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802.48</w:t>
            </w:r>
          </w:p>
        </w:tc>
        <w:tc>
          <w:tcPr>
            <w:tcW w:w="39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13.29%</w:t>
            </w:r>
          </w:p>
        </w:tc>
        <w:tc>
          <w:tcPr>
            <w:tcW w:w="282"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802.48</w:t>
            </w:r>
          </w:p>
        </w:tc>
        <w:tc>
          <w:tcPr>
            <w:tcW w:w="34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13.29%</w:t>
            </w:r>
          </w:p>
        </w:tc>
      </w:tr>
      <w:tr>
        <w:trPr>
          <w:trHeight w:val="269"/>
        </w:trPr>
        <w:tc>
          <w:tcPr>
            <w:tcW w:w="301" w:type="pct"/>
            <w:tcBorders>
              <w:top w:val="nil"/>
              <w:left w:val="single" w:sz="12" w:space="0" w:color="auto"/>
              <w:bottom w:val="single" w:sz="12" w:space="0" w:color="auto"/>
              <w:right w:val="single" w:sz="12" w:space="0" w:color="auto"/>
              <w:tl2br w:val="nil"/>
              <w:tr2bl w:val="nil"/>
            </w:tcBorders>
            <w:noWrap/>
            <w:vAlign w:val="bottom"/>
          </w:tcPr>
          <w:p>
            <w:pPr>
              <w:rPr>
                <w:rFonts w:ascii="Times New Roman" w:eastAsia="宋体" w:hAnsi="Times New Roman"/>
                <w:b w:val="0"/>
                <w:i w:val="0"/>
                <w:color w:val="000000"/>
                <w:sz w:val="16"/>
              </w:rPr>
            </w:pPr>
            <w:r>
              <w:rPr>
                <w:rFonts w:ascii="Times New Roman" w:eastAsia="宋体" w:hAnsi="Times New Roman"/>
                <w:b w:val="0"/>
                <w:i w:val="0"/>
                <w:color w:val="000000"/>
                <w:sz w:val="16"/>
              </w:rPr>
              <w:t>2010901</w:t>
            </w:r>
          </w:p>
        </w:tc>
        <w:tc>
          <w:tcPr>
            <w:tcW w:w="942" w:type="pct"/>
            <w:tcBorders>
              <w:top w:val="nil"/>
              <w:left w:val="nil"/>
              <w:bottom w:val="single" w:sz="12" w:space="0" w:color="auto"/>
              <w:right w:val="single" w:sz="12" w:space="0" w:color="auto"/>
              <w:tl2br w:val="nil"/>
              <w:tr2bl w:val="nil"/>
            </w:tcBorders>
            <w:noWrap/>
            <w:vAlign w:val="bottom"/>
          </w:tcPr>
          <w:p>
            <w:pPr>
              <w:rPr>
                <w:rFonts w:ascii="宋体" w:eastAsia="宋体"/>
                <w:b w:val="0"/>
                <w:i w:val="0"/>
                <w:color w:val="000000"/>
                <w:sz w:val="16"/>
              </w:rPr>
            </w:pPr>
            <w:r>
              <w:rPr>
                <w:rFonts w:ascii="宋体" w:eastAsia="宋体"/>
                <w:b w:val="0"/>
                <w:i w:val="0"/>
                <w:color w:val="000000"/>
                <w:sz w:val="16"/>
              </w:rPr>
              <w:t>行政运行</w:t>
            </w:r>
          </w:p>
        </w:tc>
        <w:tc>
          <w:tcPr>
            <w:tcW w:w="40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6,038.33</w:t>
            </w:r>
          </w:p>
        </w:tc>
        <w:tc>
          <w:tcPr>
            <w:tcW w:w="406"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6,038.33</w:t>
            </w:r>
          </w:p>
        </w:tc>
        <w:tc>
          <w:tcPr>
            <w:tcW w:w="46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5,282.78</w:t>
            </w:r>
          </w:p>
        </w:tc>
        <w:tc>
          <w:tcPr>
            <w:tcW w:w="35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5,282.78</w:t>
            </w:r>
          </w:p>
        </w:tc>
        <w:tc>
          <w:tcPr>
            <w:tcW w:w="334" w:type="pct"/>
            <w:tcBorders>
              <w:top w:val="nil"/>
              <w:left w:val="nil"/>
              <w:bottom w:val="single" w:sz="12" w:space="0" w:color="auto"/>
              <w:right w:val="single" w:sz="12" w:space="0" w:color="auto"/>
              <w:tl2br w:val="nil"/>
              <w:tr2bl w:val="nil"/>
            </w:tcBorders>
            <w:noWrap/>
            <w:vAlign w:val="bottom"/>
          </w:tcPr>
          <w:p>
            <w:pPr>
              <w:jc w:val="right"/>
              <w:rPr>
                <w:rFonts w:ascii="宋体" w:eastAsia="宋体"/>
                <w:b w:val="0"/>
                <w:i w:val="0"/>
                <w:color w:val="000000"/>
                <w:sz w:val="16"/>
              </w:rPr>
            </w:pPr>
          </w:p>
        </w:tc>
        <w:tc>
          <w:tcPr>
            <w:tcW w:w="33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5,282.78</w:t>
            </w:r>
          </w:p>
        </w:tc>
        <w:tc>
          <w:tcPr>
            <w:tcW w:w="44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-755.55</w:t>
            </w:r>
          </w:p>
        </w:tc>
        <w:tc>
          <w:tcPr>
            <w:tcW w:w="39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-12.51%</w:t>
            </w:r>
          </w:p>
        </w:tc>
        <w:tc>
          <w:tcPr>
            <w:tcW w:w="282"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-755.55</w:t>
            </w:r>
          </w:p>
        </w:tc>
        <w:tc>
          <w:tcPr>
            <w:tcW w:w="34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-12.51%</w:t>
            </w:r>
          </w:p>
        </w:tc>
      </w:tr>
      <w:tr>
        <w:trPr>
          <w:trHeight w:val="269"/>
        </w:trPr>
        <w:tc>
          <w:tcPr>
            <w:tcW w:w="301" w:type="pct"/>
            <w:tcBorders>
              <w:top w:val="nil"/>
              <w:left w:val="single" w:sz="12" w:space="0" w:color="auto"/>
              <w:bottom w:val="single" w:sz="12" w:space="0" w:color="auto"/>
              <w:right w:val="single" w:sz="12" w:space="0" w:color="auto"/>
              <w:tl2br w:val="nil"/>
              <w:tr2bl w:val="nil"/>
            </w:tcBorders>
            <w:noWrap/>
            <w:vAlign w:val="bottom"/>
          </w:tcPr>
          <w:p>
            <w:pPr>
              <w:rPr>
                <w:rFonts w:ascii="Times New Roman" w:eastAsia="宋体" w:hAnsi="Times New Roman"/>
                <w:b w:val="0"/>
                <w:i w:val="0"/>
                <w:color w:val="000000"/>
                <w:sz w:val="16"/>
              </w:rPr>
            </w:pPr>
            <w:r>
              <w:rPr>
                <w:rFonts w:ascii="Times New Roman" w:eastAsia="宋体" w:hAnsi="Times New Roman"/>
                <w:b w:val="0"/>
                <w:i w:val="0"/>
                <w:color w:val="000000"/>
                <w:sz w:val="16"/>
              </w:rPr>
              <w:t>2010902</w:t>
            </w:r>
          </w:p>
        </w:tc>
        <w:tc>
          <w:tcPr>
            <w:tcW w:w="942" w:type="pct"/>
            <w:tcBorders>
              <w:top w:val="nil"/>
              <w:left w:val="nil"/>
              <w:bottom w:val="single" w:sz="12" w:space="0" w:color="auto"/>
              <w:right w:val="single" w:sz="12" w:space="0" w:color="auto"/>
              <w:tl2br w:val="nil"/>
              <w:tr2bl w:val="nil"/>
            </w:tcBorders>
            <w:noWrap/>
            <w:vAlign w:val="bottom"/>
          </w:tcPr>
          <w:p>
            <w:pPr>
              <w:rPr>
                <w:rFonts w:ascii="宋体" w:eastAsia="宋体"/>
                <w:b w:val="0"/>
                <w:i w:val="0"/>
                <w:color w:val="000000"/>
                <w:sz w:val="16"/>
              </w:rPr>
            </w:pPr>
            <w:r>
              <w:rPr>
                <w:rFonts w:ascii="宋体" w:eastAsia="宋体"/>
                <w:b w:val="0"/>
                <w:i w:val="0"/>
                <w:color w:val="000000"/>
                <w:sz w:val="16"/>
              </w:rPr>
              <w:t>一般行政管理事务</w:t>
            </w:r>
          </w:p>
        </w:tc>
        <w:tc>
          <w:tcPr>
            <w:tcW w:w="40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2</w:t>
            </w:r>
          </w:p>
        </w:tc>
        <w:tc>
          <w:tcPr>
            <w:tcW w:w="406"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2</w:t>
            </w:r>
          </w:p>
        </w:tc>
        <w:tc>
          <w:tcPr>
            <w:tcW w:w="46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5</w:t>
            </w:r>
          </w:p>
        </w:tc>
        <w:tc>
          <w:tcPr>
            <w:tcW w:w="354" w:type="pct"/>
            <w:tcBorders>
              <w:top w:val="nil"/>
              <w:left w:val="nil"/>
              <w:bottom w:val="single" w:sz="12" w:space="0" w:color="auto"/>
              <w:right w:val="single" w:sz="12" w:space="0" w:color="auto"/>
              <w:tl2br w:val="nil"/>
              <w:tr2bl w:val="nil"/>
            </w:tcBorders>
            <w:noWrap/>
            <w:vAlign w:val="bottom"/>
          </w:tcPr>
          <w:p>
            <w:pPr>
              <w:jc w:val="right"/>
              <w:rPr>
                <w:rFonts w:ascii="宋体" w:eastAsia="宋体"/>
                <w:b w:val="0"/>
                <w:i w:val="0"/>
                <w:color w:val="000000"/>
                <w:sz w:val="16"/>
              </w:rPr>
            </w:pPr>
          </w:p>
        </w:tc>
        <w:tc>
          <w:tcPr>
            <w:tcW w:w="33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5</w:t>
            </w:r>
          </w:p>
        </w:tc>
        <w:tc>
          <w:tcPr>
            <w:tcW w:w="33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5</w:t>
            </w:r>
          </w:p>
        </w:tc>
        <w:tc>
          <w:tcPr>
            <w:tcW w:w="44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3.00</w:t>
            </w:r>
          </w:p>
        </w:tc>
        <w:tc>
          <w:tcPr>
            <w:tcW w:w="39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150.00%</w:t>
            </w:r>
          </w:p>
        </w:tc>
        <w:tc>
          <w:tcPr>
            <w:tcW w:w="282"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3.00</w:t>
            </w:r>
          </w:p>
        </w:tc>
        <w:tc>
          <w:tcPr>
            <w:tcW w:w="34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150.00%</w:t>
            </w:r>
          </w:p>
        </w:tc>
      </w:tr>
      <w:tr>
        <w:trPr>
          <w:trHeight w:val="305"/>
        </w:trPr>
        <w:tc>
          <w:tcPr>
            <w:tcW w:w="301" w:type="pct"/>
            <w:tcBorders>
              <w:top w:val="nil"/>
              <w:left w:val="single" w:sz="12" w:space="0" w:color="auto"/>
              <w:bottom w:val="single" w:sz="12" w:space="0" w:color="auto"/>
              <w:right w:val="single" w:sz="12" w:space="0" w:color="auto"/>
              <w:tl2br w:val="nil"/>
              <w:tr2bl w:val="nil"/>
            </w:tcBorders>
            <w:noWrap/>
            <w:vAlign w:val="bottom"/>
          </w:tcPr>
          <w:p>
            <w:pPr>
              <w:rPr>
                <w:rFonts w:ascii="Times New Roman" w:eastAsia="宋体" w:hAnsi="Times New Roman"/>
                <w:b w:val="0"/>
                <w:i w:val="0"/>
                <w:color w:val="000000"/>
                <w:sz w:val="16"/>
              </w:rPr>
            </w:pPr>
            <w:r>
              <w:rPr>
                <w:rFonts w:ascii="Times New Roman" w:eastAsia="宋体" w:hAnsi="Times New Roman"/>
                <w:b w:val="0"/>
                <w:i w:val="0"/>
                <w:color w:val="000000"/>
                <w:sz w:val="16"/>
              </w:rPr>
              <w:t>2010903</w:t>
            </w:r>
          </w:p>
        </w:tc>
        <w:tc>
          <w:tcPr>
            <w:tcW w:w="942" w:type="pct"/>
            <w:tcBorders>
              <w:top w:val="nil"/>
              <w:left w:val="nil"/>
              <w:bottom w:val="single" w:sz="12" w:space="0" w:color="auto"/>
              <w:right w:val="single" w:sz="12" w:space="0" w:color="auto"/>
              <w:tl2br w:val="nil"/>
              <w:tr2bl w:val="nil"/>
            </w:tcBorders>
            <w:noWrap/>
            <w:vAlign w:val="bottom"/>
          </w:tcPr>
          <w:p>
            <w:pPr>
              <w:rPr>
                <w:rFonts w:ascii="宋体" w:eastAsia="宋体"/>
                <w:b w:val="0"/>
                <w:i w:val="0"/>
                <w:color w:val="000000"/>
                <w:sz w:val="16"/>
              </w:rPr>
            </w:pPr>
            <w:r>
              <w:rPr>
                <w:rFonts w:ascii="宋体" w:eastAsia="宋体"/>
                <w:b w:val="0"/>
                <w:i w:val="0"/>
                <w:color w:val="000000"/>
                <w:sz w:val="16"/>
              </w:rPr>
              <w:t>机关服务</w:t>
            </w:r>
          </w:p>
        </w:tc>
        <w:tc>
          <w:tcPr>
            <w:tcW w:w="40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p>
        </w:tc>
        <w:tc>
          <w:tcPr>
            <w:tcW w:w="406"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p>
        </w:tc>
        <w:tc>
          <w:tcPr>
            <w:tcW w:w="46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p>
        </w:tc>
        <w:tc>
          <w:tcPr>
            <w:tcW w:w="35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p>
        </w:tc>
        <w:tc>
          <w:tcPr>
            <w:tcW w:w="334" w:type="pct"/>
            <w:tcBorders>
              <w:top w:val="nil"/>
              <w:left w:val="nil"/>
              <w:bottom w:val="single" w:sz="12" w:space="0" w:color="auto"/>
              <w:right w:val="single" w:sz="12" w:space="0" w:color="auto"/>
              <w:tl2br w:val="nil"/>
              <w:tr2bl w:val="nil"/>
            </w:tcBorders>
            <w:noWrap/>
            <w:vAlign w:val="bottom"/>
          </w:tcPr>
          <w:p>
            <w:pPr>
              <w:jc w:val="right"/>
              <w:rPr>
                <w:rFonts w:ascii="宋体" w:eastAsia="宋体"/>
                <w:b w:val="0"/>
                <w:i w:val="0"/>
                <w:color w:val="000000"/>
                <w:sz w:val="16"/>
              </w:rPr>
            </w:pPr>
          </w:p>
        </w:tc>
        <w:tc>
          <w:tcPr>
            <w:tcW w:w="33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p>
        </w:tc>
        <w:tc>
          <w:tcPr>
            <w:tcW w:w="44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p>
        </w:tc>
        <w:tc>
          <w:tcPr>
            <w:tcW w:w="39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p>
        </w:tc>
        <w:tc>
          <w:tcPr>
            <w:tcW w:w="282"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p>
        </w:tc>
        <w:tc>
          <w:tcPr>
            <w:tcW w:w="34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p>
        </w:tc>
      </w:tr>
      <w:tr>
        <w:trPr>
          <w:trHeight w:val="269"/>
        </w:trPr>
        <w:tc>
          <w:tcPr>
            <w:tcW w:w="301" w:type="pct"/>
            <w:tcBorders>
              <w:top w:val="nil"/>
              <w:left w:val="single" w:sz="12" w:space="0" w:color="auto"/>
              <w:bottom w:val="single" w:sz="12" w:space="0" w:color="auto"/>
              <w:right w:val="single" w:sz="12" w:space="0" w:color="auto"/>
              <w:tl2br w:val="nil"/>
              <w:tr2bl w:val="nil"/>
            </w:tcBorders>
            <w:noWrap/>
            <w:vAlign w:val="bottom"/>
          </w:tcPr>
          <w:p>
            <w:pPr>
              <w:rPr>
                <w:rFonts w:ascii="Times New Roman" w:eastAsia="宋体" w:hAnsi="Times New Roman"/>
                <w:b w:val="0"/>
                <w:i w:val="0"/>
                <w:color w:val="000000"/>
                <w:sz w:val="16"/>
              </w:rPr>
            </w:pPr>
            <w:r>
              <w:rPr>
                <w:rFonts w:ascii="Times New Roman" w:eastAsia="宋体" w:hAnsi="Times New Roman"/>
                <w:b w:val="0"/>
                <w:i w:val="0"/>
                <w:color w:val="000000"/>
                <w:sz w:val="16"/>
              </w:rPr>
              <w:t>2010905</w:t>
            </w:r>
          </w:p>
        </w:tc>
        <w:tc>
          <w:tcPr>
            <w:tcW w:w="942" w:type="pct"/>
            <w:tcBorders>
              <w:top w:val="nil"/>
              <w:left w:val="nil"/>
              <w:bottom w:val="single" w:sz="12" w:space="0" w:color="auto"/>
              <w:right w:val="single" w:sz="12" w:space="0" w:color="auto"/>
              <w:tl2br w:val="nil"/>
              <w:tr2bl w:val="nil"/>
            </w:tcBorders>
            <w:noWrap/>
            <w:vAlign w:val="bottom"/>
          </w:tcPr>
          <w:p>
            <w:pPr>
              <w:rPr>
                <w:rFonts w:ascii="宋体" w:eastAsia="宋体"/>
                <w:b w:val="0"/>
                <w:i w:val="0"/>
                <w:color w:val="000000"/>
                <w:sz w:val="16"/>
              </w:rPr>
            </w:pPr>
            <w:r>
              <w:rPr>
                <w:rFonts w:ascii="宋体" w:eastAsia="宋体"/>
                <w:b w:val="0"/>
                <w:i w:val="0"/>
                <w:color w:val="000000"/>
                <w:sz w:val="16"/>
              </w:rPr>
              <w:t>缉私办案</w:t>
            </w:r>
          </w:p>
        </w:tc>
        <w:tc>
          <w:tcPr>
            <w:tcW w:w="40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3</w:t>
            </w:r>
          </w:p>
        </w:tc>
        <w:tc>
          <w:tcPr>
            <w:tcW w:w="406"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3</w:t>
            </w:r>
          </w:p>
        </w:tc>
        <w:tc>
          <w:tcPr>
            <w:tcW w:w="46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8</w:t>
            </w:r>
          </w:p>
        </w:tc>
        <w:tc>
          <w:tcPr>
            <w:tcW w:w="354" w:type="pct"/>
            <w:tcBorders>
              <w:top w:val="nil"/>
              <w:left w:val="nil"/>
              <w:bottom w:val="single" w:sz="12" w:space="0" w:color="auto"/>
              <w:right w:val="single" w:sz="12" w:space="0" w:color="auto"/>
              <w:tl2br w:val="nil"/>
              <w:tr2bl w:val="nil"/>
            </w:tcBorders>
            <w:noWrap/>
            <w:vAlign w:val="bottom"/>
          </w:tcPr>
          <w:p>
            <w:pPr>
              <w:jc w:val="right"/>
              <w:rPr>
                <w:rFonts w:ascii="宋体" w:eastAsia="宋体"/>
                <w:b w:val="0"/>
                <w:i w:val="0"/>
                <w:color w:val="000000"/>
                <w:sz w:val="16"/>
              </w:rPr>
            </w:pPr>
          </w:p>
        </w:tc>
        <w:tc>
          <w:tcPr>
            <w:tcW w:w="33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8</w:t>
            </w:r>
          </w:p>
        </w:tc>
        <w:tc>
          <w:tcPr>
            <w:tcW w:w="33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8</w:t>
            </w:r>
          </w:p>
        </w:tc>
        <w:tc>
          <w:tcPr>
            <w:tcW w:w="44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5.00</w:t>
            </w:r>
          </w:p>
        </w:tc>
        <w:tc>
          <w:tcPr>
            <w:tcW w:w="39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166.67%</w:t>
            </w:r>
          </w:p>
        </w:tc>
        <w:tc>
          <w:tcPr>
            <w:tcW w:w="282"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5.00</w:t>
            </w:r>
          </w:p>
        </w:tc>
        <w:tc>
          <w:tcPr>
            <w:tcW w:w="34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166.67%</w:t>
            </w:r>
          </w:p>
        </w:tc>
      </w:tr>
      <w:tr>
        <w:trPr>
          <w:trHeight w:val="269"/>
        </w:trPr>
        <w:tc>
          <w:tcPr>
            <w:tcW w:w="301" w:type="pct"/>
            <w:tcBorders>
              <w:top w:val="nil"/>
              <w:left w:val="single" w:sz="12" w:space="0" w:color="auto"/>
              <w:bottom w:val="single" w:sz="12" w:space="0" w:color="auto"/>
              <w:right w:val="single" w:sz="12" w:space="0" w:color="auto"/>
              <w:tl2br w:val="nil"/>
              <w:tr2bl w:val="nil"/>
            </w:tcBorders>
            <w:noWrap/>
            <w:vAlign w:val="bottom"/>
          </w:tcPr>
          <w:p>
            <w:pPr>
              <w:rPr>
                <w:rFonts w:ascii="Times New Roman" w:eastAsia="宋体" w:hAnsi="Times New Roman"/>
                <w:b w:val="0"/>
                <w:i w:val="0"/>
                <w:color w:val="000000"/>
                <w:sz w:val="16"/>
              </w:rPr>
            </w:pPr>
            <w:r>
              <w:rPr>
                <w:rFonts w:ascii="Times New Roman" w:eastAsia="宋体" w:hAnsi="Times New Roman"/>
                <w:b w:val="0"/>
                <w:i w:val="0"/>
                <w:color w:val="000000"/>
                <w:sz w:val="16"/>
              </w:rPr>
              <w:t>2010907</w:t>
            </w:r>
          </w:p>
        </w:tc>
        <w:tc>
          <w:tcPr>
            <w:tcW w:w="942" w:type="pct"/>
            <w:tcBorders>
              <w:top w:val="nil"/>
              <w:left w:val="nil"/>
              <w:bottom w:val="single" w:sz="12" w:space="0" w:color="auto"/>
              <w:right w:val="single" w:sz="12" w:space="0" w:color="auto"/>
              <w:tl2br w:val="nil"/>
              <w:tr2bl w:val="nil"/>
            </w:tcBorders>
            <w:noWrap/>
            <w:vAlign w:val="bottom"/>
          </w:tcPr>
          <w:p>
            <w:pPr>
              <w:rPr>
                <w:rFonts w:ascii="宋体" w:eastAsia="宋体"/>
                <w:b w:val="0"/>
                <w:i w:val="0"/>
                <w:color w:val="000000"/>
                <w:sz w:val="16"/>
              </w:rPr>
            </w:pPr>
            <w:r>
              <w:rPr>
                <w:rFonts w:ascii="宋体" w:eastAsia="宋体"/>
                <w:b w:val="0"/>
                <w:i w:val="0"/>
                <w:color w:val="000000"/>
                <w:sz w:val="16"/>
              </w:rPr>
              <w:t>口岸管理</w:t>
            </w:r>
          </w:p>
        </w:tc>
        <w:tc>
          <w:tcPr>
            <w:tcW w:w="40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46.2</w:t>
            </w:r>
          </w:p>
        </w:tc>
        <w:tc>
          <w:tcPr>
            <w:tcW w:w="406"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46.2</w:t>
            </w:r>
          </w:p>
        </w:tc>
        <w:tc>
          <w:tcPr>
            <w:tcW w:w="46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39.2</w:t>
            </w:r>
          </w:p>
        </w:tc>
        <w:tc>
          <w:tcPr>
            <w:tcW w:w="354" w:type="pct"/>
            <w:tcBorders>
              <w:top w:val="nil"/>
              <w:left w:val="nil"/>
              <w:bottom w:val="single" w:sz="12" w:space="0" w:color="auto"/>
              <w:right w:val="single" w:sz="12" w:space="0" w:color="auto"/>
              <w:tl2br w:val="nil"/>
              <w:tr2bl w:val="nil"/>
            </w:tcBorders>
            <w:noWrap/>
            <w:vAlign w:val="bottom"/>
          </w:tcPr>
          <w:p>
            <w:pPr>
              <w:jc w:val="right"/>
              <w:rPr>
                <w:rFonts w:ascii="宋体" w:eastAsia="宋体"/>
                <w:b w:val="0"/>
                <w:i w:val="0"/>
                <w:color w:val="000000"/>
                <w:sz w:val="16"/>
              </w:rPr>
            </w:pPr>
          </w:p>
        </w:tc>
        <w:tc>
          <w:tcPr>
            <w:tcW w:w="33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39.2</w:t>
            </w:r>
          </w:p>
        </w:tc>
        <w:tc>
          <w:tcPr>
            <w:tcW w:w="33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39.2</w:t>
            </w:r>
          </w:p>
        </w:tc>
        <w:tc>
          <w:tcPr>
            <w:tcW w:w="44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-7.00</w:t>
            </w:r>
          </w:p>
        </w:tc>
        <w:tc>
          <w:tcPr>
            <w:tcW w:w="39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-15.15%</w:t>
            </w:r>
          </w:p>
        </w:tc>
        <w:tc>
          <w:tcPr>
            <w:tcW w:w="282"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-7.00</w:t>
            </w:r>
          </w:p>
        </w:tc>
        <w:tc>
          <w:tcPr>
            <w:tcW w:w="34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-15.15%</w:t>
            </w:r>
          </w:p>
        </w:tc>
      </w:tr>
      <w:tr>
        <w:trPr>
          <w:trHeight w:val="269"/>
        </w:trPr>
        <w:tc>
          <w:tcPr>
            <w:tcW w:w="301" w:type="pct"/>
            <w:tcBorders>
              <w:top w:val="nil"/>
              <w:left w:val="single" w:sz="12" w:space="0" w:color="auto"/>
              <w:bottom w:val="single" w:sz="12" w:space="0" w:color="auto"/>
              <w:right w:val="single" w:sz="12" w:space="0" w:color="auto"/>
              <w:tl2br w:val="nil"/>
              <w:tr2bl w:val="nil"/>
            </w:tcBorders>
            <w:noWrap/>
            <w:vAlign w:val="bottom"/>
          </w:tcPr>
          <w:p>
            <w:pPr>
              <w:rPr>
                <w:rFonts w:ascii="Times New Roman" w:eastAsia="宋体" w:hAnsi="Times New Roman"/>
                <w:b w:val="0"/>
                <w:i w:val="0"/>
                <w:color w:val="000000"/>
                <w:sz w:val="16"/>
              </w:rPr>
            </w:pPr>
            <w:r>
              <w:rPr>
                <w:rFonts w:ascii="Times New Roman" w:eastAsia="宋体" w:hAnsi="Times New Roman"/>
                <w:b w:val="0"/>
                <w:i w:val="0"/>
                <w:color w:val="000000"/>
                <w:sz w:val="16"/>
              </w:rPr>
              <w:t>2010908</w:t>
            </w:r>
          </w:p>
        </w:tc>
        <w:tc>
          <w:tcPr>
            <w:tcW w:w="942" w:type="pct"/>
            <w:tcBorders>
              <w:top w:val="nil"/>
              <w:left w:val="nil"/>
              <w:bottom w:val="single" w:sz="12" w:space="0" w:color="auto"/>
              <w:right w:val="single" w:sz="12" w:space="0" w:color="auto"/>
              <w:tl2br w:val="nil"/>
              <w:tr2bl w:val="nil"/>
            </w:tcBorders>
            <w:noWrap/>
            <w:vAlign w:val="bottom"/>
          </w:tcPr>
          <w:p>
            <w:pPr>
              <w:rPr>
                <w:rFonts w:ascii="宋体" w:eastAsia="宋体"/>
                <w:b w:val="0"/>
                <w:i w:val="0"/>
                <w:color w:val="000000"/>
                <w:sz w:val="16"/>
              </w:rPr>
            </w:pPr>
            <w:r>
              <w:rPr>
                <w:rFonts w:ascii="宋体" w:eastAsia="宋体"/>
                <w:b w:val="0"/>
                <w:i w:val="0"/>
                <w:color w:val="000000"/>
                <w:sz w:val="16"/>
              </w:rPr>
              <w:t>信息化建设</w:t>
            </w:r>
          </w:p>
        </w:tc>
        <w:tc>
          <w:tcPr>
            <w:tcW w:w="40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329</w:t>
            </w:r>
          </w:p>
        </w:tc>
        <w:tc>
          <w:tcPr>
            <w:tcW w:w="406"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329</w:t>
            </w:r>
          </w:p>
        </w:tc>
        <w:tc>
          <w:tcPr>
            <w:tcW w:w="46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375.5</w:t>
            </w:r>
          </w:p>
        </w:tc>
        <w:tc>
          <w:tcPr>
            <w:tcW w:w="354" w:type="pct"/>
            <w:tcBorders>
              <w:top w:val="nil"/>
              <w:left w:val="nil"/>
              <w:bottom w:val="single" w:sz="12" w:space="0" w:color="auto"/>
              <w:right w:val="single" w:sz="12" w:space="0" w:color="auto"/>
              <w:tl2br w:val="nil"/>
              <w:tr2bl w:val="nil"/>
            </w:tcBorders>
            <w:noWrap/>
            <w:vAlign w:val="bottom"/>
          </w:tcPr>
          <w:p>
            <w:pPr>
              <w:jc w:val="right"/>
              <w:rPr>
                <w:rFonts w:ascii="宋体" w:eastAsia="宋体"/>
                <w:b w:val="0"/>
                <w:i w:val="0"/>
                <w:color w:val="000000"/>
                <w:sz w:val="16"/>
              </w:rPr>
            </w:pPr>
          </w:p>
        </w:tc>
        <w:tc>
          <w:tcPr>
            <w:tcW w:w="33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375.5</w:t>
            </w:r>
          </w:p>
        </w:tc>
        <w:tc>
          <w:tcPr>
            <w:tcW w:w="33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375.5</w:t>
            </w:r>
          </w:p>
        </w:tc>
        <w:tc>
          <w:tcPr>
            <w:tcW w:w="44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46.50</w:t>
            </w:r>
          </w:p>
        </w:tc>
        <w:tc>
          <w:tcPr>
            <w:tcW w:w="39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14.13%</w:t>
            </w:r>
          </w:p>
        </w:tc>
        <w:tc>
          <w:tcPr>
            <w:tcW w:w="282"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46.50</w:t>
            </w:r>
          </w:p>
        </w:tc>
        <w:tc>
          <w:tcPr>
            <w:tcW w:w="34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14.13%</w:t>
            </w:r>
          </w:p>
        </w:tc>
      </w:tr>
      <w:tr>
        <w:trPr>
          <w:trHeight w:val="269"/>
        </w:trPr>
        <w:tc>
          <w:tcPr>
            <w:tcW w:w="301" w:type="pct"/>
            <w:tcBorders>
              <w:top w:val="nil"/>
              <w:left w:val="single" w:sz="12" w:space="0" w:color="auto"/>
              <w:bottom w:val="single" w:sz="12" w:space="0" w:color="auto"/>
              <w:right w:val="single" w:sz="12" w:space="0" w:color="auto"/>
              <w:tl2br w:val="nil"/>
              <w:tr2bl w:val="nil"/>
            </w:tcBorders>
            <w:noWrap/>
            <w:vAlign w:val="bottom"/>
          </w:tcPr>
          <w:p>
            <w:pPr>
              <w:rPr>
                <w:rFonts w:ascii="Times New Roman" w:eastAsia="宋体" w:hAnsi="Times New Roman"/>
                <w:b w:val="0"/>
                <w:i w:val="0"/>
                <w:color w:val="000000"/>
                <w:sz w:val="16"/>
              </w:rPr>
            </w:pPr>
            <w:r>
              <w:rPr>
                <w:rFonts w:ascii="Times New Roman" w:eastAsia="宋体" w:hAnsi="Times New Roman"/>
                <w:b w:val="0"/>
                <w:i w:val="0"/>
                <w:color w:val="000000"/>
                <w:sz w:val="16"/>
              </w:rPr>
              <w:t>2010909</w:t>
            </w:r>
          </w:p>
        </w:tc>
        <w:tc>
          <w:tcPr>
            <w:tcW w:w="942" w:type="pct"/>
            <w:tcBorders>
              <w:top w:val="nil"/>
              <w:left w:val="nil"/>
              <w:bottom w:val="single" w:sz="12" w:space="0" w:color="auto"/>
              <w:right w:val="single" w:sz="12" w:space="0" w:color="auto"/>
              <w:tl2br w:val="nil"/>
              <w:tr2bl w:val="nil"/>
            </w:tcBorders>
            <w:noWrap/>
            <w:vAlign w:val="bottom"/>
          </w:tcPr>
          <w:p>
            <w:pPr>
              <w:rPr>
                <w:rFonts w:ascii="宋体" w:eastAsia="宋体"/>
                <w:b w:val="0"/>
                <w:i w:val="0"/>
                <w:color w:val="000000"/>
                <w:sz w:val="16"/>
              </w:rPr>
            </w:pPr>
            <w:r>
              <w:rPr>
                <w:rFonts w:ascii="宋体" w:eastAsia="宋体"/>
                <w:b w:val="0"/>
                <w:i w:val="0"/>
                <w:color w:val="000000"/>
                <w:sz w:val="16"/>
              </w:rPr>
              <w:t>海关关务</w:t>
            </w:r>
          </w:p>
        </w:tc>
        <w:tc>
          <w:tcPr>
            <w:tcW w:w="40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969.41</w:t>
            </w:r>
          </w:p>
        </w:tc>
        <w:tc>
          <w:tcPr>
            <w:tcW w:w="406"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969.41</w:t>
            </w:r>
          </w:p>
        </w:tc>
        <w:tc>
          <w:tcPr>
            <w:tcW w:w="46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954.30</w:t>
            </w:r>
          </w:p>
        </w:tc>
        <w:tc>
          <w:tcPr>
            <w:tcW w:w="354" w:type="pct"/>
            <w:tcBorders>
              <w:top w:val="nil"/>
              <w:left w:val="nil"/>
              <w:bottom w:val="single" w:sz="12" w:space="0" w:color="auto"/>
              <w:right w:val="single" w:sz="12" w:space="0" w:color="auto"/>
              <w:tl2br w:val="nil"/>
              <w:tr2bl w:val="nil"/>
            </w:tcBorders>
            <w:noWrap/>
            <w:vAlign w:val="bottom"/>
          </w:tcPr>
          <w:p>
            <w:pPr>
              <w:jc w:val="right"/>
              <w:rPr>
                <w:rFonts w:ascii="宋体" w:eastAsia="宋体"/>
                <w:b w:val="0"/>
                <w:i w:val="0"/>
                <w:color w:val="000000"/>
                <w:sz w:val="16"/>
              </w:rPr>
            </w:pPr>
          </w:p>
        </w:tc>
        <w:tc>
          <w:tcPr>
            <w:tcW w:w="33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954.30</w:t>
            </w:r>
          </w:p>
        </w:tc>
        <w:tc>
          <w:tcPr>
            <w:tcW w:w="33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954.30</w:t>
            </w:r>
          </w:p>
        </w:tc>
        <w:tc>
          <w:tcPr>
            <w:tcW w:w="44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-15.11</w:t>
            </w:r>
          </w:p>
        </w:tc>
        <w:tc>
          <w:tcPr>
            <w:tcW w:w="39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-1.56%</w:t>
            </w:r>
          </w:p>
        </w:tc>
        <w:tc>
          <w:tcPr>
            <w:tcW w:w="282"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-15.11</w:t>
            </w:r>
          </w:p>
        </w:tc>
        <w:tc>
          <w:tcPr>
            <w:tcW w:w="34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-1.56%</w:t>
            </w:r>
          </w:p>
        </w:tc>
      </w:tr>
      <w:tr>
        <w:trPr>
          <w:trHeight w:val="269"/>
        </w:trPr>
        <w:tc>
          <w:tcPr>
            <w:tcW w:w="301" w:type="pct"/>
            <w:tcBorders>
              <w:top w:val="nil"/>
              <w:left w:val="single" w:sz="12" w:space="0" w:color="auto"/>
              <w:bottom w:val="single" w:sz="12" w:space="0" w:color="auto"/>
              <w:right w:val="single" w:sz="12" w:space="0" w:color="auto"/>
              <w:tl2br w:val="nil"/>
              <w:tr2bl w:val="nil"/>
            </w:tcBorders>
            <w:noWrap/>
            <w:vAlign w:val="bottom"/>
          </w:tcPr>
          <w:p>
            <w:pPr>
              <w:rPr>
                <w:rFonts w:ascii="Times New Roman" w:eastAsia="宋体" w:hAnsi="Times New Roman"/>
                <w:b w:val="0"/>
                <w:i w:val="0"/>
                <w:color w:val="000000"/>
                <w:sz w:val="16"/>
              </w:rPr>
            </w:pPr>
            <w:r>
              <w:rPr>
                <w:rFonts w:ascii="Times New Roman" w:eastAsia="宋体" w:hAnsi="Times New Roman"/>
                <w:b w:val="0"/>
                <w:i w:val="0"/>
                <w:color w:val="000000"/>
                <w:sz w:val="16"/>
              </w:rPr>
              <w:t>2010911</w:t>
            </w:r>
          </w:p>
        </w:tc>
        <w:tc>
          <w:tcPr>
            <w:tcW w:w="942" w:type="pct"/>
            <w:tcBorders>
              <w:top w:val="nil"/>
              <w:left w:val="nil"/>
              <w:bottom w:val="single" w:sz="12" w:space="0" w:color="auto"/>
              <w:right w:val="single" w:sz="12" w:space="0" w:color="auto"/>
              <w:tl2br w:val="nil"/>
              <w:tr2bl w:val="nil"/>
            </w:tcBorders>
            <w:noWrap/>
            <w:vAlign w:val="bottom"/>
          </w:tcPr>
          <w:p>
            <w:pPr>
              <w:rPr>
                <w:rFonts w:ascii="宋体" w:eastAsia="宋体"/>
                <w:b w:val="0"/>
                <w:i w:val="0"/>
                <w:color w:val="000000"/>
                <w:sz w:val="16"/>
              </w:rPr>
            </w:pPr>
            <w:r>
              <w:rPr>
                <w:rFonts w:ascii="宋体" w:eastAsia="宋体"/>
                <w:b w:val="0"/>
                <w:i w:val="0"/>
                <w:color w:val="000000"/>
                <w:sz w:val="16"/>
              </w:rPr>
              <w:t>海关监管</w:t>
            </w:r>
          </w:p>
        </w:tc>
        <w:tc>
          <w:tcPr>
            <w:tcW w:w="40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240.11</w:t>
            </w:r>
          </w:p>
        </w:tc>
        <w:tc>
          <w:tcPr>
            <w:tcW w:w="406"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240.11</w:t>
            </w:r>
          </w:p>
        </w:tc>
        <w:tc>
          <w:tcPr>
            <w:tcW w:w="46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149.42</w:t>
            </w:r>
          </w:p>
        </w:tc>
        <w:tc>
          <w:tcPr>
            <w:tcW w:w="354" w:type="pct"/>
            <w:tcBorders>
              <w:top w:val="nil"/>
              <w:left w:val="nil"/>
              <w:bottom w:val="single" w:sz="12" w:space="0" w:color="auto"/>
              <w:right w:val="single" w:sz="12" w:space="0" w:color="auto"/>
              <w:tl2br w:val="nil"/>
              <w:tr2bl w:val="nil"/>
            </w:tcBorders>
            <w:noWrap/>
            <w:vAlign w:val="bottom"/>
          </w:tcPr>
          <w:p>
            <w:pPr>
              <w:jc w:val="right"/>
              <w:rPr>
                <w:rFonts w:ascii="宋体" w:eastAsia="宋体"/>
                <w:b w:val="0"/>
                <w:i w:val="0"/>
                <w:color w:val="000000"/>
                <w:sz w:val="16"/>
              </w:rPr>
            </w:pPr>
          </w:p>
        </w:tc>
        <w:tc>
          <w:tcPr>
            <w:tcW w:w="33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149.42</w:t>
            </w:r>
          </w:p>
        </w:tc>
        <w:tc>
          <w:tcPr>
            <w:tcW w:w="33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149.42</w:t>
            </w:r>
          </w:p>
        </w:tc>
        <w:tc>
          <w:tcPr>
            <w:tcW w:w="44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-90.69</w:t>
            </w:r>
          </w:p>
        </w:tc>
        <w:tc>
          <w:tcPr>
            <w:tcW w:w="39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-37.77%</w:t>
            </w:r>
          </w:p>
        </w:tc>
        <w:tc>
          <w:tcPr>
            <w:tcW w:w="282"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-90.69</w:t>
            </w:r>
          </w:p>
        </w:tc>
        <w:tc>
          <w:tcPr>
            <w:tcW w:w="34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-37.77%</w:t>
            </w:r>
          </w:p>
        </w:tc>
      </w:tr>
      <w:tr>
        <w:trPr>
          <w:trHeight w:val="269"/>
        </w:trPr>
        <w:tc>
          <w:tcPr>
            <w:tcW w:w="301" w:type="pct"/>
            <w:tcBorders>
              <w:top w:val="nil"/>
              <w:left w:val="single" w:sz="12" w:space="0" w:color="auto"/>
              <w:bottom w:val="single" w:sz="12" w:space="0" w:color="auto"/>
              <w:right w:val="single" w:sz="12" w:space="0" w:color="auto"/>
              <w:tl2br w:val="nil"/>
              <w:tr2bl w:val="nil"/>
            </w:tcBorders>
            <w:noWrap/>
            <w:vAlign w:val="bottom"/>
          </w:tcPr>
          <w:p>
            <w:pPr>
              <w:rPr>
                <w:rFonts w:ascii="Times New Roman" w:eastAsia="宋体" w:hAnsi="Times New Roman"/>
                <w:b w:val="0"/>
                <w:i w:val="0"/>
                <w:color w:val="000000"/>
                <w:sz w:val="16"/>
              </w:rPr>
            </w:pPr>
            <w:r>
              <w:rPr>
                <w:rFonts w:ascii="Times New Roman" w:eastAsia="宋体" w:hAnsi="Times New Roman"/>
                <w:b w:val="0"/>
                <w:i w:val="0"/>
                <w:color w:val="000000"/>
                <w:sz w:val="16"/>
              </w:rPr>
              <w:t>2010912</w:t>
            </w:r>
          </w:p>
        </w:tc>
        <w:tc>
          <w:tcPr>
            <w:tcW w:w="942" w:type="pct"/>
            <w:tcBorders>
              <w:top w:val="nil"/>
              <w:left w:val="nil"/>
              <w:bottom w:val="single" w:sz="12" w:space="0" w:color="auto"/>
              <w:right w:val="single" w:sz="12" w:space="0" w:color="auto"/>
              <w:tl2br w:val="nil"/>
              <w:tr2bl w:val="nil"/>
            </w:tcBorders>
            <w:noWrap/>
            <w:vAlign w:val="bottom"/>
          </w:tcPr>
          <w:p>
            <w:pPr>
              <w:rPr>
                <w:rFonts w:ascii="宋体" w:eastAsia="宋体"/>
                <w:b w:val="0"/>
                <w:i w:val="0"/>
                <w:color w:val="000000"/>
                <w:sz w:val="16"/>
              </w:rPr>
            </w:pPr>
            <w:r>
              <w:rPr>
                <w:rFonts w:ascii="宋体" w:eastAsia="宋体"/>
                <w:b w:val="0"/>
                <w:i w:val="0"/>
                <w:color w:val="000000"/>
                <w:sz w:val="16"/>
              </w:rPr>
              <w:t>检验检疫</w:t>
            </w:r>
          </w:p>
        </w:tc>
        <w:tc>
          <w:tcPr>
            <w:tcW w:w="40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190.47</w:t>
            </w:r>
          </w:p>
        </w:tc>
        <w:tc>
          <w:tcPr>
            <w:tcW w:w="406"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190.47</w:t>
            </w:r>
          </w:p>
        </w:tc>
        <w:tc>
          <w:tcPr>
            <w:tcW w:w="46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26.61</w:t>
            </w:r>
          </w:p>
        </w:tc>
        <w:tc>
          <w:tcPr>
            <w:tcW w:w="354" w:type="pct"/>
            <w:tcBorders>
              <w:top w:val="nil"/>
              <w:left w:val="nil"/>
              <w:bottom w:val="single" w:sz="12" w:space="0" w:color="auto"/>
              <w:right w:val="single" w:sz="12" w:space="0" w:color="auto"/>
              <w:tl2br w:val="nil"/>
              <w:tr2bl w:val="nil"/>
            </w:tcBorders>
            <w:noWrap/>
            <w:vAlign w:val="bottom"/>
          </w:tcPr>
          <w:p>
            <w:pPr>
              <w:jc w:val="right"/>
              <w:rPr>
                <w:rFonts w:ascii="宋体" w:eastAsia="宋体"/>
                <w:b w:val="0"/>
                <w:i w:val="0"/>
                <w:color w:val="000000"/>
                <w:sz w:val="16"/>
              </w:rPr>
            </w:pPr>
          </w:p>
        </w:tc>
        <w:tc>
          <w:tcPr>
            <w:tcW w:w="33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26.61</w:t>
            </w:r>
          </w:p>
        </w:tc>
        <w:tc>
          <w:tcPr>
            <w:tcW w:w="33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26.61</w:t>
            </w:r>
          </w:p>
        </w:tc>
        <w:tc>
          <w:tcPr>
            <w:tcW w:w="44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-163.86</w:t>
            </w:r>
          </w:p>
        </w:tc>
        <w:tc>
          <w:tcPr>
            <w:tcW w:w="39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-86.03%</w:t>
            </w:r>
          </w:p>
        </w:tc>
        <w:tc>
          <w:tcPr>
            <w:tcW w:w="282"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-163.86</w:t>
            </w:r>
          </w:p>
        </w:tc>
        <w:tc>
          <w:tcPr>
            <w:tcW w:w="34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-86.03%</w:t>
            </w:r>
          </w:p>
        </w:tc>
      </w:tr>
      <w:tr>
        <w:trPr>
          <w:trHeight w:val="221"/>
        </w:trPr>
        <w:tc>
          <w:tcPr>
            <w:tcW w:w="301" w:type="pct"/>
            <w:tcBorders>
              <w:top w:val="nil"/>
              <w:left w:val="single" w:sz="12" w:space="0" w:color="auto"/>
              <w:bottom w:val="single" w:sz="12" w:space="0" w:color="auto"/>
              <w:right w:val="single" w:sz="12" w:space="0" w:color="auto"/>
              <w:tl2br w:val="nil"/>
              <w:tr2bl w:val="nil"/>
            </w:tcBorders>
            <w:noWrap/>
            <w:vAlign w:val="bottom"/>
          </w:tcPr>
          <w:p>
            <w:pPr>
              <w:rPr>
                <w:rFonts w:ascii="Times New Roman" w:eastAsia="宋体" w:hAnsi="Times New Roman"/>
                <w:b w:val="0"/>
                <w:i w:val="0"/>
                <w:color w:val="000000"/>
                <w:sz w:val="16"/>
              </w:rPr>
            </w:pPr>
            <w:r>
              <w:rPr>
                <w:rFonts w:ascii="Times New Roman" w:eastAsia="宋体" w:hAnsi="Times New Roman"/>
                <w:b w:val="0"/>
                <w:i w:val="0"/>
                <w:color w:val="000000"/>
                <w:sz w:val="16"/>
              </w:rPr>
              <w:t>2010950</w:t>
            </w:r>
          </w:p>
        </w:tc>
        <w:tc>
          <w:tcPr>
            <w:tcW w:w="942" w:type="pct"/>
            <w:tcBorders>
              <w:top w:val="nil"/>
              <w:left w:val="nil"/>
              <w:bottom w:val="single" w:sz="12" w:space="0" w:color="auto"/>
              <w:right w:val="single" w:sz="12" w:space="0" w:color="auto"/>
              <w:tl2br w:val="nil"/>
              <w:tr2bl w:val="nil"/>
            </w:tcBorders>
            <w:noWrap/>
            <w:vAlign w:val="bottom"/>
          </w:tcPr>
          <w:p>
            <w:pPr>
              <w:rPr>
                <w:rFonts w:ascii="宋体" w:eastAsia="宋体"/>
                <w:b w:val="0"/>
                <w:i w:val="0"/>
                <w:color w:val="000000"/>
                <w:sz w:val="16"/>
              </w:rPr>
            </w:pPr>
            <w:r>
              <w:rPr>
                <w:rFonts w:ascii="宋体" w:eastAsia="宋体"/>
                <w:b w:val="0"/>
                <w:i w:val="0"/>
                <w:color w:val="000000"/>
                <w:sz w:val="16"/>
              </w:rPr>
              <w:t>事业运行</w:t>
            </w:r>
          </w:p>
        </w:tc>
        <w:tc>
          <w:tcPr>
            <w:tcW w:w="40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p>
        </w:tc>
        <w:tc>
          <w:tcPr>
            <w:tcW w:w="406"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p>
        </w:tc>
        <w:tc>
          <w:tcPr>
            <w:tcW w:w="46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p>
        </w:tc>
        <w:tc>
          <w:tcPr>
            <w:tcW w:w="35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p>
        </w:tc>
        <w:tc>
          <w:tcPr>
            <w:tcW w:w="334" w:type="pct"/>
            <w:tcBorders>
              <w:top w:val="nil"/>
              <w:left w:val="nil"/>
              <w:bottom w:val="single" w:sz="12" w:space="0" w:color="auto"/>
              <w:right w:val="single" w:sz="12" w:space="0" w:color="auto"/>
              <w:tl2br w:val="nil"/>
              <w:tr2bl w:val="nil"/>
            </w:tcBorders>
            <w:noWrap/>
            <w:vAlign w:val="bottom"/>
          </w:tcPr>
          <w:p>
            <w:pPr>
              <w:jc w:val="right"/>
              <w:rPr>
                <w:rFonts w:ascii="宋体" w:eastAsia="宋体"/>
                <w:b w:val="0"/>
                <w:i w:val="0"/>
                <w:color w:val="000000"/>
                <w:sz w:val="16"/>
              </w:rPr>
            </w:pPr>
          </w:p>
        </w:tc>
        <w:tc>
          <w:tcPr>
            <w:tcW w:w="33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p>
        </w:tc>
        <w:tc>
          <w:tcPr>
            <w:tcW w:w="44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p>
        </w:tc>
        <w:tc>
          <w:tcPr>
            <w:tcW w:w="39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p>
        </w:tc>
        <w:tc>
          <w:tcPr>
            <w:tcW w:w="282"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p>
        </w:tc>
        <w:tc>
          <w:tcPr>
            <w:tcW w:w="34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p>
        </w:tc>
      </w:tr>
      <w:tr>
        <w:trPr>
          <w:trHeight w:val="220"/>
        </w:trPr>
        <w:tc>
          <w:tcPr>
            <w:tcW w:w="301" w:type="pct"/>
            <w:tcBorders>
              <w:top w:val="nil"/>
              <w:left w:val="single" w:sz="12" w:space="0" w:color="auto"/>
              <w:bottom w:val="single" w:sz="12" w:space="0" w:color="auto"/>
              <w:right w:val="single" w:sz="12" w:space="0" w:color="auto"/>
              <w:tl2br w:val="nil"/>
              <w:tr2bl w:val="nil"/>
            </w:tcBorders>
            <w:noWrap/>
            <w:vAlign w:val="bottom"/>
          </w:tcPr>
          <w:p>
            <w:pPr>
              <w:rPr>
                <w:rFonts w:ascii="Times New Roman" w:eastAsia="宋体" w:hAnsi="Times New Roman"/>
                <w:b w:val="0"/>
                <w:i w:val="0"/>
                <w:color w:val="000000"/>
                <w:sz w:val="16"/>
              </w:rPr>
            </w:pPr>
            <w:bookmarkStart w:id="0" w:name="RANGE!A1:E71"/>
            <w:bookmarkEnd w:id="0"/>
          </w:p>
        </w:tc>
        <w:tc>
          <w:tcPr>
            <w:tcW w:w="942" w:type="pct"/>
            <w:tcBorders>
              <w:top w:val="nil"/>
              <w:left w:val="nil"/>
              <w:bottom w:val="single" w:sz="12" w:space="0" w:color="auto"/>
              <w:right w:val="single" w:sz="12" w:space="0" w:color="auto"/>
              <w:tl2br w:val="nil"/>
              <w:tr2bl w:val="nil"/>
            </w:tcBorders>
            <w:noWrap/>
            <w:vAlign w:val="bottom"/>
          </w:tcPr>
          <w:p>
            <w:pPr>
              <w:rPr>
                <w:rFonts w:ascii="宋体" w:eastAsia="宋体"/>
                <w:b w:val="0"/>
                <w:i w:val="0"/>
                <w:color w:val="000000"/>
                <w:sz w:val="16"/>
              </w:rPr>
            </w:pPr>
          </w:p>
        </w:tc>
        <w:tc>
          <w:tcPr>
            <w:tcW w:w="40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p>
        </w:tc>
        <w:tc>
          <w:tcPr>
            <w:tcW w:w="406"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p>
        </w:tc>
        <w:tc>
          <w:tcPr>
            <w:tcW w:w="46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p>
        </w:tc>
        <w:tc>
          <w:tcPr>
            <w:tcW w:w="35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p>
        </w:tc>
        <w:tc>
          <w:tcPr>
            <w:tcW w:w="334" w:type="pct"/>
            <w:tcBorders>
              <w:top w:val="nil"/>
              <w:left w:val="nil"/>
              <w:bottom w:val="single" w:sz="12" w:space="0" w:color="auto"/>
              <w:right w:val="single" w:sz="12" w:space="0" w:color="auto"/>
              <w:tl2br w:val="nil"/>
              <w:tr2bl w:val="nil"/>
            </w:tcBorders>
            <w:noWrap/>
            <w:vAlign w:val="bottom"/>
          </w:tcPr>
          <w:p>
            <w:pPr>
              <w:jc w:val="right"/>
              <w:rPr>
                <w:rFonts w:ascii="宋体" w:eastAsia="宋体"/>
                <w:b w:val="0"/>
                <w:i w:val="0"/>
                <w:color w:val="000000"/>
                <w:sz w:val="16"/>
              </w:rPr>
            </w:pPr>
          </w:p>
        </w:tc>
        <w:tc>
          <w:tcPr>
            <w:tcW w:w="33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p>
        </w:tc>
        <w:tc>
          <w:tcPr>
            <w:tcW w:w="44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p>
        </w:tc>
        <w:tc>
          <w:tcPr>
            <w:tcW w:w="39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p>
        </w:tc>
        <w:tc>
          <w:tcPr>
            <w:tcW w:w="282"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p>
        </w:tc>
        <w:tc>
          <w:tcPr>
            <w:tcW w:w="344"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p>
        </w:tc>
      </w:tr>
    </w:tbl>
    <w:tbl>
      <w:tblPr>
        <w:jc w:val="center"/>
        <w:tblW w:w="23027"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993"/>
        <w:gridCol w:w="3119"/>
        <w:gridCol w:w="14804"/>
        <w:gridCol w:w="4111"/>
      </w:tblGrid>
      <w:tr>
        <w:trPr>
          <w:trHeight w:val="270"/>
          <w:gridAfter w:val="1"/>
          <w:wAfter w:w="4111" w:type="dxa"/>
        </w:trPr>
        <w:tc>
          <w:tcPr>
            <w:tcW w:w="993" w:type="dxa"/>
            <w:tcBorders>
              <w:top w:val="nil"/>
              <w:left w:val="nil"/>
              <w:bottom w:val="nil"/>
              <w:right w:val="nil"/>
            </w:tcBorders>
            <w:shd w:val="clear" w:color="auto" w:fill="auto"/>
            <w:noWrap/>
            <w:vAlign w:val="center"/>
          </w:tcPr>
          <w:p>
            <w:pPr>
              <w:widowControl/>
              <w:jc w:val="left"/>
              <w:rPr>
                <w:rFonts w:ascii="Times New Roman" w:cs="宋体" w:hAnsi="Times New Roman"/>
                <w:kern w:val="0"/>
                <w:sz w:val="24"/>
                <w:szCs w:val="24"/>
              </w:rPr>
            </w:pPr>
          </w:p>
        </w:tc>
        <w:tc>
          <w:tcPr>
            <w:tcW w:w="3119"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2126" w:type="dxa"/>
            <w:tcBorders>
              <w:top w:val="nil"/>
              <w:left w:val="nil"/>
              <w:bottom w:val="nil"/>
              <w:right w:val="nil"/>
            </w:tcBorders>
            <w:shd w:val="clear" w:color="auto" w:fill="auto"/>
            <w:noWrap/>
            <w:vAlign w:val="center"/>
          </w:tcPr>
          <w:p/>
          <w:tbl>
            <w:tblPr>
              <w:jc w:val="left"/>
              <w:tblW w:w="4998"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855"/>
              <w:gridCol w:w="2776"/>
              <w:gridCol w:w="776"/>
              <w:gridCol w:w="2135"/>
              <w:gridCol w:w="774"/>
              <w:gridCol w:w="855"/>
              <w:gridCol w:w="856"/>
              <w:gridCol w:w="2135"/>
              <w:gridCol w:w="789"/>
              <w:gridCol w:w="786"/>
              <w:gridCol w:w="932"/>
              <w:gridCol w:w="883"/>
            </w:tblGrid>
            <w:tr>
              <w:trPr>
                <w:trHeight w:val="269"/>
              </w:trPr>
              <w:tc>
                <w:tcPr>
                  <w:tcW w:w="1247" w:type="pct"/>
                  <w:gridSpan w:val="2"/>
                  <w:vMerge w:val="restart"/>
                  <w:tcBorders>
                    <w:top w:val="single" w:sz="12" w:space="0" w:color="auto"/>
                    <w:left w:val="single" w:sz="12" w:space="0" w:color="auto"/>
                    <w:bottom w:val="single" w:sz="12" w:space="0" w:color="000000"/>
                    <w:right w:val="single" w:sz="12" w:space="0" w:color="000000"/>
                    <w:tl2br w:val="nil"/>
                    <w:tr2bl w:val="nil"/>
                  </w:tcBorders>
                  <w:noWrap/>
                  <w:vAlign w:val="bottom"/>
                </w:tcPr>
                <w:p>
                  <w:pPr>
                    <w:jc w:val="center"/>
                    <w:rPr>
                      <w:rFonts w:ascii="宋体" w:eastAsia="宋体"/>
                      <w:b w:val="0"/>
                      <w:i w:val="0"/>
                      <w:sz w:val="16"/>
                    </w:rPr>
                  </w:pPr>
                  <w:r>
                    <w:rPr>
                      <w:rFonts w:ascii="宋体" w:eastAsia="宋体"/>
                      <w:b w:val="0"/>
                      <w:i w:val="0"/>
                      <w:sz w:val="16"/>
                    </w:rPr>
                    <w:t>功能分类科目</w:t>
                  </w:r>
                </w:p>
              </w:tc>
              <w:tc>
                <w:tcPr>
                  <w:tcW w:w="817" w:type="pct"/>
                  <w:gridSpan w:val="2"/>
                  <w:vMerge w:val="restart"/>
                  <w:tcBorders>
                    <w:top w:val="single" w:sz="12" w:space="0" w:color="auto"/>
                    <w:left w:val="single" w:sz="12" w:space="0" w:color="auto"/>
                    <w:bottom w:val="single" w:sz="12" w:space="0" w:color="000000"/>
                    <w:right w:val="single" w:sz="12" w:space="0" w:color="000000"/>
                    <w:tl2br w:val="nil"/>
                    <w:tr2bl w:val="nil"/>
                  </w:tcBorders>
                  <w:noWrap/>
                  <w:vAlign w:val="bottom"/>
                </w:tcPr>
                <w:p>
                  <w:pPr>
                    <w:jc w:val="center"/>
                    <w:rPr>
                      <w:rFonts w:ascii="宋体" w:eastAsia="宋体"/>
                      <w:b w:val="0"/>
                      <w:i w:val="0"/>
                      <w:strike w:val="0"/>
                      <w:dstrike w:val="0"/>
                      <w:color w:val="auto"/>
                      <w:sz w:val="16"/>
                    </w:rPr>
                  </w:pPr>
                  <w:r>
                    <w:rPr>
                      <w:rFonts w:ascii="Times New Roman" w:hAnsi="Times New Roman"/>
                      <w:b w:val="0"/>
                      <w:i w:val="0"/>
                      <w:strike w:val="0"/>
                      <w:dstrike w:val="0"/>
                      <w:color w:val="auto"/>
                      <w:sz w:val="16"/>
                    </w:rPr>
                    <w:t>2022</w:t>
                  </w:r>
                  <w:r>
                    <w:rPr>
                      <w:rFonts w:ascii="宋体" w:eastAsia="宋体"/>
                      <w:b w:val="0"/>
                      <w:i w:val="0"/>
                      <w:strike w:val="0"/>
                      <w:dstrike w:val="0"/>
                      <w:color w:val="auto"/>
                      <w:sz w:val="16"/>
                    </w:rPr>
                    <w:t>年执行数</w:t>
                  </w:r>
                </w:p>
              </w:tc>
              <w:tc>
                <w:tcPr>
                  <w:tcW w:w="1769" w:type="pct"/>
                  <w:gridSpan w:val="4"/>
                  <w:vMerge w:val="restart"/>
                  <w:tcBorders>
                    <w:top w:val="single" w:sz="12" w:space="0" w:color="auto"/>
                    <w:left w:val="single" w:sz="12" w:space="0" w:color="000000"/>
                    <w:bottom w:val="single" w:sz="12" w:space="0" w:color="000000"/>
                    <w:right w:val="single" w:sz="12" w:space="0" w:color="000000"/>
                    <w:tl2br w:val="nil"/>
                    <w:tr2bl w:val="nil"/>
                  </w:tcBorders>
                  <w:noWrap/>
                  <w:vAlign w:val="bottom"/>
                </w:tcPr>
                <w:p>
                  <w:pPr>
                    <w:jc w:val="center"/>
                    <w:rPr>
                      <w:rFonts w:ascii="宋体" w:eastAsia="宋体"/>
                      <w:b w:val="0"/>
                      <w:i w:val="0"/>
                      <w:strike w:val="0"/>
                      <w:dstrike w:val="0"/>
                      <w:color w:val="auto"/>
                      <w:sz w:val="16"/>
                    </w:rPr>
                  </w:pPr>
                  <w:r>
                    <w:rPr>
                      <w:rFonts w:ascii="Times New Roman" w:hAnsi="Times New Roman"/>
                      <w:b w:val="0"/>
                      <w:i w:val="0"/>
                      <w:strike w:val="0"/>
                      <w:dstrike w:val="0"/>
                      <w:color w:val="auto"/>
                      <w:sz w:val="16"/>
                    </w:rPr>
                    <w:t>2023</w:t>
                  </w:r>
                  <w:r>
                    <w:rPr>
                      <w:rFonts w:ascii="宋体" w:eastAsia="宋体"/>
                      <w:b w:val="0"/>
                      <w:i w:val="0"/>
                      <w:strike w:val="0"/>
                      <w:dstrike w:val="0"/>
                      <w:color w:val="auto"/>
                      <w:sz w:val="16"/>
                    </w:rPr>
                    <w:t>年预算数</w:t>
                  </w:r>
                </w:p>
              </w:tc>
              <w:tc>
                <w:tcPr>
                  <w:tcW w:w="541" w:type="pct"/>
                  <w:gridSpan w:val="2"/>
                  <w:tcBorders>
                    <w:top w:val="single" w:sz="12" w:space="0" w:color="auto"/>
                    <w:left w:val="single" w:sz="12" w:space="0" w:color="000000"/>
                    <w:bottom w:val="nil"/>
                    <w:right w:val="single" w:sz="12" w:space="0" w:color="000000"/>
                    <w:tl2br w:val="nil"/>
                    <w:tr2bl w:val="nil"/>
                  </w:tcBorders>
                  <w:noWrap/>
                  <w:vAlign w:val="bottom"/>
                </w:tcPr>
                <w:p>
                  <w:pPr>
                    <w:jc w:val="center"/>
                    <w:rPr>
                      <w:rFonts w:ascii="宋体" w:eastAsia="宋体"/>
                      <w:b w:val="0"/>
                      <w:i w:val="0"/>
                      <w:strike w:val="0"/>
                      <w:dstrike w:val="0"/>
                      <w:color w:val="auto"/>
                      <w:sz w:val="16"/>
                    </w:rPr>
                  </w:pPr>
                  <w:r>
                    <w:rPr>
                      <w:rFonts w:ascii="Times New Roman" w:hAnsi="Times New Roman"/>
                      <w:b w:val="0"/>
                      <w:i w:val="0"/>
                      <w:strike w:val="0"/>
                      <w:dstrike w:val="0"/>
                      <w:color w:val="auto"/>
                      <w:sz w:val="16"/>
                    </w:rPr>
                    <w:t>2023</w:t>
                  </w:r>
                  <w:r>
                    <w:rPr>
                      <w:rFonts w:ascii="宋体" w:eastAsia="宋体"/>
                      <w:b w:val="0"/>
                      <w:i w:val="0"/>
                      <w:strike w:val="0"/>
                      <w:dstrike w:val="0"/>
                      <w:color w:val="auto"/>
                      <w:sz w:val="16"/>
                    </w:rPr>
                    <w:t>年预算数比</w:t>
                  </w:r>
                </w:p>
              </w:tc>
              <w:tc>
                <w:tcPr>
                  <w:tcW w:w="623" w:type="pct"/>
                  <w:gridSpan w:val="2"/>
                  <w:tcBorders>
                    <w:top w:val="single" w:sz="12" w:space="0" w:color="auto"/>
                    <w:left w:val="single" w:sz="12" w:space="0" w:color="auto"/>
                    <w:bottom w:val="nil"/>
                    <w:right w:val="single" w:sz="12" w:space="0" w:color="000000"/>
                    <w:tl2br w:val="nil"/>
                    <w:tr2bl w:val="nil"/>
                  </w:tcBorders>
                  <w:noWrap/>
                  <w:vAlign w:val="bottom"/>
                </w:tcPr>
                <w:p>
                  <w:pPr>
                    <w:jc w:val="center"/>
                    <w:rPr>
                      <w:rFonts w:ascii="宋体" w:eastAsia="宋体"/>
                      <w:b w:val="0"/>
                      <w:i w:val="0"/>
                      <w:strike w:val="0"/>
                      <w:dstrike w:val="0"/>
                      <w:color w:val="auto"/>
                      <w:sz w:val="16"/>
                    </w:rPr>
                  </w:pPr>
                  <w:r>
                    <w:rPr>
                      <w:rFonts w:ascii="Times New Roman" w:hAnsi="Times New Roman"/>
                      <w:b w:val="0"/>
                      <w:i w:val="0"/>
                      <w:strike w:val="0"/>
                      <w:dstrike w:val="0"/>
                      <w:color w:val="auto"/>
                      <w:sz w:val="16"/>
                    </w:rPr>
                    <w:t>2023</w:t>
                  </w:r>
                  <w:r>
                    <w:rPr>
                      <w:rFonts w:ascii="宋体" w:eastAsia="宋体"/>
                      <w:b w:val="0"/>
                      <w:i w:val="0"/>
                      <w:strike w:val="0"/>
                      <w:dstrike w:val="0"/>
                      <w:color w:val="auto"/>
                      <w:sz w:val="16"/>
                    </w:rPr>
                    <w:t>年预算数比</w:t>
                  </w:r>
                </w:p>
              </w:tc>
            </w:tr>
            <w:tr>
              <w:trPr>
                <w:trHeight w:val="269"/>
              </w:trPr>
              <w:tc>
                <w:tcPr>
                  <w:tcW w:w="1474" w:type="pct"/>
                  <w:gridSpan w:val="2"/>
                  <w:vMerge/>
                  <w:tcBorders>
                    <w:top w:val="single" w:sz="12" w:space="0" w:color="auto"/>
                    <w:left w:val="single" w:sz="12" w:space="0" w:color="auto"/>
                    <w:bottom w:val="single" w:sz="12" w:space="0" w:color="000000"/>
                    <w:right w:val="single" w:sz="12" w:space="0" w:color="000000"/>
                    <w:tl2br w:val="nil"/>
                    <w:tr2bl w:val="nil"/>
                  </w:tcBorders>
                  <w:noWrap/>
                  <w:vAlign w:val="bottom"/>
                </w:tcPr>
                <w:p/>
              </w:tc>
              <w:tc>
                <w:tcPr>
                  <w:tcW w:w="663" w:type="pct"/>
                  <w:gridSpan w:val="2"/>
                  <w:vMerge/>
                  <w:tcBorders>
                    <w:top w:val="single" w:sz="12" w:space="0" w:color="auto"/>
                    <w:left w:val="single" w:sz="12" w:space="0" w:color="auto"/>
                    <w:bottom w:val="single" w:sz="12" w:space="0" w:color="000000"/>
                    <w:right w:val="single" w:sz="12" w:space="0" w:color="000000"/>
                    <w:tl2br w:val="nil"/>
                    <w:tr2bl w:val="nil"/>
                  </w:tcBorders>
                  <w:noWrap/>
                  <w:vAlign w:val="bottom"/>
                </w:tcPr>
                <w:p/>
              </w:tc>
              <w:tc>
                <w:tcPr>
                  <w:tcW w:w="1536" w:type="pct"/>
                  <w:gridSpan w:val="4"/>
                  <w:vMerge/>
                  <w:tcBorders>
                    <w:top w:val="single" w:sz="12" w:space="0" w:color="auto"/>
                    <w:left w:val="single" w:sz="12" w:space="0" w:color="000000"/>
                    <w:bottom w:val="single" w:sz="12" w:space="0" w:color="000000"/>
                    <w:right w:val="single" w:sz="12" w:space="0" w:color="000000"/>
                    <w:tl2br w:val="nil"/>
                    <w:tr2bl w:val="nil"/>
                  </w:tcBorders>
                  <w:noWrap/>
                  <w:vAlign w:val="bottom"/>
                </w:tcPr>
                <w:p/>
              </w:tc>
              <w:tc>
                <w:tcPr>
                  <w:tcW w:w="541" w:type="pct"/>
                  <w:gridSpan w:val="2"/>
                  <w:tcBorders>
                    <w:top w:val="nil"/>
                    <w:left w:val="single" w:sz="12" w:space="0" w:color="000000"/>
                    <w:bottom w:val="nil"/>
                    <w:right w:val="single" w:sz="12" w:space="0" w:color="000000"/>
                    <w:tl2br w:val="nil"/>
                    <w:tr2bl w:val="nil"/>
                  </w:tcBorders>
                  <w:noWrap/>
                  <w:vAlign w:val="bottom"/>
                </w:tcPr>
                <w:p>
                  <w:pPr>
                    <w:jc w:val="center"/>
                    <w:rPr>
                      <w:rFonts w:ascii="宋体" w:eastAsia="宋体"/>
                      <w:b w:val="0"/>
                      <w:i w:val="0"/>
                      <w:strike w:val="0"/>
                      <w:dstrike w:val="0"/>
                      <w:color w:val="auto"/>
                      <w:sz w:val="16"/>
                    </w:rPr>
                  </w:pPr>
                  <w:r>
                    <w:rPr>
                      <w:rFonts w:ascii="Times New Roman" w:hAnsi="Times New Roman"/>
                      <w:b w:val="0"/>
                      <w:i w:val="0"/>
                      <w:strike w:val="0"/>
                      <w:dstrike w:val="0"/>
                      <w:color w:val="auto"/>
                      <w:sz w:val="16"/>
                    </w:rPr>
                    <w:t>2022</w:t>
                  </w:r>
                  <w:r>
                    <w:rPr>
                      <w:rFonts w:ascii="宋体" w:eastAsia="宋体"/>
                      <w:b w:val="0"/>
                      <w:i w:val="0"/>
                      <w:strike w:val="0"/>
                      <w:dstrike w:val="0"/>
                      <w:color w:val="auto"/>
                      <w:sz w:val="16"/>
                    </w:rPr>
                    <w:t>年执行数</w:t>
                  </w:r>
                </w:p>
              </w:tc>
              <w:tc>
                <w:tcPr>
                  <w:tcW w:w="623" w:type="pct"/>
                  <w:gridSpan w:val="2"/>
                  <w:tcBorders>
                    <w:top w:val="nil"/>
                    <w:left w:val="single" w:sz="12" w:space="0" w:color="auto"/>
                    <w:bottom w:val="nil"/>
                    <w:right w:val="single" w:sz="12" w:space="0" w:color="000000"/>
                    <w:tl2br w:val="nil"/>
                    <w:tr2bl w:val="nil"/>
                  </w:tcBorders>
                  <w:noWrap/>
                  <w:vAlign w:val="bottom"/>
                </w:tcPr>
                <w:p>
                  <w:pPr>
                    <w:jc w:val="center"/>
                    <w:rPr>
                      <w:rFonts w:ascii="宋体" w:eastAsia="宋体"/>
                      <w:b w:val="0"/>
                      <w:i w:val="0"/>
                      <w:strike w:val="0"/>
                      <w:dstrike w:val="0"/>
                      <w:color w:val="auto"/>
                      <w:sz w:val="16"/>
                    </w:rPr>
                  </w:pPr>
                  <w:r>
                    <w:rPr>
                      <w:rFonts w:ascii="Times New Roman" w:hAnsi="Times New Roman"/>
                      <w:b w:val="0"/>
                      <w:i w:val="0"/>
                      <w:strike w:val="0"/>
                      <w:dstrike w:val="0"/>
                      <w:color w:val="auto"/>
                      <w:sz w:val="16"/>
                    </w:rPr>
                    <w:t>2022</w:t>
                  </w:r>
                  <w:r>
                    <w:rPr>
                      <w:rFonts w:ascii="宋体" w:eastAsia="宋体"/>
                      <w:b w:val="0"/>
                      <w:i w:val="0"/>
                      <w:strike w:val="0"/>
                      <w:dstrike w:val="0"/>
                      <w:color w:val="auto"/>
                      <w:sz w:val="16"/>
                    </w:rPr>
                    <w:t>年执行数</w:t>
                  </w:r>
                </w:p>
              </w:tc>
            </w:tr>
            <w:tr>
              <w:trPr>
                <w:trHeight w:val="203"/>
              </w:trPr>
              <w:tc>
                <w:tcPr>
                  <w:tcW w:w="1474" w:type="pct"/>
                  <w:gridSpan w:val="2"/>
                  <w:vMerge/>
                  <w:tcBorders>
                    <w:top w:val="single" w:sz="12" w:space="0" w:color="auto"/>
                    <w:left w:val="single" w:sz="12" w:space="0" w:color="auto"/>
                    <w:bottom w:val="single" w:sz="12" w:space="0" w:color="000000"/>
                    <w:right w:val="single" w:sz="12" w:space="0" w:color="000000"/>
                    <w:tl2br w:val="nil"/>
                    <w:tr2bl w:val="nil"/>
                  </w:tcBorders>
                  <w:noWrap/>
                  <w:vAlign w:val="bottom"/>
                </w:tcPr>
                <w:p/>
              </w:tc>
              <w:tc>
                <w:tcPr>
                  <w:tcW w:w="663" w:type="pct"/>
                  <w:gridSpan w:val="2"/>
                  <w:vMerge/>
                  <w:tcBorders>
                    <w:top w:val="single" w:sz="12" w:space="0" w:color="auto"/>
                    <w:left w:val="single" w:sz="12" w:space="0" w:color="auto"/>
                    <w:bottom w:val="single" w:sz="12" w:space="0" w:color="000000"/>
                    <w:right w:val="single" w:sz="12" w:space="0" w:color="000000"/>
                    <w:tl2br w:val="nil"/>
                    <w:tr2bl w:val="nil"/>
                  </w:tcBorders>
                  <w:noWrap/>
                  <w:vAlign w:val="bottom"/>
                </w:tcPr>
                <w:p/>
              </w:tc>
              <w:tc>
                <w:tcPr>
                  <w:tcW w:w="1536" w:type="pct"/>
                  <w:gridSpan w:val="4"/>
                  <w:vMerge/>
                  <w:tcBorders>
                    <w:top w:val="single" w:sz="12" w:space="0" w:color="auto"/>
                    <w:left w:val="single" w:sz="12" w:space="0" w:color="000000"/>
                    <w:bottom w:val="single" w:sz="12" w:space="0" w:color="000000"/>
                    <w:right w:val="single" w:sz="12" w:space="0" w:color="000000"/>
                    <w:tl2br w:val="nil"/>
                    <w:tr2bl w:val="nil"/>
                  </w:tcBorders>
                  <w:noWrap/>
                  <w:vAlign w:val="bottom"/>
                </w:tcPr>
                <w:p/>
              </w:tc>
              <w:tc>
                <w:tcPr>
                  <w:tcW w:w="541" w:type="pct"/>
                  <w:gridSpan w:val="2"/>
                  <w:tcBorders>
                    <w:top w:val="nil"/>
                    <w:left w:val="single" w:sz="12" w:space="0" w:color="000000"/>
                    <w:bottom w:val="single" w:sz="12" w:space="0" w:color="auto"/>
                    <w:right w:val="single" w:sz="12" w:space="0" w:color="000000"/>
                    <w:tl2br w:val="nil"/>
                    <w:tr2bl w:val="nil"/>
                  </w:tcBorders>
                  <w:noWrap/>
                  <w:vAlign w:val="bottom"/>
                </w:tcPr>
                <w:p>
                  <w:pPr>
                    <w:rPr>
                      <w:rFonts w:ascii="Calibri" w:eastAsia="宋体" w:hAnsi="Calibri"/>
                      <w:b w:val="0"/>
                      <w:i w:val="0"/>
                      <w:sz w:val="22"/>
                    </w:rPr>
                  </w:pPr>
                </w:p>
              </w:tc>
              <w:tc>
                <w:tcPr>
                  <w:tcW w:w="623" w:type="pct"/>
                  <w:gridSpan w:val="2"/>
                  <w:tcBorders>
                    <w:top w:val="nil"/>
                    <w:left w:val="single" w:sz="12" w:space="0" w:color="auto"/>
                    <w:bottom w:val="single" w:sz="12" w:space="0" w:color="auto"/>
                    <w:right w:val="single" w:sz="12" w:space="0" w:color="000000"/>
                    <w:tl2br w:val="nil"/>
                    <w:tr2bl w:val="nil"/>
                  </w:tcBorders>
                  <w:noWrap/>
                  <w:vAlign w:val="bottom"/>
                </w:tcPr>
                <w:p>
                  <w:pPr>
                    <w:jc w:val="center"/>
                    <w:rPr>
                      <w:rFonts w:ascii="宋体" w:eastAsia="宋体"/>
                      <w:b w:val="0"/>
                      <w:i w:val="0"/>
                      <w:sz w:val="16"/>
                    </w:rPr>
                  </w:pPr>
                  <w:r>
                    <w:rPr>
                      <w:rFonts w:ascii="宋体" w:eastAsia="宋体"/>
                      <w:b w:val="0"/>
                      <w:i w:val="0"/>
                      <w:sz w:val="16"/>
                    </w:rPr>
                    <w:t>（扣除中央基建投资）</w:t>
                  </w:r>
                </w:p>
              </w:tc>
            </w:tr>
            <w:tr>
              <w:trPr>
                <w:trHeight w:val="269"/>
              </w:trPr>
              <w:tc>
                <w:tcPr>
                  <w:tcW w:w="293" w:type="pct"/>
                  <w:vMerge w:val="restart"/>
                  <w:tcBorders>
                    <w:top w:val="single" w:sz="12" w:space="0" w:color="auto"/>
                    <w:left w:val="single" w:sz="12" w:space="0" w:color="auto"/>
                    <w:bottom w:val="single" w:sz="12" w:space="0" w:color="000000"/>
                    <w:right w:val="single" w:sz="12" w:space="0" w:color="auto"/>
                    <w:tl2br w:val="nil"/>
                    <w:tr2bl w:val="nil"/>
                  </w:tcBorders>
                  <w:noWrap/>
                  <w:vAlign w:val="bottom"/>
                </w:tcPr>
                <w:p>
                  <w:pPr>
                    <w:jc w:val="center"/>
                    <w:rPr>
                      <w:rFonts w:ascii="宋体" w:eastAsia="宋体"/>
                      <w:b w:val="0"/>
                      <w:i w:val="0"/>
                      <w:sz w:val="16"/>
                    </w:rPr>
                  </w:pPr>
                  <w:r>
                    <w:rPr>
                      <w:rFonts w:ascii="宋体" w:eastAsia="宋体"/>
                      <w:b w:val="0"/>
                      <w:i w:val="0"/>
                      <w:sz w:val="16"/>
                    </w:rPr>
                    <w:t>科目编码</w:t>
                  </w:r>
                </w:p>
              </w:tc>
              <w:tc>
                <w:tcPr>
                  <w:tcW w:w="953" w:type="pct"/>
                  <w:vMerge w:val="restart"/>
                  <w:tcBorders>
                    <w:top w:val="single" w:sz="12" w:space="0" w:color="auto"/>
                    <w:left w:val="single" w:sz="12" w:space="0" w:color="auto"/>
                    <w:bottom w:val="single" w:sz="12" w:space="0" w:color="000000"/>
                    <w:right w:val="single" w:sz="12" w:space="0" w:color="auto"/>
                    <w:tl2br w:val="nil"/>
                    <w:tr2bl w:val="nil"/>
                  </w:tcBorders>
                  <w:noWrap/>
                  <w:vAlign w:val="bottom"/>
                </w:tcPr>
                <w:p>
                  <w:pPr>
                    <w:jc w:val="center"/>
                    <w:rPr>
                      <w:rFonts w:ascii="宋体" w:eastAsia="宋体"/>
                      <w:b w:val="0"/>
                      <w:i w:val="0"/>
                      <w:sz w:val="16"/>
                    </w:rPr>
                  </w:pPr>
                  <w:r>
                    <w:rPr>
                      <w:rFonts w:ascii="宋体" w:eastAsia="宋体"/>
                      <w:b w:val="0"/>
                      <w:i w:val="0"/>
                      <w:sz w:val="16"/>
                    </w:rPr>
                    <w:t>科目名称</w:t>
                  </w:r>
                </w:p>
              </w:tc>
              <w:tc>
                <w:tcPr>
                  <w:tcW w:w="266" w:type="pct"/>
                  <w:vMerge w:val="restart"/>
                  <w:tcBorders>
                    <w:top w:val="single" w:sz="12" w:space="0" w:color="auto"/>
                    <w:left w:val="single" w:sz="12" w:space="0" w:color="auto"/>
                    <w:bottom w:val="single" w:sz="12" w:space="0" w:color="000000"/>
                    <w:right w:val="single" w:sz="12" w:space="0" w:color="auto"/>
                    <w:tl2br w:val="nil"/>
                    <w:tr2bl w:val="nil"/>
                  </w:tcBorders>
                  <w:noWrap/>
                  <w:vAlign w:val="bottom"/>
                </w:tcPr>
                <w:p>
                  <w:pPr>
                    <w:jc w:val="center"/>
                    <w:rPr>
                      <w:rFonts w:ascii="宋体" w:eastAsia="宋体"/>
                      <w:b w:val="0"/>
                      <w:i w:val="0"/>
                      <w:sz w:val="16"/>
                    </w:rPr>
                  </w:pPr>
                  <w:r>
                    <w:rPr>
                      <w:rFonts w:ascii="宋体" w:eastAsia="宋体"/>
                      <w:b w:val="0"/>
                      <w:i w:val="0"/>
                      <w:sz w:val="16"/>
                    </w:rPr>
                    <w:t>执行数</w:t>
                  </w:r>
                </w:p>
              </w:tc>
              <w:tc>
                <w:tcPr>
                  <w:tcW w:w="551" w:type="pct"/>
                  <w:vMerge w:val="restart"/>
                  <w:tcBorders>
                    <w:top w:val="single" w:sz="12" w:space="0" w:color="auto"/>
                    <w:left w:val="single" w:sz="12" w:space="0" w:color="auto"/>
                    <w:bottom w:val="single" w:sz="12" w:space="0" w:color="000000"/>
                    <w:right w:val="single" w:sz="12" w:space="0" w:color="auto"/>
                    <w:tl2br w:val="nil"/>
                    <w:tr2bl w:val="nil"/>
                  </w:tcBorders>
                  <w:noWrap/>
                  <w:vAlign w:val="bottom"/>
                </w:tcPr>
                <w:p>
                  <w:pPr>
                    <w:jc w:val="center"/>
                    <w:rPr>
                      <w:rFonts w:ascii="宋体" w:eastAsia="宋体"/>
                      <w:b w:val="0"/>
                      <w:i w:val="0"/>
                      <w:sz w:val="16"/>
                    </w:rPr>
                  </w:pPr>
                  <w:r>
                    <w:rPr>
                      <w:rFonts w:ascii="宋体" w:eastAsia="宋体"/>
                      <w:b w:val="0"/>
                      <w:i w:val="0"/>
                      <w:sz w:val="16"/>
                    </w:rPr>
                    <w:t>扣除中央基建投资后执行数</w:t>
                  </w:r>
                </w:p>
              </w:tc>
              <w:tc>
                <w:tcPr>
                  <w:tcW w:w="1036" w:type="pct"/>
                  <w:gridSpan w:val="3"/>
                  <w:tcBorders>
                    <w:top w:val="single" w:sz="12" w:space="0" w:color="auto"/>
                    <w:left w:val="single" w:sz="12" w:space="0" w:color="auto"/>
                    <w:bottom w:val="single" w:sz="12" w:space="0" w:color="auto"/>
                    <w:right w:val="single" w:sz="12" w:space="0" w:color="000000"/>
                    <w:tl2br w:val="nil"/>
                    <w:tr2bl w:val="nil"/>
                  </w:tcBorders>
                  <w:noWrap/>
                  <w:vAlign w:val="bottom"/>
                </w:tcPr>
                <w:p>
                  <w:pPr>
                    <w:jc w:val="center"/>
                    <w:rPr>
                      <w:rFonts w:ascii="宋体" w:eastAsia="宋体"/>
                      <w:b w:val="0"/>
                      <w:i w:val="0"/>
                      <w:sz w:val="16"/>
                    </w:rPr>
                  </w:pPr>
                  <w:r>
                    <w:rPr>
                      <w:rFonts w:ascii="宋体" w:eastAsia="宋体"/>
                      <w:b w:val="0"/>
                      <w:i w:val="0"/>
                      <w:sz w:val="16"/>
                    </w:rPr>
                    <w:t>年初预算数</w:t>
                  </w:r>
                </w:p>
              </w:tc>
              <w:tc>
                <w:tcPr>
                  <w:tcW w:w="733" w:type="pct"/>
                  <w:vMerge w:val="restart"/>
                  <w:tcBorders>
                    <w:top w:val="single" w:sz="12" w:space="0" w:color="auto"/>
                    <w:left w:val="single" w:sz="12" w:space="0" w:color="auto"/>
                    <w:bottom w:val="single" w:sz="12" w:space="0" w:color="000000"/>
                    <w:right w:val="single" w:sz="12" w:space="0" w:color="auto"/>
                    <w:tl2br w:val="nil"/>
                    <w:tr2bl w:val="nil"/>
                  </w:tcBorders>
                  <w:noWrap/>
                  <w:vAlign w:val="bottom"/>
                </w:tcPr>
                <w:p>
                  <w:pPr>
                    <w:jc w:val="center"/>
                    <w:rPr>
                      <w:rFonts w:ascii="宋体" w:eastAsia="宋体"/>
                      <w:b w:val="0"/>
                      <w:i w:val="0"/>
                      <w:sz w:val="16"/>
                    </w:rPr>
                  </w:pPr>
                  <w:r>
                    <w:rPr>
                      <w:rFonts w:ascii="宋体" w:eastAsia="宋体"/>
                      <w:b w:val="0"/>
                      <w:i w:val="0"/>
                      <w:sz w:val="16"/>
                    </w:rPr>
                    <w:t>扣除中央基建投资后预算数</w:t>
                  </w:r>
                </w:p>
              </w:tc>
              <w:tc>
                <w:tcPr>
                  <w:tcW w:w="271" w:type="pct"/>
                  <w:vMerge w:val="restart"/>
                  <w:tcBorders>
                    <w:top w:val="single" w:sz="12" w:space="0" w:color="auto"/>
                    <w:left w:val="single" w:sz="12" w:space="0" w:color="auto"/>
                    <w:bottom w:val="single" w:sz="12" w:space="0" w:color="000000"/>
                    <w:right w:val="single" w:sz="12" w:space="0" w:color="auto"/>
                    <w:tl2br w:val="nil"/>
                    <w:tr2bl w:val="nil"/>
                  </w:tcBorders>
                  <w:noWrap/>
                  <w:vAlign w:val="bottom"/>
                </w:tcPr>
                <w:p>
                  <w:pPr>
                    <w:jc w:val="center"/>
                    <w:rPr>
                      <w:rFonts w:ascii="宋体" w:eastAsia="宋体"/>
                      <w:b w:val="0"/>
                      <w:i w:val="0"/>
                      <w:sz w:val="16"/>
                    </w:rPr>
                  </w:pPr>
                  <w:r>
                    <w:rPr>
                      <w:rFonts w:ascii="宋体" w:eastAsia="宋体"/>
                      <w:b w:val="0"/>
                      <w:i w:val="0"/>
                      <w:sz w:val="16"/>
                    </w:rPr>
                    <w:t>增减额</w:t>
                  </w:r>
                </w:p>
              </w:tc>
              <w:tc>
                <w:tcPr>
                  <w:tcW w:w="270" w:type="pct"/>
                  <w:vMerge w:val="restart"/>
                  <w:tcBorders>
                    <w:top w:val="single" w:sz="12" w:space="0" w:color="auto"/>
                    <w:left w:val="single" w:sz="12" w:space="0" w:color="auto"/>
                    <w:bottom w:val="single" w:sz="12" w:space="0" w:color="000000"/>
                    <w:right w:val="single" w:sz="12" w:space="0" w:color="auto"/>
                    <w:tl2br w:val="nil"/>
                    <w:tr2bl w:val="nil"/>
                  </w:tcBorders>
                  <w:noWrap/>
                  <w:vAlign w:val="bottom"/>
                </w:tcPr>
                <w:p>
                  <w:pPr>
                    <w:jc w:val="center"/>
                    <w:rPr>
                      <w:rFonts w:ascii="Times New Roman" w:hAnsi="Times New Roman"/>
                      <w:b w:val="0"/>
                      <w:i w:val="0"/>
                      <w:strike w:val="0"/>
                      <w:dstrike w:val="0"/>
                      <w:color w:val="auto"/>
                      <w:sz w:val="16"/>
                    </w:rPr>
                  </w:pPr>
                  <w:r>
                    <w:rPr>
                      <w:rFonts w:ascii="宋体" w:eastAsia="宋体"/>
                      <w:b w:val="0"/>
                      <w:i w:val="0"/>
                      <w:strike w:val="0"/>
                      <w:dstrike w:val="0"/>
                      <w:color w:val="auto"/>
                      <w:sz w:val="16"/>
                    </w:rPr>
                    <w:t>增减</w:t>
                  </w:r>
                  <w:r>
                    <w:rPr>
                      <w:rFonts w:ascii="Times New Roman" w:hAnsi="Times New Roman"/>
                      <w:b w:val="0"/>
                      <w:i w:val="0"/>
                      <w:strike w:val="0"/>
                      <w:dstrike w:val="0"/>
                      <w:color w:val="auto"/>
                      <w:sz w:val="16"/>
                    </w:rPr>
                    <w:t>(%)</w:t>
                  </w:r>
                </w:p>
              </w:tc>
              <w:tc>
                <w:tcPr>
                  <w:tcW w:w="320" w:type="pct"/>
                  <w:vMerge w:val="restart"/>
                  <w:tcBorders>
                    <w:top w:val="single" w:sz="12" w:space="0" w:color="auto"/>
                    <w:left w:val="single" w:sz="12" w:space="0" w:color="auto"/>
                    <w:bottom w:val="single" w:sz="12" w:space="0" w:color="000000"/>
                    <w:right w:val="single" w:sz="12" w:space="0" w:color="auto"/>
                    <w:tl2br w:val="nil"/>
                    <w:tr2bl w:val="nil"/>
                  </w:tcBorders>
                  <w:noWrap/>
                  <w:vAlign w:val="bottom"/>
                </w:tcPr>
                <w:p>
                  <w:pPr>
                    <w:jc w:val="center"/>
                    <w:rPr>
                      <w:rFonts w:ascii="宋体" w:eastAsia="宋体"/>
                      <w:b w:val="0"/>
                      <w:i w:val="0"/>
                      <w:sz w:val="16"/>
                    </w:rPr>
                  </w:pPr>
                  <w:r>
                    <w:rPr>
                      <w:rFonts w:ascii="宋体" w:eastAsia="宋体"/>
                      <w:b w:val="0"/>
                      <w:i w:val="0"/>
                      <w:sz w:val="16"/>
                    </w:rPr>
                    <w:t>增减额</w:t>
                  </w:r>
                </w:p>
              </w:tc>
              <w:tc>
                <w:tcPr>
                  <w:tcW w:w="303" w:type="pct"/>
                  <w:vMerge w:val="restart"/>
                  <w:tcBorders>
                    <w:top w:val="single" w:sz="12" w:space="0" w:color="auto"/>
                    <w:left w:val="single" w:sz="12" w:space="0" w:color="auto"/>
                    <w:bottom w:val="single" w:sz="12" w:space="0" w:color="000000"/>
                    <w:right w:val="single" w:sz="12" w:space="0" w:color="auto"/>
                    <w:tl2br w:val="nil"/>
                    <w:tr2bl w:val="nil"/>
                  </w:tcBorders>
                  <w:noWrap/>
                  <w:vAlign w:val="bottom"/>
                </w:tcPr>
                <w:p>
                  <w:pPr>
                    <w:jc w:val="center"/>
                    <w:rPr>
                      <w:rFonts w:ascii="Times New Roman" w:hAnsi="Times New Roman"/>
                      <w:b w:val="0"/>
                      <w:i w:val="0"/>
                      <w:strike w:val="0"/>
                      <w:dstrike w:val="0"/>
                      <w:color w:val="auto"/>
                      <w:sz w:val="16"/>
                    </w:rPr>
                  </w:pPr>
                  <w:r>
                    <w:rPr>
                      <w:rFonts w:ascii="宋体" w:eastAsia="宋体"/>
                      <w:b w:val="0"/>
                      <w:i w:val="0"/>
                      <w:strike w:val="0"/>
                      <w:dstrike w:val="0"/>
                      <w:color w:val="auto"/>
                      <w:sz w:val="16"/>
                    </w:rPr>
                    <w:t>增减（</w:t>
                  </w:r>
                  <w:r>
                    <w:rPr>
                      <w:rFonts w:ascii="Times New Roman" w:hAnsi="Times New Roman"/>
                      <w:b w:val="0"/>
                      <w:i w:val="0"/>
                      <w:strike w:val="0"/>
                      <w:dstrike w:val="0"/>
                      <w:color w:val="auto"/>
                      <w:sz w:val="16"/>
                    </w:rPr>
                    <w:t>%)</w:t>
                  </w:r>
                </w:p>
              </w:tc>
            </w:tr>
            <w:tr>
              <w:trPr>
                <w:trHeight w:val="113"/>
              </w:trPr>
              <w:tc>
                <w:tcPr>
                  <w:tcW w:w="840" w:type="pct"/>
                  <w:vMerge/>
                  <w:tcBorders>
                    <w:top w:val="single" w:sz="12" w:space="0" w:color="auto"/>
                    <w:left w:val="single" w:sz="12" w:space="0" w:color="auto"/>
                    <w:bottom w:val="single" w:sz="12" w:space="0" w:color="000000"/>
                    <w:right w:val="single" w:sz="12" w:space="0" w:color="auto"/>
                    <w:tl2br w:val="nil"/>
                    <w:tr2bl w:val="nil"/>
                  </w:tcBorders>
                  <w:noWrap/>
                  <w:vAlign w:val="bottom"/>
                </w:tcPr>
                <w:p/>
              </w:tc>
              <w:tc>
                <w:tcPr>
                  <w:tcW w:w="633" w:type="pct"/>
                  <w:vMerge/>
                  <w:tcBorders>
                    <w:top w:val="single" w:sz="12" w:space="0" w:color="auto"/>
                    <w:left w:val="single" w:sz="12" w:space="0" w:color="auto"/>
                    <w:bottom w:val="single" w:sz="12" w:space="0" w:color="000000"/>
                    <w:right w:val="single" w:sz="12" w:space="0" w:color="auto"/>
                    <w:tl2br w:val="nil"/>
                    <w:tr2bl w:val="nil"/>
                  </w:tcBorders>
                  <w:noWrap/>
                  <w:vAlign w:val="bottom"/>
                </w:tcPr>
                <w:p/>
              </w:tc>
              <w:tc>
                <w:tcPr>
                  <w:tcW w:w="436" w:type="pct"/>
                  <w:vMerge/>
                  <w:tcBorders>
                    <w:top w:val="single" w:sz="12" w:space="0" w:color="auto"/>
                    <w:left w:val="single" w:sz="12" w:space="0" w:color="auto"/>
                    <w:bottom w:val="single" w:sz="12" w:space="0" w:color="000000"/>
                    <w:right w:val="single" w:sz="12" w:space="0" w:color="auto"/>
                    <w:tl2br w:val="nil"/>
                    <w:tr2bl w:val="nil"/>
                  </w:tcBorders>
                  <w:noWrap/>
                  <w:vAlign w:val="bottom"/>
                </w:tcPr>
                <w:p/>
              </w:tc>
              <w:tc>
                <w:tcPr>
                  <w:tcW w:w="226" w:type="pct"/>
                  <w:vMerge/>
                  <w:tcBorders>
                    <w:top w:val="single" w:sz="12" w:space="0" w:color="auto"/>
                    <w:left w:val="single" w:sz="12" w:space="0" w:color="auto"/>
                    <w:bottom w:val="single" w:sz="12" w:space="0" w:color="000000"/>
                    <w:right w:val="single" w:sz="12" w:space="0" w:color="auto"/>
                    <w:tl2br w:val="nil"/>
                    <w:tr2bl w:val="nil"/>
                  </w:tcBorders>
                  <w:noWrap/>
                  <w:vAlign w:val="bottom"/>
                </w:tcPr>
                <w:p/>
              </w:tc>
              <w:tc>
                <w:tcPr>
                  <w:tcW w:w="448" w:type="pct"/>
                  <w:tcBorders>
                    <w:top w:val="nil"/>
                    <w:left w:val="nil"/>
                    <w:bottom w:val="single" w:sz="12" w:space="0" w:color="auto"/>
                    <w:right w:val="single" w:sz="12" w:space="0" w:color="auto"/>
                    <w:tl2br w:val="nil"/>
                    <w:tr2bl w:val="nil"/>
                  </w:tcBorders>
                  <w:noWrap/>
                  <w:vAlign w:val="bottom"/>
                </w:tcPr>
                <w:p>
                  <w:pPr>
                    <w:jc w:val="center"/>
                    <w:rPr>
                      <w:rFonts w:ascii="宋体" w:eastAsia="宋体"/>
                      <w:b w:val="0"/>
                      <w:i w:val="0"/>
                      <w:sz w:val="16"/>
                    </w:rPr>
                  </w:pPr>
                  <w:r>
                    <w:rPr>
                      <w:rFonts w:ascii="宋体" w:eastAsia="宋体"/>
                      <w:b w:val="0"/>
                      <w:i w:val="0"/>
                      <w:sz w:val="16"/>
                    </w:rPr>
                    <w:t>小计</w:t>
                  </w:r>
                </w:p>
              </w:tc>
              <w:tc>
                <w:tcPr>
                  <w:tcW w:w="293" w:type="pct"/>
                  <w:tcBorders>
                    <w:top w:val="nil"/>
                    <w:left w:val="nil"/>
                    <w:bottom w:val="single" w:sz="12" w:space="0" w:color="auto"/>
                    <w:right w:val="single" w:sz="12" w:space="0" w:color="auto"/>
                    <w:tl2br w:val="nil"/>
                    <w:tr2bl w:val="nil"/>
                  </w:tcBorders>
                  <w:noWrap/>
                  <w:vAlign w:val="bottom"/>
                </w:tcPr>
                <w:p>
                  <w:pPr>
                    <w:jc w:val="center"/>
                    <w:rPr>
                      <w:rFonts w:ascii="宋体" w:eastAsia="宋体"/>
                      <w:b w:val="0"/>
                      <w:i w:val="0"/>
                      <w:sz w:val="16"/>
                    </w:rPr>
                  </w:pPr>
                  <w:r>
                    <w:rPr>
                      <w:rFonts w:ascii="宋体" w:eastAsia="宋体"/>
                      <w:b w:val="0"/>
                      <w:i w:val="0"/>
                      <w:sz w:val="16"/>
                    </w:rPr>
                    <w:t>基本支出</w:t>
                  </w:r>
                </w:p>
              </w:tc>
              <w:tc>
                <w:tcPr>
                  <w:tcW w:w="293" w:type="pct"/>
                  <w:tcBorders>
                    <w:top w:val="nil"/>
                    <w:left w:val="nil"/>
                    <w:bottom w:val="single" w:sz="12" w:space="0" w:color="auto"/>
                    <w:right w:val="single" w:sz="12" w:space="0" w:color="auto"/>
                    <w:tl2br w:val="nil"/>
                    <w:tr2bl w:val="nil"/>
                  </w:tcBorders>
                  <w:noWrap/>
                  <w:vAlign w:val="bottom"/>
                </w:tcPr>
                <w:p>
                  <w:pPr>
                    <w:jc w:val="center"/>
                    <w:rPr>
                      <w:rFonts w:ascii="宋体" w:eastAsia="宋体"/>
                      <w:b w:val="0"/>
                      <w:i w:val="0"/>
                      <w:sz w:val="16"/>
                    </w:rPr>
                  </w:pPr>
                  <w:r>
                    <w:rPr>
                      <w:rFonts w:ascii="宋体" w:eastAsia="宋体"/>
                      <w:b w:val="0"/>
                      <w:i w:val="0"/>
                      <w:sz w:val="16"/>
                    </w:rPr>
                    <w:t>项目支出</w:t>
                  </w:r>
                </w:p>
              </w:tc>
              <w:tc>
                <w:tcPr>
                  <w:tcW w:w="226" w:type="pct"/>
                  <w:vMerge/>
                  <w:tcBorders>
                    <w:top w:val="single" w:sz="12" w:space="0" w:color="auto"/>
                    <w:left w:val="single" w:sz="12" w:space="0" w:color="auto"/>
                    <w:bottom w:val="single" w:sz="12" w:space="0" w:color="000000"/>
                    <w:right w:val="single" w:sz="12" w:space="0" w:color="auto"/>
                    <w:tl2br w:val="nil"/>
                    <w:tr2bl w:val="nil"/>
                  </w:tcBorders>
                  <w:noWrap/>
                  <w:vAlign w:val="bottom"/>
                </w:tcPr>
                <w:p/>
              </w:tc>
              <w:tc>
                <w:tcPr>
                  <w:tcW w:w="436" w:type="pct"/>
                  <w:vMerge/>
                  <w:tcBorders>
                    <w:top w:val="single" w:sz="12" w:space="0" w:color="auto"/>
                    <w:left w:val="single" w:sz="12" w:space="0" w:color="auto"/>
                    <w:bottom w:val="single" w:sz="12" w:space="0" w:color="000000"/>
                    <w:right w:val="single" w:sz="12" w:space="0" w:color="auto"/>
                    <w:tl2br w:val="nil"/>
                    <w:tr2bl w:val="nil"/>
                  </w:tcBorders>
                  <w:noWrap/>
                  <w:vAlign w:val="bottom"/>
                </w:tcPr>
                <w:p/>
              </w:tc>
              <w:tc>
                <w:tcPr>
                  <w:tcW w:w="226" w:type="pct"/>
                  <w:vMerge/>
                  <w:tcBorders>
                    <w:top w:val="single" w:sz="12" w:space="0" w:color="auto"/>
                    <w:left w:val="single" w:sz="12" w:space="0" w:color="auto"/>
                    <w:bottom w:val="single" w:sz="12" w:space="0" w:color="000000"/>
                    <w:right w:val="single" w:sz="12" w:space="0" w:color="auto"/>
                    <w:tl2br w:val="nil"/>
                    <w:tr2bl w:val="nil"/>
                  </w:tcBorders>
                  <w:noWrap/>
                  <w:vAlign w:val="bottom"/>
                </w:tcPr>
                <w:p/>
              </w:tc>
              <w:tc>
                <w:tcPr>
                  <w:tcW w:w="436" w:type="pct"/>
                  <w:vMerge/>
                  <w:tcBorders>
                    <w:top w:val="single" w:sz="12" w:space="0" w:color="auto"/>
                    <w:left w:val="single" w:sz="12" w:space="0" w:color="auto"/>
                    <w:bottom w:val="single" w:sz="12" w:space="0" w:color="000000"/>
                    <w:right w:val="single" w:sz="12" w:space="0" w:color="auto"/>
                    <w:tl2br w:val="nil"/>
                    <w:tr2bl w:val="nil"/>
                  </w:tcBorders>
                  <w:noWrap/>
                  <w:vAlign w:val="bottom"/>
                </w:tcPr>
                <w:p/>
              </w:tc>
              <w:tc>
                <w:tcPr>
                  <w:tcW w:w="226" w:type="pct"/>
                  <w:vMerge/>
                  <w:tcBorders>
                    <w:top w:val="single" w:sz="12" w:space="0" w:color="auto"/>
                    <w:left w:val="single" w:sz="12" w:space="0" w:color="auto"/>
                    <w:bottom w:val="single" w:sz="12" w:space="0" w:color="000000"/>
                    <w:right w:val="single" w:sz="12" w:space="0" w:color="auto"/>
                    <w:tl2br w:val="nil"/>
                    <w:tr2bl w:val="nil"/>
                  </w:tcBorders>
                  <w:noWrap/>
                  <w:vAlign w:val="bottom"/>
                </w:tcPr>
                <w:p/>
              </w:tc>
            </w:tr>
            <w:tr>
              <w:trPr>
                <w:trHeight w:val="269"/>
              </w:trPr>
              <w:tc>
                <w:tcPr>
                  <w:tcW w:w="293" w:type="pct"/>
                  <w:tcBorders>
                    <w:top w:val="nil"/>
                    <w:left w:val="single" w:sz="12" w:space="0" w:color="auto"/>
                    <w:bottom w:val="single" w:sz="12" w:space="0" w:color="auto"/>
                    <w:right w:val="single" w:sz="12" w:space="0" w:color="auto"/>
                    <w:tl2br w:val="nil"/>
                    <w:tr2bl w:val="nil"/>
                  </w:tcBorders>
                  <w:noWrap/>
                  <w:vAlign w:val="bottom"/>
                </w:tcPr>
                <w:p>
                  <w:pPr>
                    <w:rPr>
                      <w:rFonts w:ascii="Times New Roman" w:eastAsia="宋体" w:hAnsi="Times New Roman"/>
                      <w:b/>
                      <w:i w:val="0"/>
                      <w:color w:val="000000"/>
                      <w:sz w:val="16"/>
                    </w:rPr>
                  </w:pPr>
                  <w:r>
                    <w:rPr>
                      <w:rFonts w:ascii="Times New Roman" w:eastAsia="宋体" w:hAnsi="Times New Roman"/>
                      <w:b/>
                      <w:i w:val="0"/>
                      <w:color w:val="000000"/>
                      <w:sz w:val="16"/>
                    </w:rPr>
                    <w:t>204</w:t>
                  </w:r>
                </w:p>
              </w:tc>
              <w:tc>
                <w:tcPr>
                  <w:tcW w:w="953" w:type="pct"/>
                  <w:tcBorders>
                    <w:top w:val="nil"/>
                    <w:left w:val="nil"/>
                    <w:bottom w:val="single" w:sz="12" w:space="0" w:color="auto"/>
                    <w:right w:val="single" w:sz="12" w:space="0" w:color="auto"/>
                    <w:tl2br w:val="nil"/>
                    <w:tr2bl w:val="nil"/>
                  </w:tcBorders>
                  <w:noWrap/>
                  <w:vAlign w:val="bottom"/>
                </w:tcPr>
                <w:p>
                  <w:pPr>
                    <w:rPr>
                      <w:rFonts w:ascii="宋体" w:eastAsia="宋体"/>
                      <w:b/>
                      <w:i w:val="0"/>
                      <w:strike w:val="0"/>
                      <w:dstrike w:val="0"/>
                      <w:color w:val="000000"/>
                      <w:sz w:val="16"/>
                    </w:rPr>
                  </w:pPr>
                  <w:r>
                    <w:rPr>
                      <w:rFonts w:ascii="Times New Roman" w:hAnsi="Times New Roman"/>
                      <w:b/>
                      <w:i w:val="0"/>
                      <w:strike w:val="0"/>
                      <w:dstrike w:val="0"/>
                      <w:color w:val="000000"/>
                      <w:sz w:val="16"/>
                    </w:rPr>
                    <w:t xml:space="preserve">  </w:t>
                  </w:r>
                  <w:r>
                    <w:rPr>
                      <w:rFonts w:ascii="宋体" w:eastAsia="宋体"/>
                      <w:b/>
                      <w:i w:val="0"/>
                      <w:strike w:val="0"/>
                      <w:dstrike w:val="0"/>
                      <w:color w:val="000000"/>
                      <w:sz w:val="16"/>
                    </w:rPr>
                    <w:t>公共安全支出</w:t>
                  </w:r>
                </w:p>
              </w:tc>
              <w:tc>
                <w:tcPr>
                  <w:tcW w:w="266"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621.88</w:t>
                  </w:r>
                </w:p>
              </w:tc>
              <w:tc>
                <w:tcPr>
                  <w:tcW w:w="551"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621.88</w:t>
                  </w:r>
                </w:p>
              </w:tc>
              <w:tc>
                <w:tcPr>
                  <w:tcW w:w="448"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802.03</w:t>
                  </w:r>
                </w:p>
              </w:tc>
              <w:tc>
                <w:tcPr>
                  <w:tcW w:w="29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599.74</w:t>
                  </w:r>
                </w:p>
              </w:tc>
              <w:tc>
                <w:tcPr>
                  <w:tcW w:w="29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202.29</w:t>
                  </w:r>
                </w:p>
              </w:tc>
              <w:tc>
                <w:tcPr>
                  <w:tcW w:w="73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802.03</w:t>
                  </w:r>
                </w:p>
              </w:tc>
              <w:tc>
                <w:tcPr>
                  <w:tcW w:w="271"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180.15</w:t>
                  </w:r>
                </w:p>
              </w:tc>
              <w:tc>
                <w:tcPr>
                  <w:tcW w:w="27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28.97%</w:t>
                  </w:r>
                </w:p>
              </w:tc>
              <w:tc>
                <w:tcPr>
                  <w:tcW w:w="32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180.15</w:t>
                  </w:r>
                </w:p>
              </w:tc>
              <w:tc>
                <w:tcPr>
                  <w:tcW w:w="30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28.97%</w:t>
                  </w:r>
                </w:p>
              </w:tc>
            </w:tr>
            <w:tr>
              <w:trPr>
                <w:trHeight w:val="269"/>
              </w:trPr>
              <w:tc>
                <w:tcPr>
                  <w:tcW w:w="293" w:type="pct"/>
                  <w:tcBorders>
                    <w:top w:val="nil"/>
                    <w:left w:val="single" w:sz="12" w:space="0" w:color="auto"/>
                    <w:bottom w:val="single" w:sz="12" w:space="0" w:color="auto"/>
                    <w:right w:val="single" w:sz="12" w:space="0" w:color="auto"/>
                    <w:tl2br w:val="nil"/>
                    <w:tr2bl w:val="nil"/>
                  </w:tcBorders>
                  <w:noWrap/>
                  <w:vAlign w:val="bottom"/>
                </w:tcPr>
                <w:p>
                  <w:pPr>
                    <w:rPr>
                      <w:rFonts w:ascii="Times New Roman" w:eastAsia="宋体" w:hAnsi="Times New Roman"/>
                      <w:b/>
                      <w:i w:val="0"/>
                      <w:color w:val="000000"/>
                      <w:sz w:val="16"/>
                    </w:rPr>
                  </w:pPr>
                  <w:r>
                    <w:rPr>
                      <w:rFonts w:ascii="Times New Roman" w:eastAsia="宋体" w:hAnsi="Times New Roman"/>
                      <w:b/>
                      <w:i w:val="0"/>
                      <w:color w:val="000000"/>
                      <w:sz w:val="16"/>
                    </w:rPr>
                    <w:t>20410</w:t>
                  </w:r>
                </w:p>
              </w:tc>
              <w:tc>
                <w:tcPr>
                  <w:tcW w:w="953" w:type="pct"/>
                  <w:tcBorders>
                    <w:top w:val="nil"/>
                    <w:left w:val="nil"/>
                    <w:bottom w:val="single" w:sz="12" w:space="0" w:color="auto"/>
                    <w:right w:val="single" w:sz="12" w:space="0" w:color="auto"/>
                    <w:tl2br w:val="nil"/>
                    <w:tr2bl w:val="nil"/>
                  </w:tcBorders>
                  <w:noWrap/>
                  <w:vAlign w:val="bottom"/>
                </w:tcPr>
                <w:p>
                  <w:pPr>
                    <w:rPr>
                      <w:rFonts w:ascii="宋体" w:eastAsia="宋体"/>
                      <w:b/>
                      <w:i w:val="0"/>
                      <w:strike w:val="0"/>
                      <w:dstrike w:val="0"/>
                      <w:color w:val="000000"/>
                      <w:sz w:val="16"/>
                    </w:rPr>
                  </w:pPr>
                  <w:r>
                    <w:rPr>
                      <w:rFonts w:ascii="Times New Roman" w:hAnsi="Times New Roman"/>
                      <w:b/>
                      <w:i w:val="0"/>
                      <w:strike w:val="0"/>
                      <w:dstrike w:val="0"/>
                      <w:color w:val="000000"/>
                      <w:sz w:val="16"/>
                    </w:rPr>
                    <w:t xml:space="preserve">    </w:t>
                  </w:r>
                  <w:r>
                    <w:rPr>
                      <w:rFonts w:ascii="宋体" w:eastAsia="宋体"/>
                      <w:b/>
                      <w:i w:val="0"/>
                      <w:strike w:val="0"/>
                      <w:dstrike w:val="0"/>
                      <w:color w:val="000000"/>
                      <w:sz w:val="16"/>
                    </w:rPr>
                    <w:t>缉私警察</w:t>
                  </w:r>
                </w:p>
              </w:tc>
              <w:tc>
                <w:tcPr>
                  <w:tcW w:w="266"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621.88</w:t>
                  </w:r>
                </w:p>
              </w:tc>
              <w:tc>
                <w:tcPr>
                  <w:tcW w:w="551"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621.88</w:t>
                  </w:r>
                </w:p>
              </w:tc>
              <w:tc>
                <w:tcPr>
                  <w:tcW w:w="448"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802.03</w:t>
                  </w:r>
                </w:p>
              </w:tc>
              <w:tc>
                <w:tcPr>
                  <w:tcW w:w="29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599.74</w:t>
                  </w:r>
                </w:p>
              </w:tc>
              <w:tc>
                <w:tcPr>
                  <w:tcW w:w="29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202.29</w:t>
                  </w:r>
                </w:p>
              </w:tc>
              <w:tc>
                <w:tcPr>
                  <w:tcW w:w="73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802.03</w:t>
                  </w:r>
                </w:p>
              </w:tc>
              <w:tc>
                <w:tcPr>
                  <w:tcW w:w="271"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180.15</w:t>
                  </w:r>
                </w:p>
              </w:tc>
              <w:tc>
                <w:tcPr>
                  <w:tcW w:w="27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28.97%</w:t>
                  </w:r>
                </w:p>
              </w:tc>
              <w:tc>
                <w:tcPr>
                  <w:tcW w:w="32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180.15</w:t>
                  </w:r>
                </w:p>
              </w:tc>
              <w:tc>
                <w:tcPr>
                  <w:tcW w:w="30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28.97%</w:t>
                  </w:r>
                </w:p>
              </w:tc>
            </w:tr>
            <w:tr>
              <w:trPr>
                <w:trHeight w:val="269"/>
              </w:trPr>
              <w:tc>
                <w:tcPr>
                  <w:tcW w:w="293" w:type="pct"/>
                  <w:tcBorders>
                    <w:top w:val="nil"/>
                    <w:left w:val="single" w:sz="12" w:space="0" w:color="auto"/>
                    <w:bottom w:val="single" w:sz="12" w:space="0" w:color="auto"/>
                    <w:right w:val="single" w:sz="12" w:space="0" w:color="auto"/>
                    <w:tl2br w:val="nil"/>
                    <w:tr2bl w:val="nil"/>
                  </w:tcBorders>
                  <w:noWrap/>
                  <w:vAlign w:val="bottom"/>
                </w:tcPr>
                <w:p>
                  <w:pPr>
                    <w:rPr>
                      <w:rFonts w:ascii="Times New Roman" w:eastAsia="宋体" w:hAnsi="Times New Roman"/>
                      <w:b w:val="0"/>
                      <w:i w:val="0"/>
                      <w:color w:val="000000"/>
                      <w:sz w:val="16"/>
                    </w:rPr>
                  </w:pPr>
                  <w:r>
                    <w:rPr>
                      <w:rFonts w:ascii="Times New Roman" w:eastAsia="宋体" w:hAnsi="Times New Roman"/>
                      <w:b w:val="0"/>
                      <w:i w:val="0"/>
                      <w:color w:val="000000"/>
                      <w:sz w:val="16"/>
                    </w:rPr>
                    <w:t>2041001</w:t>
                  </w:r>
                </w:p>
              </w:tc>
              <w:tc>
                <w:tcPr>
                  <w:tcW w:w="953" w:type="pct"/>
                  <w:tcBorders>
                    <w:top w:val="nil"/>
                    <w:left w:val="nil"/>
                    <w:bottom w:val="single" w:sz="12" w:space="0" w:color="auto"/>
                    <w:right w:val="single" w:sz="12" w:space="0" w:color="auto"/>
                    <w:tl2br w:val="nil"/>
                    <w:tr2bl w:val="nil"/>
                  </w:tcBorders>
                  <w:noWrap/>
                  <w:vAlign w:val="bottom"/>
                </w:tcPr>
                <w:p>
                  <w:pPr>
                    <w:rPr>
                      <w:rFonts w:ascii="宋体" w:eastAsia="宋体"/>
                      <w:b w:val="0"/>
                      <w:i w:val="0"/>
                      <w:color w:val="000000"/>
                      <w:sz w:val="16"/>
                    </w:rPr>
                  </w:pPr>
                  <w:r>
                    <w:rPr>
                      <w:rFonts w:ascii="宋体" w:eastAsia="宋体"/>
                      <w:b w:val="0"/>
                      <w:i w:val="0"/>
                      <w:color w:val="000000"/>
                      <w:sz w:val="16"/>
                    </w:rPr>
                    <w:t>行政运行</w:t>
                  </w:r>
                </w:p>
              </w:tc>
              <w:tc>
                <w:tcPr>
                  <w:tcW w:w="266"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621.88</w:t>
                  </w:r>
                </w:p>
              </w:tc>
              <w:tc>
                <w:tcPr>
                  <w:tcW w:w="551"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621.88</w:t>
                  </w:r>
                </w:p>
              </w:tc>
              <w:tc>
                <w:tcPr>
                  <w:tcW w:w="448"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599.74</w:t>
                  </w:r>
                </w:p>
              </w:tc>
              <w:tc>
                <w:tcPr>
                  <w:tcW w:w="29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599.74</w:t>
                  </w:r>
                </w:p>
              </w:tc>
              <w:tc>
                <w:tcPr>
                  <w:tcW w:w="293" w:type="pct"/>
                  <w:tcBorders>
                    <w:top w:val="nil"/>
                    <w:left w:val="nil"/>
                    <w:bottom w:val="single" w:sz="12" w:space="0" w:color="auto"/>
                    <w:right w:val="single" w:sz="12" w:space="0" w:color="auto"/>
                    <w:tl2br w:val="nil"/>
                    <w:tr2bl w:val="nil"/>
                  </w:tcBorders>
                  <w:noWrap/>
                  <w:vAlign w:val="bottom"/>
                </w:tcPr>
                <w:p>
                  <w:pPr>
                    <w:jc w:val="right"/>
                    <w:rPr>
                      <w:rFonts w:ascii="宋体" w:eastAsia="宋体"/>
                      <w:b w:val="0"/>
                      <w:i w:val="0"/>
                      <w:color w:val="000000"/>
                      <w:sz w:val="16"/>
                    </w:rPr>
                  </w:pPr>
                </w:p>
              </w:tc>
              <w:tc>
                <w:tcPr>
                  <w:tcW w:w="73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599.74</w:t>
                  </w:r>
                </w:p>
              </w:tc>
              <w:tc>
                <w:tcPr>
                  <w:tcW w:w="271"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-22.14</w:t>
                  </w:r>
                </w:p>
              </w:tc>
              <w:tc>
                <w:tcPr>
                  <w:tcW w:w="27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-3.56%</w:t>
                  </w:r>
                </w:p>
              </w:tc>
              <w:tc>
                <w:tcPr>
                  <w:tcW w:w="32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-22.14</w:t>
                  </w:r>
                </w:p>
              </w:tc>
              <w:tc>
                <w:tcPr>
                  <w:tcW w:w="30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-3.56%</w:t>
                  </w:r>
                </w:p>
              </w:tc>
            </w:tr>
            <w:tr>
              <w:trPr>
                <w:trHeight w:val="269"/>
              </w:trPr>
              <w:tc>
                <w:tcPr>
                  <w:tcW w:w="293" w:type="pct"/>
                  <w:tcBorders>
                    <w:top w:val="nil"/>
                    <w:left w:val="single" w:sz="12" w:space="0" w:color="auto"/>
                    <w:bottom w:val="single" w:sz="12" w:space="0" w:color="auto"/>
                    <w:right w:val="single" w:sz="12" w:space="0" w:color="auto"/>
                    <w:tl2br w:val="nil"/>
                    <w:tr2bl w:val="nil"/>
                  </w:tcBorders>
                  <w:noWrap/>
                  <w:vAlign w:val="bottom"/>
                </w:tcPr>
                <w:p>
                  <w:pPr>
                    <w:rPr>
                      <w:rFonts w:ascii="Times New Roman" w:eastAsia="宋体" w:hAnsi="Times New Roman"/>
                      <w:b w:val="0"/>
                      <w:i w:val="0"/>
                      <w:color w:val="000000"/>
                      <w:sz w:val="16"/>
                    </w:rPr>
                  </w:pPr>
                  <w:r>
                    <w:rPr>
                      <w:rFonts w:ascii="Times New Roman" w:eastAsia="宋体" w:hAnsi="Times New Roman"/>
                      <w:b w:val="0"/>
                      <w:i w:val="0"/>
                      <w:color w:val="000000"/>
                      <w:sz w:val="16"/>
                    </w:rPr>
                    <w:t>2041006</w:t>
                  </w:r>
                </w:p>
              </w:tc>
              <w:tc>
                <w:tcPr>
                  <w:tcW w:w="953" w:type="pct"/>
                  <w:tcBorders>
                    <w:top w:val="nil"/>
                    <w:left w:val="nil"/>
                    <w:bottom w:val="single" w:sz="12" w:space="0" w:color="auto"/>
                    <w:right w:val="single" w:sz="12" w:space="0" w:color="auto"/>
                    <w:tl2br w:val="nil"/>
                    <w:tr2bl w:val="nil"/>
                  </w:tcBorders>
                  <w:noWrap/>
                  <w:vAlign w:val="bottom"/>
                </w:tcPr>
                <w:p>
                  <w:pPr>
                    <w:rPr>
                      <w:rFonts w:ascii="宋体" w:eastAsia="宋体"/>
                      <w:b w:val="0"/>
                      <w:i w:val="0"/>
                      <w:color w:val="000000"/>
                      <w:sz w:val="16"/>
                    </w:rPr>
                  </w:pPr>
                  <w:r>
                    <w:rPr>
                      <w:rFonts w:ascii="宋体" w:eastAsia="宋体"/>
                      <w:b w:val="0"/>
                      <w:i w:val="0"/>
                      <w:color w:val="000000"/>
                      <w:sz w:val="16"/>
                    </w:rPr>
                    <w:t>信息化建设</w:t>
                  </w:r>
                </w:p>
              </w:tc>
              <w:tc>
                <w:tcPr>
                  <w:tcW w:w="266"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95</w:t>
                  </w:r>
                </w:p>
              </w:tc>
              <w:tc>
                <w:tcPr>
                  <w:tcW w:w="551"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95</w:t>
                  </w:r>
                </w:p>
              </w:tc>
              <w:tc>
                <w:tcPr>
                  <w:tcW w:w="448"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72.3</w:t>
                  </w:r>
                </w:p>
              </w:tc>
              <w:tc>
                <w:tcPr>
                  <w:tcW w:w="293" w:type="pct"/>
                  <w:tcBorders>
                    <w:top w:val="nil"/>
                    <w:left w:val="nil"/>
                    <w:bottom w:val="single" w:sz="12" w:space="0" w:color="auto"/>
                    <w:right w:val="single" w:sz="12" w:space="0" w:color="auto"/>
                    <w:tl2br w:val="nil"/>
                    <w:tr2bl w:val="nil"/>
                  </w:tcBorders>
                  <w:noWrap/>
                  <w:vAlign w:val="bottom"/>
                </w:tcPr>
                <w:p>
                  <w:pPr>
                    <w:jc w:val="right"/>
                    <w:rPr>
                      <w:rFonts w:ascii="宋体" w:eastAsia="宋体"/>
                      <w:b w:val="0"/>
                      <w:i w:val="0"/>
                      <w:color w:val="000000"/>
                      <w:sz w:val="16"/>
                    </w:rPr>
                  </w:pPr>
                </w:p>
              </w:tc>
              <w:tc>
                <w:tcPr>
                  <w:tcW w:w="29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72.3</w:t>
                  </w:r>
                </w:p>
              </w:tc>
              <w:tc>
                <w:tcPr>
                  <w:tcW w:w="73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72.3</w:t>
                  </w:r>
                </w:p>
              </w:tc>
              <w:tc>
                <w:tcPr>
                  <w:tcW w:w="271"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-22.70</w:t>
                  </w:r>
                </w:p>
              </w:tc>
              <w:tc>
                <w:tcPr>
                  <w:tcW w:w="27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-23.89%</w:t>
                  </w:r>
                </w:p>
              </w:tc>
              <w:tc>
                <w:tcPr>
                  <w:tcW w:w="32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-22.70</w:t>
                  </w:r>
                </w:p>
              </w:tc>
              <w:tc>
                <w:tcPr>
                  <w:tcW w:w="30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-23.89%</w:t>
                  </w:r>
                </w:p>
              </w:tc>
            </w:tr>
            <w:tr>
              <w:trPr>
                <w:trHeight w:val="269"/>
              </w:trPr>
              <w:tc>
                <w:tcPr>
                  <w:tcW w:w="293" w:type="pct"/>
                  <w:tcBorders>
                    <w:top w:val="nil"/>
                    <w:left w:val="single" w:sz="12" w:space="0" w:color="auto"/>
                    <w:bottom w:val="single" w:sz="12" w:space="0" w:color="auto"/>
                    <w:right w:val="single" w:sz="12" w:space="0" w:color="auto"/>
                    <w:tl2br w:val="nil"/>
                    <w:tr2bl w:val="nil"/>
                  </w:tcBorders>
                  <w:noWrap/>
                  <w:vAlign w:val="bottom"/>
                </w:tcPr>
                <w:p>
                  <w:pPr>
                    <w:rPr>
                      <w:rFonts w:ascii="Times New Roman" w:eastAsia="宋体" w:hAnsi="Times New Roman"/>
                      <w:b w:val="0"/>
                      <w:i w:val="0"/>
                      <w:color w:val="000000"/>
                      <w:sz w:val="16"/>
                    </w:rPr>
                  </w:pPr>
                  <w:r>
                    <w:rPr>
                      <w:rFonts w:ascii="Times New Roman" w:eastAsia="宋体" w:hAnsi="Times New Roman"/>
                      <w:b w:val="0"/>
                      <w:i w:val="0"/>
                      <w:color w:val="000000"/>
                      <w:sz w:val="16"/>
                    </w:rPr>
                    <w:t>2041007</w:t>
                  </w:r>
                </w:p>
              </w:tc>
              <w:tc>
                <w:tcPr>
                  <w:tcW w:w="953" w:type="pct"/>
                  <w:tcBorders>
                    <w:top w:val="nil"/>
                    <w:left w:val="nil"/>
                    <w:bottom w:val="single" w:sz="12" w:space="0" w:color="auto"/>
                    <w:right w:val="nil"/>
                    <w:tl2br w:val="nil"/>
                    <w:tr2bl w:val="nil"/>
                  </w:tcBorders>
                  <w:noWrap/>
                  <w:vAlign w:val="bottom"/>
                </w:tcPr>
                <w:p>
                  <w:pPr>
                    <w:rPr>
                      <w:rFonts w:ascii="宋体" w:eastAsia="宋体"/>
                      <w:b w:val="0"/>
                      <w:i w:val="0"/>
                      <w:color w:val="000000"/>
                      <w:sz w:val="16"/>
                    </w:rPr>
                  </w:pPr>
                  <w:r>
                    <w:rPr>
                      <w:rFonts w:ascii="宋体" w:eastAsia="宋体"/>
                      <w:b w:val="0"/>
                      <w:i w:val="0"/>
                      <w:color w:val="000000"/>
                      <w:sz w:val="16"/>
                    </w:rPr>
                    <w:t>缉私业务</w:t>
                  </w:r>
                </w:p>
              </w:tc>
              <w:tc>
                <w:tcPr>
                  <w:tcW w:w="266"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116.24</w:t>
                  </w:r>
                </w:p>
              </w:tc>
              <w:tc>
                <w:tcPr>
                  <w:tcW w:w="551"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116.24</w:t>
                  </w:r>
                </w:p>
              </w:tc>
              <w:tc>
                <w:tcPr>
                  <w:tcW w:w="448"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129.99</w:t>
                  </w:r>
                </w:p>
              </w:tc>
              <w:tc>
                <w:tcPr>
                  <w:tcW w:w="29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p>
              </w:tc>
              <w:tc>
                <w:tcPr>
                  <w:tcW w:w="29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129.99</w:t>
                  </w:r>
                </w:p>
              </w:tc>
              <w:tc>
                <w:tcPr>
                  <w:tcW w:w="73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129.99</w:t>
                  </w:r>
                </w:p>
              </w:tc>
              <w:tc>
                <w:tcPr>
                  <w:tcW w:w="271"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 xml:space="preserve">13.75 </w:t>
                  </w:r>
                </w:p>
              </w:tc>
              <w:tc>
                <w:tcPr>
                  <w:tcW w:w="27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11.83%</w:t>
                  </w:r>
                </w:p>
              </w:tc>
              <w:tc>
                <w:tcPr>
                  <w:tcW w:w="32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13.75</w:t>
                  </w:r>
                </w:p>
              </w:tc>
              <w:tc>
                <w:tcPr>
                  <w:tcW w:w="30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11.83%</w:t>
                  </w:r>
                </w:p>
              </w:tc>
            </w:tr>
            <w:tr>
              <w:trPr>
                <w:trHeight w:val="269"/>
              </w:trPr>
              <w:tc>
                <w:tcPr>
                  <w:tcW w:w="293" w:type="pct"/>
                  <w:tcBorders>
                    <w:top w:val="single" w:sz="12" w:space="0" w:color="auto"/>
                    <w:left w:val="single" w:sz="12" w:space="0" w:color="auto"/>
                    <w:bottom w:val="single" w:sz="12" w:space="0" w:color="auto"/>
                    <w:right w:val="single" w:sz="12" w:space="0" w:color="auto"/>
                    <w:tl2br w:val="nil"/>
                    <w:tr2bl w:val="nil"/>
                  </w:tcBorders>
                  <w:noWrap/>
                  <w:vAlign w:val="bottom"/>
                </w:tcPr>
                <w:p>
                  <w:pPr>
                    <w:rPr>
                      <w:rFonts w:ascii="Times New Roman" w:eastAsia="宋体" w:hAnsi="Times New Roman"/>
                      <w:b/>
                      <w:i w:val="0"/>
                      <w:color w:val="000000"/>
                      <w:sz w:val="16"/>
                    </w:rPr>
                  </w:pPr>
                  <w:r>
                    <w:rPr>
                      <w:rFonts w:ascii="Times New Roman" w:eastAsia="宋体" w:hAnsi="Times New Roman"/>
                      <w:b/>
                      <w:i w:val="0"/>
                      <w:color w:val="000000"/>
                      <w:sz w:val="16"/>
                    </w:rPr>
                    <w:t>208</w:t>
                  </w:r>
                </w:p>
              </w:tc>
              <w:tc>
                <w:tcPr>
                  <w:tcW w:w="953" w:type="pct"/>
                  <w:tcBorders>
                    <w:top w:val="single" w:sz="12" w:space="0" w:color="auto"/>
                    <w:left w:val="nil"/>
                    <w:bottom w:val="single" w:sz="12" w:space="0" w:color="auto"/>
                    <w:right w:val="nil"/>
                    <w:tl2br w:val="nil"/>
                    <w:tr2bl w:val="nil"/>
                  </w:tcBorders>
                  <w:noWrap/>
                  <w:vAlign w:val="bottom"/>
                </w:tcPr>
                <w:p>
                  <w:pPr>
                    <w:rPr>
                      <w:rFonts w:ascii="宋体" w:eastAsia="宋体"/>
                      <w:b/>
                      <w:i w:val="0"/>
                      <w:strike w:val="0"/>
                      <w:dstrike w:val="0"/>
                      <w:color w:val="000000"/>
                      <w:sz w:val="16"/>
                    </w:rPr>
                  </w:pPr>
                  <w:r>
                    <w:rPr>
                      <w:rFonts w:ascii="Times New Roman" w:hAnsi="Times New Roman"/>
                      <w:b/>
                      <w:i w:val="0"/>
                      <w:strike w:val="0"/>
                      <w:dstrike w:val="0"/>
                      <w:color w:val="000000"/>
                      <w:sz w:val="16"/>
                    </w:rPr>
                    <w:t xml:space="preserve">  </w:t>
                  </w:r>
                  <w:r>
                    <w:rPr>
                      <w:rFonts w:ascii="宋体" w:eastAsia="宋体"/>
                      <w:b/>
                      <w:i w:val="0"/>
                      <w:strike w:val="0"/>
                      <w:dstrike w:val="0"/>
                      <w:color w:val="000000"/>
                      <w:sz w:val="16"/>
                    </w:rPr>
                    <w:t>社会保障和就业支出</w:t>
                  </w:r>
                </w:p>
              </w:tc>
              <w:tc>
                <w:tcPr>
                  <w:tcW w:w="266"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881.55</w:t>
                  </w:r>
                </w:p>
              </w:tc>
              <w:tc>
                <w:tcPr>
                  <w:tcW w:w="551"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881.55</w:t>
                  </w:r>
                </w:p>
              </w:tc>
              <w:tc>
                <w:tcPr>
                  <w:tcW w:w="448" w:type="pct"/>
                  <w:tcBorders>
                    <w:top w:val="single" w:sz="12" w:space="0" w:color="auto"/>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853.19</w:t>
                  </w:r>
                </w:p>
              </w:tc>
              <w:tc>
                <w:tcPr>
                  <w:tcW w:w="293" w:type="pct"/>
                  <w:tcBorders>
                    <w:top w:val="single" w:sz="12" w:space="0" w:color="auto"/>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853.19</w:t>
                  </w:r>
                </w:p>
              </w:tc>
              <w:tc>
                <w:tcPr>
                  <w:tcW w:w="293" w:type="pct"/>
                  <w:tcBorders>
                    <w:top w:val="single" w:sz="12" w:space="0" w:color="auto"/>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p>
              </w:tc>
              <w:tc>
                <w:tcPr>
                  <w:tcW w:w="733" w:type="pct"/>
                  <w:tcBorders>
                    <w:top w:val="single" w:sz="12" w:space="0" w:color="auto"/>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853.19</w:t>
                  </w:r>
                </w:p>
              </w:tc>
              <w:tc>
                <w:tcPr>
                  <w:tcW w:w="271"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 xml:space="preserve">-28.36 </w:t>
                  </w:r>
                </w:p>
              </w:tc>
              <w:tc>
                <w:tcPr>
                  <w:tcW w:w="27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-3.22%</w:t>
                  </w:r>
                </w:p>
              </w:tc>
              <w:tc>
                <w:tcPr>
                  <w:tcW w:w="320" w:type="pct"/>
                  <w:tcBorders>
                    <w:top w:val="single" w:sz="12" w:space="0" w:color="auto"/>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-28.36</w:t>
                  </w:r>
                </w:p>
              </w:tc>
              <w:tc>
                <w:tcPr>
                  <w:tcW w:w="303" w:type="pct"/>
                  <w:tcBorders>
                    <w:top w:val="single" w:sz="12" w:space="0" w:color="auto"/>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-3.22%</w:t>
                  </w:r>
                </w:p>
              </w:tc>
            </w:tr>
            <w:tr>
              <w:trPr>
                <w:trHeight w:val="269"/>
              </w:trPr>
              <w:tc>
                <w:tcPr>
                  <w:tcW w:w="293" w:type="pct"/>
                  <w:tcBorders>
                    <w:top w:val="nil"/>
                    <w:left w:val="single" w:sz="12" w:space="0" w:color="auto"/>
                    <w:bottom w:val="single" w:sz="12" w:space="0" w:color="auto"/>
                    <w:right w:val="single" w:sz="12" w:space="0" w:color="auto"/>
                    <w:tl2br w:val="nil"/>
                    <w:tr2bl w:val="nil"/>
                  </w:tcBorders>
                  <w:noWrap/>
                  <w:vAlign w:val="bottom"/>
                </w:tcPr>
                <w:p>
                  <w:pPr>
                    <w:rPr>
                      <w:rFonts w:ascii="Times New Roman" w:eastAsia="宋体" w:hAnsi="Times New Roman"/>
                      <w:b/>
                      <w:i w:val="0"/>
                      <w:color w:val="000000"/>
                      <w:sz w:val="16"/>
                    </w:rPr>
                  </w:pPr>
                  <w:r>
                    <w:rPr>
                      <w:rFonts w:ascii="Times New Roman" w:eastAsia="宋体" w:hAnsi="Times New Roman"/>
                      <w:b/>
                      <w:i w:val="0"/>
                      <w:color w:val="000000"/>
                      <w:sz w:val="16"/>
                    </w:rPr>
                    <w:t>20805</w:t>
                  </w:r>
                </w:p>
              </w:tc>
              <w:tc>
                <w:tcPr>
                  <w:tcW w:w="953" w:type="pct"/>
                  <w:tcBorders>
                    <w:top w:val="nil"/>
                    <w:left w:val="nil"/>
                    <w:bottom w:val="single" w:sz="12" w:space="0" w:color="auto"/>
                    <w:right w:val="nil"/>
                    <w:tl2br w:val="nil"/>
                    <w:tr2bl w:val="nil"/>
                  </w:tcBorders>
                  <w:noWrap/>
                  <w:vAlign w:val="bottom"/>
                </w:tcPr>
                <w:p>
                  <w:pPr>
                    <w:rPr>
                      <w:rFonts w:ascii="宋体" w:eastAsia="宋体"/>
                      <w:b/>
                      <w:i w:val="0"/>
                      <w:strike w:val="0"/>
                      <w:dstrike w:val="0"/>
                      <w:color w:val="000000"/>
                      <w:sz w:val="16"/>
                    </w:rPr>
                  </w:pPr>
                  <w:r>
                    <w:rPr>
                      <w:rFonts w:ascii="Times New Roman" w:hAnsi="Times New Roman"/>
                      <w:b/>
                      <w:i w:val="0"/>
                      <w:strike w:val="0"/>
                      <w:dstrike w:val="0"/>
                      <w:color w:val="000000"/>
                      <w:sz w:val="16"/>
                    </w:rPr>
                    <w:t xml:space="preserve">    </w:t>
                  </w:r>
                  <w:r>
                    <w:rPr>
                      <w:rFonts w:ascii="宋体" w:eastAsia="宋体"/>
                      <w:b/>
                      <w:i w:val="0"/>
                      <w:strike w:val="0"/>
                      <w:dstrike w:val="0"/>
                      <w:color w:val="000000"/>
                      <w:sz w:val="16"/>
                    </w:rPr>
                    <w:t>行政事业单位养老支出</w:t>
                  </w:r>
                </w:p>
              </w:tc>
              <w:tc>
                <w:tcPr>
                  <w:tcW w:w="266"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881.55</w:t>
                  </w:r>
                </w:p>
              </w:tc>
              <w:tc>
                <w:tcPr>
                  <w:tcW w:w="551"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881.55</w:t>
                  </w:r>
                </w:p>
              </w:tc>
              <w:tc>
                <w:tcPr>
                  <w:tcW w:w="448"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853.19</w:t>
                  </w:r>
                </w:p>
              </w:tc>
              <w:tc>
                <w:tcPr>
                  <w:tcW w:w="29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853.19</w:t>
                  </w:r>
                </w:p>
              </w:tc>
              <w:tc>
                <w:tcPr>
                  <w:tcW w:w="29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p>
              </w:tc>
              <w:tc>
                <w:tcPr>
                  <w:tcW w:w="73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853.19</w:t>
                  </w:r>
                </w:p>
              </w:tc>
              <w:tc>
                <w:tcPr>
                  <w:tcW w:w="271"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 xml:space="preserve">-28.36 </w:t>
                  </w:r>
                </w:p>
              </w:tc>
              <w:tc>
                <w:tcPr>
                  <w:tcW w:w="27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-3.22%</w:t>
                  </w:r>
                </w:p>
              </w:tc>
              <w:tc>
                <w:tcPr>
                  <w:tcW w:w="32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-28.36</w:t>
                  </w:r>
                </w:p>
              </w:tc>
              <w:tc>
                <w:tcPr>
                  <w:tcW w:w="30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-3.22%</w:t>
                  </w:r>
                </w:p>
              </w:tc>
            </w:tr>
            <w:tr>
              <w:trPr>
                <w:trHeight w:val="269"/>
              </w:trPr>
              <w:tc>
                <w:tcPr>
                  <w:tcW w:w="293" w:type="pct"/>
                  <w:tcBorders>
                    <w:top w:val="nil"/>
                    <w:left w:val="single" w:sz="12" w:space="0" w:color="auto"/>
                    <w:bottom w:val="single" w:sz="12" w:space="0" w:color="auto"/>
                    <w:right w:val="single" w:sz="12" w:space="0" w:color="auto"/>
                    <w:tl2br w:val="nil"/>
                    <w:tr2bl w:val="nil"/>
                  </w:tcBorders>
                  <w:noWrap/>
                  <w:vAlign w:val="bottom"/>
                </w:tcPr>
                <w:p>
                  <w:pPr>
                    <w:rPr>
                      <w:rFonts w:ascii="Times New Roman" w:eastAsia="宋体" w:hAnsi="Times New Roman"/>
                      <w:b w:val="0"/>
                      <w:i w:val="0"/>
                      <w:color w:val="000000"/>
                      <w:sz w:val="16"/>
                    </w:rPr>
                  </w:pPr>
                  <w:r>
                    <w:rPr>
                      <w:rFonts w:ascii="Times New Roman" w:eastAsia="宋体" w:hAnsi="Times New Roman"/>
                      <w:b w:val="0"/>
                      <w:i w:val="0"/>
                      <w:color w:val="000000"/>
                      <w:sz w:val="16"/>
                    </w:rPr>
                    <w:t>2080501</w:t>
                  </w:r>
                </w:p>
              </w:tc>
              <w:tc>
                <w:tcPr>
                  <w:tcW w:w="953" w:type="pct"/>
                  <w:tcBorders>
                    <w:top w:val="nil"/>
                    <w:left w:val="nil"/>
                    <w:bottom w:val="single" w:sz="12" w:space="0" w:color="auto"/>
                    <w:right w:val="nil"/>
                    <w:tl2br w:val="nil"/>
                    <w:tr2bl w:val="nil"/>
                  </w:tcBorders>
                  <w:noWrap/>
                  <w:vAlign w:val="bottom"/>
                </w:tcPr>
                <w:p>
                  <w:pPr>
                    <w:rPr>
                      <w:rFonts w:ascii="宋体" w:eastAsia="宋体"/>
                      <w:b w:val="0"/>
                      <w:i w:val="0"/>
                      <w:color w:val="000000"/>
                      <w:sz w:val="16"/>
                    </w:rPr>
                  </w:pPr>
                  <w:r>
                    <w:rPr>
                      <w:rFonts w:ascii="宋体" w:eastAsia="宋体"/>
                      <w:b w:val="0"/>
                      <w:i w:val="0"/>
                      <w:color w:val="000000"/>
                      <w:sz w:val="16"/>
                    </w:rPr>
                    <w:t>行政单位离退休</w:t>
                  </w:r>
                </w:p>
              </w:tc>
              <w:tc>
                <w:tcPr>
                  <w:tcW w:w="266"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195.43</w:t>
                  </w:r>
                </w:p>
              </w:tc>
              <w:tc>
                <w:tcPr>
                  <w:tcW w:w="551"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195.43</w:t>
                  </w:r>
                </w:p>
              </w:tc>
              <w:tc>
                <w:tcPr>
                  <w:tcW w:w="448"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171.66</w:t>
                  </w:r>
                </w:p>
              </w:tc>
              <w:tc>
                <w:tcPr>
                  <w:tcW w:w="29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171.66</w:t>
                  </w:r>
                </w:p>
              </w:tc>
              <w:tc>
                <w:tcPr>
                  <w:tcW w:w="29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p>
              </w:tc>
              <w:tc>
                <w:tcPr>
                  <w:tcW w:w="73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171.66</w:t>
                  </w:r>
                </w:p>
              </w:tc>
              <w:tc>
                <w:tcPr>
                  <w:tcW w:w="271"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 xml:space="preserve">-23.77 </w:t>
                  </w:r>
                </w:p>
              </w:tc>
              <w:tc>
                <w:tcPr>
                  <w:tcW w:w="27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-12.16%</w:t>
                  </w:r>
                </w:p>
              </w:tc>
              <w:tc>
                <w:tcPr>
                  <w:tcW w:w="32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-23.77</w:t>
                  </w:r>
                </w:p>
              </w:tc>
              <w:tc>
                <w:tcPr>
                  <w:tcW w:w="30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-12.16%</w:t>
                  </w:r>
                </w:p>
              </w:tc>
            </w:tr>
            <w:tr>
              <w:trPr>
                <w:trHeight w:val="269"/>
              </w:trPr>
              <w:tc>
                <w:tcPr>
                  <w:tcW w:w="293" w:type="pct"/>
                  <w:tcBorders>
                    <w:top w:val="nil"/>
                    <w:left w:val="single" w:sz="12" w:space="0" w:color="auto"/>
                    <w:bottom w:val="single" w:sz="12" w:space="0" w:color="auto"/>
                    <w:right w:val="single" w:sz="12" w:space="0" w:color="auto"/>
                    <w:tl2br w:val="nil"/>
                    <w:tr2bl w:val="nil"/>
                  </w:tcBorders>
                  <w:noWrap/>
                  <w:vAlign w:val="bottom"/>
                </w:tcPr>
                <w:p>
                  <w:pPr>
                    <w:rPr>
                      <w:rFonts w:ascii="Times New Roman" w:eastAsia="宋体" w:hAnsi="Times New Roman"/>
                      <w:b w:val="0"/>
                      <w:i w:val="0"/>
                      <w:color w:val="000000"/>
                      <w:sz w:val="16"/>
                    </w:rPr>
                  </w:pPr>
                  <w:r>
                    <w:rPr>
                      <w:rFonts w:ascii="Times New Roman" w:eastAsia="宋体" w:hAnsi="Times New Roman"/>
                      <w:b w:val="0"/>
                      <w:i w:val="0"/>
                      <w:color w:val="000000"/>
                      <w:sz w:val="16"/>
                    </w:rPr>
                    <w:t>2080505</w:t>
                  </w:r>
                </w:p>
              </w:tc>
              <w:tc>
                <w:tcPr>
                  <w:tcW w:w="953" w:type="pct"/>
                  <w:tcBorders>
                    <w:top w:val="nil"/>
                    <w:left w:val="nil"/>
                    <w:bottom w:val="single" w:sz="12" w:space="0" w:color="auto"/>
                    <w:right w:val="nil"/>
                    <w:tl2br w:val="nil"/>
                    <w:tr2bl w:val="nil"/>
                  </w:tcBorders>
                  <w:noWrap/>
                  <w:vAlign w:val="bottom"/>
                </w:tcPr>
                <w:p>
                  <w:pPr>
                    <w:rPr>
                      <w:rFonts w:ascii="宋体" w:eastAsia="宋体"/>
                      <w:b w:val="0"/>
                      <w:i w:val="0"/>
                      <w:color w:val="000000"/>
                      <w:sz w:val="16"/>
                    </w:rPr>
                  </w:pPr>
                  <w:r>
                    <w:rPr>
                      <w:rFonts w:ascii="宋体" w:eastAsia="宋体"/>
                      <w:b w:val="0"/>
                      <w:i w:val="0"/>
                      <w:color w:val="000000"/>
                      <w:sz w:val="16"/>
                    </w:rPr>
                    <w:t>机关事业单位基本养老保险缴费支出</w:t>
                  </w:r>
                </w:p>
              </w:tc>
              <w:tc>
                <w:tcPr>
                  <w:tcW w:w="266"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457.07</w:t>
                  </w:r>
                </w:p>
              </w:tc>
              <w:tc>
                <w:tcPr>
                  <w:tcW w:w="551"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457.07</w:t>
                  </w:r>
                </w:p>
              </w:tc>
              <w:tc>
                <w:tcPr>
                  <w:tcW w:w="448"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434.45</w:t>
                  </w:r>
                </w:p>
              </w:tc>
              <w:tc>
                <w:tcPr>
                  <w:tcW w:w="29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434.45</w:t>
                  </w:r>
                </w:p>
              </w:tc>
              <w:tc>
                <w:tcPr>
                  <w:tcW w:w="29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p>
              </w:tc>
              <w:tc>
                <w:tcPr>
                  <w:tcW w:w="73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434.45</w:t>
                  </w:r>
                </w:p>
              </w:tc>
              <w:tc>
                <w:tcPr>
                  <w:tcW w:w="271"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 xml:space="preserve">-22.62 </w:t>
                  </w:r>
                </w:p>
              </w:tc>
              <w:tc>
                <w:tcPr>
                  <w:tcW w:w="27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-4.95%</w:t>
                  </w:r>
                </w:p>
              </w:tc>
              <w:tc>
                <w:tcPr>
                  <w:tcW w:w="32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-22.62</w:t>
                  </w:r>
                </w:p>
              </w:tc>
              <w:tc>
                <w:tcPr>
                  <w:tcW w:w="30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-4.95%</w:t>
                  </w:r>
                </w:p>
              </w:tc>
            </w:tr>
            <w:tr>
              <w:trPr>
                <w:trHeight w:val="269"/>
              </w:trPr>
              <w:tc>
                <w:tcPr>
                  <w:tcW w:w="293" w:type="pct"/>
                  <w:tcBorders>
                    <w:top w:val="nil"/>
                    <w:left w:val="single" w:sz="12" w:space="0" w:color="auto"/>
                    <w:bottom w:val="single" w:sz="12" w:space="0" w:color="auto"/>
                    <w:right w:val="single" w:sz="12" w:space="0" w:color="auto"/>
                    <w:tl2br w:val="nil"/>
                    <w:tr2bl w:val="nil"/>
                  </w:tcBorders>
                  <w:noWrap/>
                  <w:vAlign w:val="bottom"/>
                </w:tcPr>
                <w:p>
                  <w:pPr>
                    <w:rPr>
                      <w:rFonts w:ascii="Times New Roman" w:eastAsia="宋体" w:hAnsi="Times New Roman"/>
                      <w:b w:val="0"/>
                      <w:i w:val="0"/>
                      <w:color w:val="000000"/>
                      <w:sz w:val="16"/>
                    </w:rPr>
                  </w:pPr>
                  <w:r>
                    <w:rPr>
                      <w:rFonts w:ascii="Times New Roman" w:eastAsia="宋体" w:hAnsi="Times New Roman"/>
                      <w:b w:val="0"/>
                      <w:i w:val="0"/>
                      <w:color w:val="000000"/>
                      <w:sz w:val="16"/>
                    </w:rPr>
                    <w:t>2080506</w:t>
                  </w:r>
                </w:p>
              </w:tc>
              <w:tc>
                <w:tcPr>
                  <w:tcW w:w="953" w:type="pct"/>
                  <w:tcBorders>
                    <w:top w:val="nil"/>
                    <w:left w:val="nil"/>
                    <w:bottom w:val="single" w:sz="12" w:space="0" w:color="auto"/>
                    <w:right w:val="nil"/>
                    <w:tl2br w:val="nil"/>
                    <w:tr2bl w:val="nil"/>
                  </w:tcBorders>
                  <w:noWrap/>
                  <w:vAlign w:val="bottom"/>
                </w:tcPr>
                <w:p>
                  <w:pPr>
                    <w:rPr>
                      <w:rFonts w:ascii="宋体" w:eastAsia="宋体"/>
                      <w:b w:val="0"/>
                      <w:i w:val="0"/>
                      <w:color w:val="000000"/>
                      <w:sz w:val="16"/>
                    </w:rPr>
                  </w:pPr>
                  <w:r>
                    <w:rPr>
                      <w:rFonts w:ascii="宋体" w:eastAsia="宋体"/>
                      <w:b w:val="0"/>
                      <w:i w:val="0"/>
                      <w:color w:val="000000"/>
                      <w:sz w:val="16"/>
                    </w:rPr>
                    <w:t>机关事业单位职业年金缴费支出</w:t>
                  </w:r>
                </w:p>
              </w:tc>
              <w:tc>
                <w:tcPr>
                  <w:tcW w:w="266"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229.05</w:t>
                  </w:r>
                </w:p>
              </w:tc>
              <w:tc>
                <w:tcPr>
                  <w:tcW w:w="551"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229.05</w:t>
                  </w:r>
                </w:p>
              </w:tc>
              <w:tc>
                <w:tcPr>
                  <w:tcW w:w="448"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247.08</w:t>
                  </w:r>
                </w:p>
              </w:tc>
              <w:tc>
                <w:tcPr>
                  <w:tcW w:w="29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247.08</w:t>
                  </w:r>
                </w:p>
              </w:tc>
              <w:tc>
                <w:tcPr>
                  <w:tcW w:w="29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p>
              </w:tc>
              <w:tc>
                <w:tcPr>
                  <w:tcW w:w="73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247.08</w:t>
                  </w:r>
                </w:p>
              </w:tc>
              <w:tc>
                <w:tcPr>
                  <w:tcW w:w="271"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 xml:space="preserve">18.03 </w:t>
                  </w:r>
                </w:p>
              </w:tc>
              <w:tc>
                <w:tcPr>
                  <w:tcW w:w="27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7.87%</w:t>
                  </w:r>
                </w:p>
              </w:tc>
              <w:tc>
                <w:tcPr>
                  <w:tcW w:w="32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18.03</w:t>
                  </w:r>
                </w:p>
              </w:tc>
              <w:tc>
                <w:tcPr>
                  <w:tcW w:w="303"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7.87%</w:t>
                  </w:r>
                </w:p>
              </w:tc>
            </w:tr>
            <w:tr>
              <w:trPr>
                <w:trHeight w:val="269"/>
              </w:trPr>
              <w:tc>
                <w:tcPr>
                  <w:tcW w:w="293" w:type="pct"/>
                  <w:tcBorders>
                    <w:top w:val="single" w:sz="12" w:space="0" w:color="auto"/>
                    <w:left w:val="single" w:sz="12" w:space="0" w:color="auto"/>
                    <w:bottom w:val="single" w:sz="12" w:space="0" w:color="auto"/>
                    <w:right w:val="single" w:sz="12" w:space="0" w:color="auto"/>
                    <w:tl2br w:val="nil"/>
                    <w:tr2bl w:val="nil"/>
                  </w:tcBorders>
                  <w:noWrap/>
                  <w:vAlign w:val="bottom"/>
                </w:tcPr>
                <w:p>
                  <w:pPr>
                    <w:rPr>
                      <w:rFonts w:ascii="Times New Roman" w:eastAsia="宋体" w:hAnsi="Times New Roman"/>
                      <w:b/>
                      <w:i w:val="0"/>
                      <w:color w:val="000000"/>
                      <w:sz w:val="16"/>
                    </w:rPr>
                  </w:pPr>
                  <w:r>
                    <w:rPr>
                      <w:rFonts w:ascii="Times New Roman" w:eastAsia="宋体" w:hAnsi="Times New Roman"/>
                      <w:b/>
                      <w:i w:val="0"/>
                      <w:color w:val="000000"/>
                      <w:sz w:val="16"/>
                    </w:rPr>
                    <w:t>210</w:t>
                  </w:r>
                </w:p>
              </w:tc>
              <w:tc>
                <w:tcPr>
                  <w:tcW w:w="953" w:type="pct"/>
                  <w:tcBorders>
                    <w:top w:val="single" w:sz="12" w:space="0" w:color="auto"/>
                    <w:left w:val="single" w:sz="12" w:space="0" w:color="auto"/>
                    <w:bottom w:val="single" w:sz="12" w:space="0" w:color="auto"/>
                    <w:right w:val="nil"/>
                    <w:tl2br w:val="nil"/>
                    <w:tr2bl w:val="nil"/>
                  </w:tcBorders>
                  <w:noWrap/>
                  <w:vAlign w:val="bottom"/>
                </w:tcPr>
                <w:p>
                  <w:pPr>
                    <w:rPr>
                      <w:rFonts w:ascii="宋体" w:eastAsia="宋体"/>
                      <w:b/>
                      <w:i w:val="0"/>
                      <w:strike w:val="0"/>
                      <w:dstrike w:val="0"/>
                      <w:color w:val="000000"/>
                      <w:sz w:val="16"/>
                    </w:rPr>
                  </w:pPr>
                  <w:r>
                    <w:rPr>
                      <w:rFonts w:ascii="Times New Roman" w:hAnsi="Times New Roman"/>
                      <w:b/>
                      <w:i w:val="0"/>
                      <w:strike w:val="0"/>
                      <w:dstrike w:val="0"/>
                      <w:color w:val="000000"/>
                      <w:sz w:val="16"/>
                    </w:rPr>
                    <w:t xml:space="preserve">  </w:t>
                  </w:r>
                  <w:r>
                    <w:rPr>
                      <w:rFonts w:ascii="宋体" w:eastAsia="宋体"/>
                      <w:b/>
                      <w:i w:val="0"/>
                      <w:strike w:val="0"/>
                      <w:dstrike w:val="0"/>
                      <w:color w:val="000000"/>
                      <w:sz w:val="16"/>
                    </w:rPr>
                    <w:t>卫生健康支出</w:t>
                  </w:r>
                </w:p>
              </w:tc>
              <w:tc>
                <w:tcPr>
                  <w:tcW w:w="266"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537.68</w:t>
                  </w:r>
                </w:p>
              </w:tc>
              <w:tc>
                <w:tcPr>
                  <w:tcW w:w="551"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537.68</w:t>
                  </w:r>
                </w:p>
              </w:tc>
              <w:tc>
                <w:tcPr>
                  <w:tcW w:w="448" w:type="pct"/>
                  <w:tcBorders>
                    <w:top w:val="single" w:sz="12" w:space="0" w:color="auto"/>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477.76</w:t>
                  </w:r>
                </w:p>
              </w:tc>
              <w:tc>
                <w:tcPr>
                  <w:tcW w:w="29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477.76</w:t>
                  </w:r>
                </w:p>
              </w:tc>
              <w:tc>
                <w:tcPr>
                  <w:tcW w:w="29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p>
              </w:tc>
              <w:tc>
                <w:tcPr>
                  <w:tcW w:w="73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477.76</w:t>
                  </w:r>
                </w:p>
              </w:tc>
              <w:tc>
                <w:tcPr>
                  <w:tcW w:w="271"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 xml:space="preserve">-59.92 </w:t>
                  </w:r>
                </w:p>
              </w:tc>
              <w:tc>
                <w:tcPr>
                  <w:tcW w:w="27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-11.14%</w:t>
                  </w:r>
                </w:p>
              </w:tc>
              <w:tc>
                <w:tcPr>
                  <w:tcW w:w="320"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-59.92</w:t>
                  </w:r>
                </w:p>
              </w:tc>
              <w:tc>
                <w:tcPr>
                  <w:tcW w:w="30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-11.14%</w:t>
                  </w:r>
                </w:p>
              </w:tc>
            </w:tr>
            <w:tr>
              <w:trPr>
                <w:trHeight w:val="269"/>
              </w:trPr>
              <w:tc>
                <w:tcPr>
                  <w:tcW w:w="293" w:type="pct"/>
                  <w:tcBorders>
                    <w:top w:val="single" w:sz="12" w:space="0" w:color="auto"/>
                    <w:left w:val="single" w:sz="12" w:space="0" w:color="auto"/>
                    <w:bottom w:val="single" w:sz="12" w:space="0" w:color="auto"/>
                    <w:right w:val="single" w:sz="12" w:space="0" w:color="auto"/>
                    <w:tl2br w:val="nil"/>
                    <w:tr2bl w:val="nil"/>
                  </w:tcBorders>
                  <w:noWrap/>
                  <w:vAlign w:val="bottom"/>
                </w:tcPr>
                <w:p>
                  <w:pPr>
                    <w:rPr>
                      <w:rFonts w:ascii="Times New Roman" w:eastAsia="宋体" w:hAnsi="Times New Roman"/>
                      <w:b/>
                      <w:i w:val="0"/>
                      <w:color w:val="000000"/>
                      <w:sz w:val="16"/>
                    </w:rPr>
                  </w:pPr>
                  <w:r>
                    <w:rPr>
                      <w:rFonts w:ascii="Times New Roman" w:eastAsia="宋体" w:hAnsi="Times New Roman"/>
                      <w:b/>
                      <w:i w:val="0"/>
                      <w:color w:val="000000"/>
                      <w:sz w:val="16"/>
                    </w:rPr>
                    <w:t>21011</w:t>
                  </w:r>
                </w:p>
              </w:tc>
              <w:tc>
                <w:tcPr>
                  <w:tcW w:w="953" w:type="pct"/>
                  <w:tcBorders>
                    <w:top w:val="single" w:sz="12" w:space="0" w:color="auto"/>
                    <w:left w:val="single" w:sz="12" w:space="0" w:color="auto"/>
                    <w:bottom w:val="single" w:sz="12" w:space="0" w:color="auto"/>
                    <w:right w:val="nil"/>
                    <w:tl2br w:val="nil"/>
                    <w:tr2bl w:val="nil"/>
                  </w:tcBorders>
                  <w:noWrap/>
                  <w:vAlign w:val="bottom"/>
                </w:tcPr>
                <w:p>
                  <w:pPr>
                    <w:rPr>
                      <w:rFonts w:ascii="宋体" w:eastAsia="宋体"/>
                      <w:b/>
                      <w:i w:val="0"/>
                      <w:strike w:val="0"/>
                      <w:dstrike w:val="0"/>
                      <w:color w:val="000000"/>
                      <w:sz w:val="16"/>
                    </w:rPr>
                  </w:pPr>
                  <w:r>
                    <w:rPr>
                      <w:rFonts w:ascii="Times New Roman" w:hAnsi="Times New Roman"/>
                      <w:b/>
                      <w:i w:val="0"/>
                      <w:strike w:val="0"/>
                      <w:dstrike w:val="0"/>
                      <w:color w:val="000000"/>
                      <w:sz w:val="16"/>
                    </w:rPr>
                    <w:t xml:space="preserve">    </w:t>
                  </w:r>
                  <w:r>
                    <w:rPr>
                      <w:rFonts w:ascii="宋体" w:eastAsia="宋体"/>
                      <w:b/>
                      <w:i w:val="0"/>
                      <w:strike w:val="0"/>
                      <w:dstrike w:val="0"/>
                      <w:color w:val="000000"/>
                      <w:sz w:val="16"/>
                    </w:rPr>
                    <w:t>行政事业单位医疗</w:t>
                  </w:r>
                </w:p>
              </w:tc>
              <w:tc>
                <w:tcPr>
                  <w:tcW w:w="266"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537.68</w:t>
                  </w:r>
                </w:p>
              </w:tc>
              <w:tc>
                <w:tcPr>
                  <w:tcW w:w="551"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537.68</w:t>
                  </w:r>
                </w:p>
              </w:tc>
              <w:tc>
                <w:tcPr>
                  <w:tcW w:w="448" w:type="pct"/>
                  <w:tcBorders>
                    <w:top w:val="single" w:sz="12" w:space="0" w:color="auto"/>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477.76</w:t>
                  </w:r>
                </w:p>
              </w:tc>
              <w:tc>
                <w:tcPr>
                  <w:tcW w:w="29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477.76</w:t>
                  </w:r>
                </w:p>
              </w:tc>
              <w:tc>
                <w:tcPr>
                  <w:tcW w:w="29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p>
              </w:tc>
              <w:tc>
                <w:tcPr>
                  <w:tcW w:w="73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477.76</w:t>
                  </w:r>
                </w:p>
              </w:tc>
              <w:tc>
                <w:tcPr>
                  <w:tcW w:w="271"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 xml:space="preserve">-59.92 </w:t>
                  </w:r>
                </w:p>
              </w:tc>
              <w:tc>
                <w:tcPr>
                  <w:tcW w:w="27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-11.14%</w:t>
                  </w:r>
                </w:p>
              </w:tc>
              <w:tc>
                <w:tcPr>
                  <w:tcW w:w="320"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-59.92</w:t>
                  </w:r>
                </w:p>
              </w:tc>
              <w:tc>
                <w:tcPr>
                  <w:tcW w:w="30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-11.14%</w:t>
                  </w:r>
                </w:p>
              </w:tc>
            </w:tr>
            <w:tr>
              <w:trPr>
                <w:trHeight w:val="269"/>
              </w:trPr>
              <w:tc>
                <w:tcPr>
                  <w:tcW w:w="293" w:type="pct"/>
                  <w:tcBorders>
                    <w:top w:val="single" w:sz="12" w:space="0" w:color="auto"/>
                    <w:left w:val="single" w:sz="12" w:space="0" w:color="auto"/>
                    <w:bottom w:val="single" w:sz="12" w:space="0" w:color="auto"/>
                    <w:right w:val="single" w:sz="12" w:space="0" w:color="auto"/>
                    <w:tl2br w:val="nil"/>
                    <w:tr2bl w:val="nil"/>
                  </w:tcBorders>
                  <w:noWrap/>
                  <w:vAlign w:val="bottom"/>
                </w:tcPr>
                <w:p>
                  <w:pPr>
                    <w:rPr>
                      <w:rFonts w:ascii="Times New Roman" w:eastAsia="宋体" w:hAnsi="Times New Roman"/>
                      <w:b w:val="0"/>
                      <w:i w:val="0"/>
                      <w:color w:val="000000"/>
                      <w:sz w:val="16"/>
                    </w:rPr>
                  </w:pPr>
                  <w:r>
                    <w:rPr>
                      <w:rFonts w:ascii="Times New Roman" w:eastAsia="宋体" w:hAnsi="Times New Roman"/>
                      <w:b w:val="0"/>
                      <w:i w:val="0"/>
                      <w:color w:val="000000"/>
                      <w:sz w:val="16"/>
                    </w:rPr>
                    <w:t>2101101</w:t>
                  </w:r>
                </w:p>
              </w:tc>
              <w:tc>
                <w:tcPr>
                  <w:tcW w:w="953" w:type="pct"/>
                  <w:tcBorders>
                    <w:top w:val="single" w:sz="12" w:space="0" w:color="auto"/>
                    <w:left w:val="single" w:sz="12" w:space="0" w:color="auto"/>
                    <w:bottom w:val="single" w:sz="12" w:space="0" w:color="auto"/>
                    <w:right w:val="nil"/>
                    <w:tl2br w:val="nil"/>
                    <w:tr2bl w:val="nil"/>
                  </w:tcBorders>
                  <w:noWrap/>
                  <w:vAlign w:val="bottom"/>
                </w:tcPr>
                <w:p>
                  <w:pPr>
                    <w:rPr>
                      <w:rFonts w:ascii="宋体" w:eastAsia="宋体"/>
                      <w:b w:val="0"/>
                      <w:i w:val="0"/>
                      <w:color w:val="000000"/>
                      <w:sz w:val="16"/>
                    </w:rPr>
                  </w:pPr>
                  <w:r>
                    <w:rPr>
                      <w:rFonts w:ascii="宋体" w:eastAsia="宋体"/>
                      <w:b w:val="0"/>
                      <w:i w:val="0"/>
                      <w:color w:val="000000"/>
                      <w:sz w:val="16"/>
                    </w:rPr>
                    <w:t>行政单位医疗</w:t>
                  </w:r>
                </w:p>
              </w:tc>
              <w:tc>
                <w:tcPr>
                  <w:tcW w:w="266"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369.37</w:t>
                  </w:r>
                </w:p>
              </w:tc>
              <w:tc>
                <w:tcPr>
                  <w:tcW w:w="551"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369.37</w:t>
                  </w:r>
                </w:p>
              </w:tc>
              <w:tc>
                <w:tcPr>
                  <w:tcW w:w="448" w:type="pct"/>
                  <w:tcBorders>
                    <w:top w:val="single" w:sz="12" w:space="0" w:color="auto"/>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260.54</w:t>
                  </w:r>
                </w:p>
              </w:tc>
              <w:tc>
                <w:tcPr>
                  <w:tcW w:w="29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260.54</w:t>
                  </w:r>
                </w:p>
              </w:tc>
              <w:tc>
                <w:tcPr>
                  <w:tcW w:w="29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p>
              </w:tc>
              <w:tc>
                <w:tcPr>
                  <w:tcW w:w="73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260.54</w:t>
                  </w:r>
                </w:p>
              </w:tc>
              <w:tc>
                <w:tcPr>
                  <w:tcW w:w="271"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 xml:space="preserve">-108.83 </w:t>
                  </w:r>
                </w:p>
              </w:tc>
              <w:tc>
                <w:tcPr>
                  <w:tcW w:w="27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-29.46%</w:t>
                  </w:r>
                </w:p>
              </w:tc>
              <w:tc>
                <w:tcPr>
                  <w:tcW w:w="320"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-108.83</w:t>
                  </w:r>
                </w:p>
              </w:tc>
              <w:tc>
                <w:tcPr>
                  <w:tcW w:w="30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-29.46%</w:t>
                  </w:r>
                </w:p>
              </w:tc>
            </w:tr>
            <w:tr>
              <w:trPr>
                <w:trHeight w:val="269"/>
              </w:trPr>
              <w:tc>
                <w:tcPr>
                  <w:tcW w:w="293" w:type="pct"/>
                  <w:tcBorders>
                    <w:top w:val="single" w:sz="12" w:space="0" w:color="auto"/>
                    <w:left w:val="single" w:sz="12" w:space="0" w:color="auto"/>
                    <w:bottom w:val="single" w:sz="12" w:space="0" w:color="auto"/>
                    <w:right w:val="single" w:sz="12" w:space="0" w:color="auto"/>
                    <w:tl2br w:val="nil"/>
                    <w:tr2bl w:val="nil"/>
                  </w:tcBorders>
                  <w:noWrap/>
                  <w:vAlign w:val="bottom"/>
                </w:tcPr>
                <w:p>
                  <w:pPr>
                    <w:rPr>
                      <w:rFonts w:ascii="Times New Roman" w:eastAsia="宋体" w:hAnsi="Times New Roman"/>
                      <w:b w:val="0"/>
                      <w:i w:val="0"/>
                      <w:color w:val="000000"/>
                      <w:sz w:val="16"/>
                    </w:rPr>
                  </w:pPr>
                  <w:r>
                    <w:rPr>
                      <w:rFonts w:ascii="Times New Roman" w:eastAsia="宋体" w:hAnsi="Times New Roman"/>
                      <w:b w:val="0"/>
                      <w:i w:val="0"/>
                      <w:color w:val="000000"/>
                      <w:sz w:val="16"/>
                    </w:rPr>
                    <w:t>2101103</w:t>
                  </w:r>
                </w:p>
              </w:tc>
              <w:tc>
                <w:tcPr>
                  <w:tcW w:w="953" w:type="pct"/>
                  <w:tcBorders>
                    <w:top w:val="single" w:sz="12" w:space="0" w:color="auto"/>
                    <w:left w:val="single" w:sz="12" w:space="0" w:color="auto"/>
                    <w:bottom w:val="single" w:sz="12" w:space="0" w:color="auto"/>
                    <w:right w:val="nil"/>
                    <w:tl2br w:val="nil"/>
                    <w:tr2bl w:val="nil"/>
                  </w:tcBorders>
                  <w:noWrap/>
                  <w:vAlign w:val="bottom"/>
                </w:tcPr>
                <w:p>
                  <w:pPr>
                    <w:rPr>
                      <w:rFonts w:ascii="宋体" w:eastAsia="宋体"/>
                      <w:b w:val="0"/>
                      <w:i w:val="0"/>
                      <w:color w:val="000000"/>
                      <w:sz w:val="16"/>
                    </w:rPr>
                  </w:pPr>
                  <w:r>
                    <w:rPr>
                      <w:rFonts w:ascii="宋体" w:eastAsia="宋体"/>
                      <w:b w:val="0"/>
                      <w:i w:val="0"/>
                      <w:color w:val="000000"/>
                      <w:sz w:val="16"/>
                    </w:rPr>
                    <w:t>公务员医疗补助</w:t>
                  </w:r>
                </w:p>
              </w:tc>
              <w:tc>
                <w:tcPr>
                  <w:tcW w:w="266"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168.31</w:t>
                  </w:r>
                </w:p>
              </w:tc>
              <w:tc>
                <w:tcPr>
                  <w:tcW w:w="551"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168.31</w:t>
                  </w:r>
                </w:p>
              </w:tc>
              <w:tc>
                <w:tcPr>
                  <w:tcW w:w="448" w:type="pct"/>
                  <w:tcBorders>
                    <w:top w:val="single" w:sz="12" w:space="0" w:color="auto"/>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211.42</w:t>
                  </w:r>
                </w:p>
              </w:tc>
              <w:tc>
                <w:tcPr>
                  <w:tcW w:w="29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211.42</w:t>
                  </w:r>
                </w:p>
              </w:tc>
              <w:tc>
                <w:tcPr>
                  <w:tcW w:w="29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p>
              </w:tc>
              <w:tc>
                <w:tcPr>
                  <w:tcW w:w="73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211.42</w:t>
                  </w:r>
                </w:p>
              </w:tc>
              <w:tc>
                <w:tcPr>
                  <w:tcW w:w="271"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 xml:space="preserve">43.11 </w:t>
                  </w:r>
                </w:p>
              </w:tc>
              <w:tc>
                <w:tcPr>
                  <w:tcW w:w="27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25.61%</w:t>
                  </w:r>
                </w:p>
              </w:tc>
              <w:tc>
                <w:tcPr>
                  <w:tcW w:w="320"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43.11</w:t>
                  </w:r>
                </w:p>
              </w:tc>
              <w:tc>
                <w:tcPr>
                  <w:tcW w:w="30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25.61%</w:t>
                  </w:r>
                </w:p>
              </w:tc>
            </w:tr>
            <w:tr>
              <w:trPr>
                <w:trHeight w:val="269"/>
              </w:trPr>
              <w:tc>
                <w:tcPr>
                  <w:tcW w:w="293" w:type="pct"/>
                  <w:tcBorders>
                    <w:top w:val="single" w:sz="12" w:space="0" w:color="auto"/>
                    <w:left w:val="single" w:sz="12" w:space="0" w:color="auto"/>
                    <w:bottom w:val="single" w:sz="12" w:space="0" w:color="auto"/>
                    <w:right w:val="single" w:sz="12" w:space="0" w:color="auto"/>
                    <w:tl2br w:val="nil"/>
                    <w:tr2bl w:val="nil"/>
                  </w:tcBorders>
                  <w:noWrap/>
                  <w:vAlign w:val="bottom"/>
                </w:tcPr>
                <w:p>
                  <w:pPr>
                    <w:rPr>
                      <w:rFonts w:ascii="Times New Roman" w:eastAsia="宋体" w:hAnsi="Times New Roman"/>
                      <w:b w:val="0"/>
                      <w:i w:val="0"/>
                      <w:color w:val="000000"/>
                      <w:sz w:val="16"/>
                    </w:rPr>
                  </w:pPr>
                  <w:r>
                    <w:rPr>
                      <w:rFonts w:ascii="Times New Roman" w:eastAsia="宋体" w:hAnsi="Times New Roman"/>
                      <w:b w:val="0"/>
                      <w:i w:val="0"/>
                      <w:color w:val="000000"/>
                      <w:sz w:val="16"/>
                    </w:rPr>
                    <w:t>2101199</w:t>
                  </w:r>
                </w:p>
              </w:tc>
              <w:tc>
                <w:tcPr>
                  <w:tcW w:w="953" w:type="pct"/>
                  <w:tcBorders>
                    <w:top w:val="single" w:sz="12" w:space="0" w:color="auto"/>
                    <w:left w:val="single" w:sz="12" w:space="0" w:color="auto"/>
                    <w:bottom w:val="single" w:sz="12" w:space="0" w:color="auto"/>
                    <w:right w:val="nil"/>
                    <w:tl2br w:val="nil"/>
                    <w:tr2bl w:val="nil"/>
                  </w:tcBorders>
                  <w:noWrap/>
                  <w:vAlign w:val="bottom"/>
                </w:tcPr>
                <w:p>
                  <w:pPr>
                    <w:rPr>
                      <w:rFonts w:ascii="宋体" w:eastAsia="宋体"/>
                      <w:b w:val="0"/>
                      <w:i w:val="0"/>
                      <w:color w:val="000000"/>
                      <w:sz w:val="16"/>
                    </w:rPr>
                  </w:pPr>
                  <w:r>
                    <w:rPr>
                      <w:rFonts w:ascii="宋体" w:eastAsia="宋体"/>
                      <w:b w:val="0"/>
                      <w:i w:val="0"/>
                      <w:color w:val="000000"/>
                      <w:sz w:val="16"/>
                    </w:rPr>
                    <w:t>其他行政事业单位医疗支出</w:t>
                  </w:r>
                </w:p>
              </w:tc>
              <w:tc>
                <w:tcPr>
                  <w:tcW w:w="266"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p>
              </w:tc>
              <w:tc>
                <w:tcPr>
                  <w:tcW w:w="551"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p>
              </w:tc>
              <w:tc>
                <w:tcPr>
                  <w:tcW w:w="448" w:type="pct"/>
                  <w:tcBorders>
                    <w:top w:val="single" w:sz="12" w:space="0" w:color="auto"/>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5.8</w:t>
                  </w:r>
                </w:p>
              </w:tc>
              <w:tc>
                <w:tcPr>
                  <w:tcW w:w="29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5.8</w:t>
                  </w:r>
                </w:p>
              </w:tc>
              <w:tc>
                <w:tcPr>
                  <w:tcW w:w="29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p>
              </w:tc>
              <w:tc>
                <w:tcPr>
                  <w:tcW w:w="73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5.8</w:t>
                  </w:r>
                </w:p>
              </w:tc>
              <w:tc>
                <w:tcPr>
                  <w:tcW w:w="271"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 xml:space="preserve">5.80 </w:t>
                  </w:r>
                </w:p>
              </w:tc>
              <w:tc>
                <w:tcPr>
                  <w:tcW w:w="27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p>
              </w:tc>
              <w:tc>
                <w:tcPr>
                  <w:tcW w:w="320"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5.8</w:t>
                  </w:r>
                </w:p>
              </w:tc>
              <w:tc>
                <w:tcPr>
                  <w:tcW w:w="30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宋体" w:eastAsia="宋体"/>
                      <w:b w:val="0"/>
                      <w:i w:val="0"/>
                      <w:color w:val="000000"/>
                      <w:sz w:val="16"/>
                    </w:rPr>
                  </w:pPr>
                </w:p>
              </w:tc>
            </w:tr>
            <w:tr>
              <w:trPr>
                <w:trHeight w:val="269"/>
              </w:trPr>
              <w:tc>
                <w:tcPr>
                  <w:tcW w:w="293" w:type="pct"/>
                  <w:tcBorders>
                    <w:top w:val="single" w:sz="12" w:space="0" w:color="auto"/>
                    <w:left w:val="single" w:sz="12" w:space="0" w:color="auto"/>
                    <w:bottom w:val="single" w:sz="12" w:space="0" w:color="auto"/>
                    <w:right w:val="single" w:sz="12" w:space="0" w:color="auto"/>
                    <w:tl2br w:val="nil"/>
                    <w:tr2bl w:val="nil"/>
                  </w:tcBorders>
                  <w:noWrap/>
                  <w:vAlign w:val="bottom"/>
                </w:tcPr>
                <w:p>
                  <w:pPr>
                    <w:rPr>
                      <w:rFonts w:ascii="Times New Roman" w:eastAsia="宋体" w:hAnsi="Times New Roman"/>
                      <w:b/>
                      <w:i w:val="0"/>
                      <w:color w:val="000000"/>
                      <w:sz w:val="16"/>
                    </w:rPr>
                  </w:pPr>
                  <w:r>
                    <w:rPr>
                      <w:rFonts w:ascii="Times New Roman" w:eastAsia="宋体" w:hAnsi="Times New Roman"/>
                      <w:b/>
                      <w:i w:val="0"/>
                      <w:color w:val="000000"/>
                      <w:sz w:val="16"/>
                    </w:rPr>
                    <w:t>221</w:t>
                  </w:r>
                </w:p>
              </w:tc>
              <w:tc>
                <w:tcPr>
                  <w:tcW w:w="953" w:type="pct"/>
                  <w:tcBorders>
                    <w:top w:val="single" w:sz="12" w:space="0" w:color="auto"/>
                    <w:left w:val="single" w:sz="12" w:space="0" w:color="auto"/>
                    <w:bottom w:val="single" w:sz="12" w:space="0" w:color="auto"/>
                    <w:right w:val="nil"/>
                    <w:tl2br w:val="nil"/>
                    <w:tr2bl w:val="nil"/>
                  </w:tcBorders>
                  <w:noWrap/>
                  <w:vAlign w:val="bottom"/>
                </w:tcPr>
                <w:p>
                  <w:pPr>
                    <w:rPr>
                      <w:rFonts w:ascii="宋体" w:eastAsia="宋体"/>
                      <w:b/>
                      <w:i w:val="0"/>
                      <w:strike w:val="0"/>
                      <w:dstrike w:val="0"/>
                      <w:color w:val="000000"/>
                      <w:sz w:val="16"/>
                    </w:rPr>
                  </w:pPr>
                  <w:r>
                    <w:rPr>
                      <w:rFonts w:ascii="Times New Roman" w:hAnsi="Times New Roman"/>
                      <w:b/>
                      <w:i w:val="0"/>
                      <w:strike w:val="0"/>
                      <w:dstrike w:val="0"/>
                      <w:color w:val="000000"/>
                      <w:sz w:val="16"/>
                    </w:rPr>
                    <w:t xml:space="preserve">  </w:t>
                  </w:r>
                  <w:r>
                    <w:rPr>
                      <w:rFonts w:ascii="宋体" w:eastAsia="宋体"/>
                      <w:b/>
                      <w:i w:val="0"/>
                      <w:strike w:val="0"/>
                      <w:dstrike w:val="0"/>
                      <w:color w:val="000000"/>
                      <w:sz w:val="16"/>
                    </w:rPr>
                    <w:t>住房保障支出</w:t>
                  </w:r>
                </w:p>
              </w:tc>
              <w:tc>
                <w:tcPr>
                  <w:tcW w:w="266"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754.48</w:t>
                  </w:r>
                </w:p>
              </w:tc>
              <w:tc>
                <w:tcPr>
                  <w:tcW w:w="551"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754.48</w:t>
                  </w:r>
                </w:p>
              </w:tc>
              <w:tc>
                <w:tcPr>
                  <w:tcW w:w="448" w:type="pct"/>
                  <w:tcBorders>
                    <w:top w:val="single" w:sz="12" w:space="0" w:color="auto"/>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848.28</w:t>
                  </w:r>
                </w:p>
              </w:tc>
              <w:tc>
                <w:tcPr>
                  <w:tcW w:w="29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848.28</w:t>
                  </w:r>
                </w:p>
              </w:tc>
              <w:tc>
                <w:tcPr>
                  <w:tcW w:w="29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p>
              </w:tc>
              <w:tc>
                <w:tcPr>
                  <w:tcW w:w="73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848.28</w:t>
                  </w:r>
                </w:p>
              </w:tc>
              <w:tc>
                <w:tcPr>
                  <w:tcW w:w="271"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 xml:space="preserve">93.80 </w:t>
                  </w:r>
                </w:p>
              </w:tc>
              <w:tc>
                <w:tcPr>
                  <w:tcW w:w="27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12.43%</w:t>
                  </w:r>
                </w:p>
              </w:tc>
              <w:tc>
                <w:tcPr>
                  <w:tcW w:w="320"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93.8</w:t>
                  </w:r>
                </w:p>
              </w:tc>
              <w:tc>
                <w:tcPr>
                  <w:tcW w:w="30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12.43%</w:t>
                  </w:r>
                </w:p>
              </w:tc>
            </w:tr>
            <w:tr>
              <w:trPr>
                <w:trHeight w:val="269"/>
              </w:trPr>
              <w:tc>
                <w:tcPr>
                  <w:tcW w:w="293" w:type="pct"/>
                  <w:tcBorders>
                    <w:top w:val="single" w:sz="12" w:space="0" w:color="auto"/>
                    <w:left w:val="single" w:sz="12" w:space="0" w:color="auto"/>
                    <w:bottom w:val="single" w:sz="12" w:space="0" w:color="auto"/>
                    <w:right w:val="single" w:sz="12" w:space="0" w:color="auto"/>
                    <w:tl2br w:val="nil"/>
                    <w:tr2bl w:val="nil"/>
                  </w:tcBorders>
                  <w:noWrap/>
                  <w:vAlign w:val="bottom"/>
                </w:tcPr>
                <w:p>
                  <w:pPr>
                    <w:rPr>
                      <w:rFonts w:ascii="Times New Roman" w:eastAsia="宋体" w:hAnsi="Times New Roman"/>
                      <w:b/>
                      <w:i w:val="0"/>
                      <w:color w:val="000000"/>
                      <w:sz w:val="16"/>
                    </w:rPr>
                  </w:pPr>
                  <w:r>
                    <w:rPr>
                      <w:rFonts w:ascii="Times New Roman" w:eastAsia="宋体" w:hAnsi="Times New Roman"/>
                      <w:b/>
                      <w:i w:val="0"/>
                      <w:color w:val="000000"/>
                      <w:sz w:val="16"/>
                    </w:rPr>
                    <w:t>22102</w:t>
                  </w:r>
                </w:p>
              </w:tc>
              <w:tc>
                <w:tcPr>
                  <w:tcW w:w="953" w:type="pct"/>
                  <w:tcBorders>
                    <w:top w:val="single" w:sz="12" w:space="0" w:color="auto"/>
                    <w:left w:val="single" w:sz="12" w:space="0" w:color="auto"/>
                    <w:bottom w:val="single" w:sz="12" w:space="0" w:color="auto"/>
                    <w:right w:val="nil"/>
                    <w:tl2br w:val="nil"/>
                    <w:tr2bl w:val="nil"/>
                  </w:tcBorders>
                  <w:noWrap/>
                  <w:vAlign w:val="bottom"/>
                </w:tcPr>
                <w:p>
                  <w:pPr>
                    <w:rPr>
                      <w:rFonts w:ascii="宋体" w:eastAsia="宋体"/>
                      <w:b/>
                      <w:i w:val="0"/>
                      <w:strike w:val="0"/>
                      <w:dstrike w:val="0"/>
                      <w:color w:val="000000"/>
                      <w:sz w:val="16"/>
                    </w:rPr>
                  </w:pPr>
                  <w:r>
                    <w:rPr>
                      <w:rFonts w:ascii="Times New Roman" w:hAnsi="Times New Roman"/>
                      <w:b/>
                      <w:i w:val="0"/>
                      <w:strike w:val="0"/>
                      <w:dstrike w:val="0"/>
                      <w:color w:val="000000"/>
                      <w:sz w:val="16"/>
                    </w:rPr>
                    <w:t xml:space="preserve">    </w:t>
                  </w:r>
                  <w:r>
                    <w:rPr>
                      <w:rFonts w:ascii="宋体" w:eastAsia="宋体"/>
                      <w:b/>
                      <w:i w:val="0"/>
                      <w:strike w:val="0"/>
                      <w:dstrike w:val="0"/>
                      <w:color w:val="000000"/>
                      <w:sz w:val="16"/>
                    </w:rPr>
                    <w:t>住房改革支出</w:t>
                  </w:r>
                </w:p>
              </w:tc>
              <w:tc>
                <w:tcPr>
                  <w:tcW w:w="266"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754.48</w:t>
                  </w:r>
                </w:p>
              </w:tc>
              <w:tc>
                <w:tcPr>
                  <w:tcW w:w="551"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754.48</w:t>
                  </w:r>
                </w:p>
              </w:tc>
              <w:tc>
                <w:tcPr>
                  <w:tcW w:w="448" w:type="pct"/>
                  <w:tcBorders>
                    <w:top w:val="single" w:sz="12" w:space="0" w:color="auto"/>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848.28</w:t>
                  </w:r>
                </w:p>
              </w:tc>
              <w:tc>
                <w:tcPr>
                  <w:tcW w:w="29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848.28</w:t>
                  </w:r>
                </w:p>
              </w:tc>
              <w:tc>
                <w:tcPr>
                  <w:tcW w:w="29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p>
              </w:tc>
              <w:tc>
                <w:tcPr>
                  <w:tcW w:w="73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848.28</w:t>
                  </w:r>
                </w:p>
              </w:tc>
              <w:tc>
                <w:tcPr>
                  <w:tcW w:w="271"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 xml:space="preserve">93.80 </w:t>
                  </w:r>
                </w:p>
              </w:tc>
              <w:tc>
                <w:tcPr>
                  <w:tcW w:w="27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12.43%</w:t>
                  </w:r>
                </w:p>
              </w:tc>
              <w:tc>
                <w:tcPr>
                  <w:tcW w:w="320"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93.8</w:t>
                  </w:r>
                </w:p>
              </w:tc>
              <w:tc>
                <w:tcPr>
                  <w:tcW w:w="30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12.43%</w:t>
                  </w:r>
                </w:p>
              </w:tc>
            </w:tr>
            <w:tr>
              <w:trPr>
                <w:trHeight w:val="269"/>
              </w:trPr>
              <w:tc>
                <w:tcPr>
                  <w:tcW w:w="293" w:type="pct"/>
                  <w:tcBorders>
                    <w:top w:val="single" w:sz="12" w:space="0" w:color="auto"/>
                    <w:left w:val="single" w:sz="12" w:space="0" w:color="auto"/>
                    <w:bottom w:val="single" w:sz="12" w:space="0" w:color="auto"/>
                    <w:right w:val="single" w:sz="12" w:space="0" w:color="auto"/>
                    <w:tl2br w:val="nil"/>
                    <w:tr2bl w:val="nil"/>
                  </w:tcBorders>
                  <w:noWrap/>
                  <w:vAlign w:val="bottom"/>
                </w:tcPr>
                <w:p>
                  <w:pPr>
                    <w:rPr>
                      <w:rFonts w:ascii="Times New Roman" w:eastAsia="宋体" w:hAnsi="Times New Roman"/>
                      <w:b w:val="0"/>
                      <w:i w:val="0"/>
                      <w:color w:val="000000"/>
                      <w:sz w:val="16"/>
                    </w:rPr>
                  </w:pPr>
                  <w:r>
                    <w:rPr>
                      <w:rFonts w:ascii="Times New Roman" w:eastAsia="宋体" w:hAnsi="Times New Roman"/>
                      <w:b w:val="0"/>
                      <w:i w:val="0"/>
                      <w:color w:val="000000"/>
                      <w:sz w:val="16"/>
                    </w:rPr>
                    <w:t>2210201</w:t>
                  </w:r>
                </w:p>
              </w:tc>
              <w:tc>
                <w:tcPr>
                  <w:tcW w:w="953" w:type="pct"/>
                  <w:tcBorders>
                    <w:top w:val="single" w:sz="12" w:space="0" w:color="auto"/>
                    <w:left w:val="single" w:sz="12" w:space="0" w:color="auto"/>
                    <w:bottom w:val="single" w:sz="12" w:space="0" w:color="auto"/>
                    <w:right w:val="nil"/>
                    <w:tl2br w:val="nil"/>
                    <w:tr2bl w:val="nil"/>
                  </w:tcBorders>
                  <w:noWrap/>
                  <w:vAlign w:val="bottom"/>
                </w:tcPr>
                <w:p>
                  <w:pPr>
                    <w:rPr>
                      <w:rFonts w:ascii="宋体" w:eastAsia="宋体"/>
                      <w:b w:val="0"/>
                      <w:i w:val="0"/>
                      <w:color w:val="000000"/>
                      <w:sz w:val="16"/>
                    </w:rPr>
                  </w:pPr>
                  <w:r>
                    <w:rPr>
                      <w:rFonts w:ascii="宋体" w:eastAsia="宋体"/>
                      <w:b w:val="0"/>
                      <w:i w:val="0"/>
                      <w:color w:val="000000"/>
                      <w:sz w:val="16"/>
                    </w:rPr>
                    <w:t>住房公积金</w:t>
                  </w:r>
                </w:p>
              </w:tc>
              <w:tc>
                <w:tcPr>
                  <w:tcW w:w="266"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559.98</w:t>
                  </w:r>
                </w:p>
              </w:tc>
              <w:tc>
                <w:tcPr>
                  <w:tcW w:w="551"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559.98</w:t>
                  </w:r>
                </w:p>
              </w:tc>
              <w:tc>
                <w:tcPr>
                  <w:tcW w:w="448" w:type="pct"/>
                  <w:tcBorders>
                    <w:top w:val="single" w:sz="12" w:space="0" w:color="auto"/>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598.78</w:t>
                  </w:r>
                </w:p>
              </w:tc>
              <w:tc>
                <w:tcPr>
                  <w:tcW w:w="29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598.78</w:t>
                  </w:r>
                </w:p>
              </w:tc>
              <w:tc>
                <w:tcPr>
                  <w:tcW w:w="29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p>
              </w:tc>
              <w:tc>
                <w:tcPr>
                  <w:tcW w:w="73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598.78</w:t>
                  </w:r>
                </w:p>
              </w:tc>
              <w:tc>
                <w:tcPr>
                  <w:tcW w:w="271"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 xml:space="preserve">38.80 </w:t>
                  </w:r>
                </w:p>
              </w:tc>
              <w:tc>
                <w:tcPr>
                  <w:tcW w:w="27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6.93%</w:t>
                  </w:r>
                </w:p>
              </w:tc>
              <w:tc>
                <w:tcPr>
                  <w:tcW w:w="320"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38.8</w:t>
                  </w:r>
                </w:p>
              </w:tc>
              <w:tc>
                <w:tcPr>
                  <w:tcW w:w="30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6.93%</w:t>
                  </w:r>
                </w:p>
              </w:tc>
            </w:tr>
            <w:tr>
              <w:trPr>
                <w:trHeight w:val="137"/>
              </w:trPr>
              <w:tc>
                <w:tcPr>
                  <w:tcW w:w="293" w:type="pct"/>
                  <w:tcBorders>
                    <w:top w:val="single" w:sz="12" w:space="0" w:color="auto"/>
                    <w:left w:val="single" w:sz="12" w:space="0" w:color="auto"/>
                    <w:bottom w:val="single" w:sz="12" w:space="0" w:color="auto"/>
                    <w:right w:val="single" w:sz="12" w:space="0" w:color="auto"/>
                    <w:tl2br w:val="nil"/>
                    <w:tr2bl w:val="nil"/>
                  </w:tcBorders>
                  <w:noWrap/>
                  <w:vAlign w:val="bottom"/>
                </w:tcPr>
                <w:p>
                  <w:pPr>
                    <w:rPr>
                      <w:rFonts w:ascii="Times New Roman" w:eastAsia="宋体" w:hAnsi="Times New Roman"/>
                      <w:b w:val="0"/>
                      <w:i w:val="0"/>
                      <w:color w:val="000000"/>
                      <w:sz w:val="16"/>
                    </w:rPr>
                  </w:pPr>
                  <w:r>
                    <w:rPr>
                      <w:rFonts w:ascii="Times New Roman" w:eastAsia="宋体" w:hAnsi="Times New Roman"/>
                      <w:b w:val="0"/>
                      <w:i w:val="0"/>
                      <w:color w:val="000000"/>
                      <w:sz w:val="16"/>
                    </w:rPr>
                    <w:t>2210203</w:t>
                  </w:r>
                </w:p>
              </w:tc>
              <w:tc>
                <w:tcPr>
                  <w:tcW w:w="953" w:type="pct"/>
                  <w:tcBorders>
                    <w:top w:val="single" w:sz="12" w:space="0" w:color="auto"/>
                    <w:left w:val="single" w:sz="12" w:space="0" w:color="auto"/>
                    <w:bottom w:val="single" w:sz="12" w:space="0" w:color="auto"/>
                    <w:right w:val="nil"/>
                    <w:tl2br w:val="nil"/>
                    <w:tr2bl w:val="nil"/>
                  </w:tcBorders>
                  <w:noWrap/>
                  <w:vAlign w:val="bottom"/>
                </w:tcPr>
                <w:p>
                  <w:pPr>
                    <w:rPr>
                      <w:rFonts w:ascii="宋体" w:eastAsia="宋体"/>
                      <w:b w:val="0"/>
                      <w:i w:val="0"/>
                      <w:color w:val="000000"/>
                      <w:sz w:val="16"/>
                    </w:rPr>
                  </w:pPr>
                  <w:r>
                    <w:rPr>
                      <w:rFonts w:ascii="宋体" w:eastAsia="宋体"/>
                      <w:b w:val="0"/>
                      <w:i w:val="0"/>
                      <w:color w:val="000000"/>
                      <w:sz w:val="16"/>
                    </w:rPr>
                    <w:t>购房补贴</w:t>
                  </w:r>
                </w:p>
              </w:tc>
              <w:tc>
                <w:tcPr>
                  <w:tcW w:w="266"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194.5</w:t>
                  </w:r>
                </w:p>
              </w:tc>
              <w:tc>
                <w:tcPr>
                  <w:tcW w:w="551"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194.5</w:t>
                  </w:r>
                </w:p>
              </w:tc>
              <w:tc>
                <w:tcPr>
                  <w:tcW w:w="448" w:type="pct"/>
                  <w:tcBorders>
                    <w:top w:val="single" w:sz="12" w:space="0" w:color="auto"/>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249.5</w:t>
                  </w:r>
                </w:p>
              </w:tc>
              <w:tc>
                <w:tcPr>
                  <w:tcW w:w="29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249.5</w:t>
                  </w:r>
                </w:p>
              </w:tc>
              <w:tc>
                <w:tcPr>
                  <w:tcW w:w="29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p>
              </w:tc>
              <w:tc>
                <w:tcPr>
                  <w:tcW w:w="73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249.5</w:t>
                  </w:r>
                </w:p>
              </w:tc>
              <w:tc>
                <w:tcPr>
                  <w:tcW w:w="271"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 xml:space="preserve">55.00 </w:t>
                  </w:r>
                </w:p>
              </w:tc>
              <w:tc>
                <w:tcPr>
                  <w:tcW w:w="27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28.28%</w:t>
                  </w:r>
                </w:p>
              </w:tc>
              <w:tc>
                <w:tcPr>
                  <w:tcW w:w="320"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55</w:t>
                  </w:r>
                </w:p>
              </w:tc>
              <w:tc>
                <w:tcPr>
                  <w:tcW w:w="30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28.28%</w:t>
                  </w:r>
                </w:p>
              </w:tc>
            </w:tr>
            <w:tr>
              <w:trPr>
                <w:trHeight w:val="173"/>
              </w:trPr>
              <w:tc>
                <w:tcPr>
                  <w:tcW w:w="1247" w:type="pct"/>
                  <w:gridSpan w:val="2"/>
                  <w:tcBorders>
                    <w:top w:val="single" w:sz="12" w:space="0" w:color="auto"/>
                    <w:left w:val="single" w:sz="12" w:space="0" w:color="auto"/>
                    <w:bottom w:val="single" w:sz="12" w:space="0" w:color="auto"/>
                    <w:right w:val="nil"/>
                    <w:tl2br w:val="nil"/>
                    <w:tr2bl w:val="nil"/>
                  </w:tcBorders>
                  <w:noWrap/>
                  <w:vAlign w:val="bottom"/>
                </w:tcPr>
                <w:p>
                  <w:pPr>
                    <w:jc w:val="center"/>
                    <w:rPr>
                      <w:rFonts w:ascii="宋体" w:eastAsia="宋体"/>
                      <w:b/>
                      <w:i w:val="0"/>
                      <w:strike w:val="0"/>
                      <w:dstrike w:val="0"/>
                      <w:color w:val="000000"/>
                      <w:sz w:val="16"/>
                    </w:rPr>
                  </w:pPr>
                  <w:r>
                    <w:rPr>
                      <w:rFonts w:ascii="宋体" w:eastAsia="宋体"/>
                      <w:b/>
                      <w:i w:val="0"/>
                      <w:strike w:val="0"/>
                      <w:dstrike w:val="0"/>
                      <w:color w:val="000000"/>
                      <w:sz w:val="16"/>
                    </w:rPr>
                    <w:t>合</w:t>
                  </w:r>
                  <w:r>
                    <w:rPr>
                      <w:rFonts w:ascii="Times New Roman" w:hAnsi="Times New Roman"/>
                      <w:b/>
                      <w:i w:val="0"/>
                      <w:strike w:val="0"/>
                      <w:dstrike w:val="0"/>
                      <w:color w:val="000000"/>
                      <w:sz w:val="16"/>
                    </w:rPr>
                    <w:t xml:space="preserve">      </w:t>
                  </w:r>
                  <w:r>
                    <w:rPr>
                      <w:rFonts w:ascii="宋体" w:eastAsia="宋体"/>
                      <w:b/>
                      <w:i w:val="0"/>
                      <w:strike w:val="0"/>
                      <w:dstrike w:val="0"/>
                      <w:color w:val="000000"/>
                      <w:sz w:val="16"/>
                    </w:rPr>
                    <w:t>计</w:t>
                  </w:r>
                </w:p>
              </w:tc>
              <w:tc>
                <w:tcPr>
                  <w:tcW w:w="266"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center"/>
                    <w:rPr>
                      <w:rFonts w:ascii="Times New Roman" w:eastAsia="宋体" w:hAnsi="Times New Roman"/>
                      <w:b w:val="0"/>
                      <w:i w:val="0"/>
                      <w:color w:val="000000"/>
                      <w:sz w:val="16"/>
                    </w:rPr>
                  </w:pPr>
                  <w:r>
                    <w:rPr>
                      <w:rFonts w:ascii="Times New Roman" w:eastAsia="宋体" w:hAnsi="Times New Roman"/>
                      <w:b w:val="0"/>
                      <w:i w:val="0"/>
                      <w:color w:val="000000"/>
                      <w:sz w:val="16"/>
                    </w:rPr>
                    <w:t>8,833.92</w:t>
                  </w:r>
                </w:p>
              </w:tc>
              <w:tc>
                <w:tcPr>
                  <w:tcW w:w="551"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center"/>
                    <w:rPr>
                      <w:rFonts w:ascii="Times New Roman" w:eastAsia="宋体" w:hAnsi="Times New Roman"/>
                      <w:b w:val="0"/>
                      <w:i w:val="0"/>
                      <w:color w:val="000000"/>
                      <w:sz w:val="16"/>
                    </w:rPr>
                  </w:pPr>
                  <w:r>
                    <w:rPr>
                      <w:rFonts w:ascii="Times New Roman" w:eastAsia="宋体" w:hAnsi="Times New Roman"/>
                      <w:b w:val="0"/>
                      <w:i w:val="0"/>
                      <w:color w:val="000000"/>
                      <w:sz w:val="16"/>
                    </w:rPr>
                    <w:t>8,833.92</w:t>
                  </w:r>
                </w:p>
              </w:tc>
              <w:tc>
                <w:tcPr>
                  <w:tcW w:w="448" w:type="pct"/>
                  <w:tcBorders>
                    <w:top w:val="single" w:sz="12" w:space="0" w:color="auto"/>
                    <w:left w:val="nil"/>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9,822.07</w:t>
                  </w:r>
                </w:p>
              </w:tc>
              <w:tc>
                <w:tcPr>
                  <w:tcW w:w="29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8,061.75</w:t>
                  </w:r>
                </w:p>
              </w:tc>
              <w:tc>
                <w:tcPr>
                  <w:tcW w:w="29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1,760.32</w:t>
                  </w:r>
                </w:p>
              </w:tc>
              <w:tc>
                <w:tcPr>
                  <w:tcW w:w="73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9,822.07</w:t>
                  </w:r>
                </w:p>
              </w:tc>
              <w:tc>
                <w:tcPr>
                  <w:tcW w:w="271"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 xml:space="preserve">988.15 </w:t>
                  </w:r>
                </w:p>
              </w:tc>
              <w:tc>
                <w:tcPr>
                  <w:tcW w:w="270" w:type="pct"/>
                  <w:tcBorders>
                    <w:top w:val="nil"/>
                    <w:left w:val="nil"/>
                    <w:bottom w:val="single" w:sz="12" w:space="0" w:color="auto"/>
                    <w:right w:val="single" w:sz="12" w:space="0" w:color="auto"/>
                    <w:tl2br w:val="nil"/>
                    <w:tr2bl w:val="nil"/>
                  </w:tcBorders>
                  <w:noWrap/>
                  <w:vAlign w:val="bottom"/>
                </w:tcPr>
                <w:p>
                  <w:pPr>
                    <w:jc w:val="right"/>
                    <w:rPr>
                      <w:rFonts w:ascii="Times New Roman" w:eastAsia="宋体" w:hAnsi="Times New Roman"/>
                      <w:b w:val="0"/>
                      <w:i w:val="0"/>
                      <w:color w:val="000000"/>
                      <w:sz w:val="16"/>
                    </w:rPr>
                  </w:pPr>
                  <w:r>
                    <w:rPr>
                      <w:rFonts w:ascii="Times New Roman" w:eastAsia="宋体" w:hAnsi="Times New Roman"/>
                      <w:b w:val="0"/>
                      <w:i w:val="0"/>
                      <w:color w:val="000000"/>
                      <w:sz w:val="16"/>
                    </w:rPr>
                    <w:t>11.19%</w:t>
                  </w:r>
                </w:p>
              </w:tc>
              <w:tc>
                <w:tcPr>
                  <w:tcW w:w="320"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988.15</w:t>
                  </w:r>
                </w:p>
              </w:tc>
              <w:tc>
                <w:tcPr>
                  <w:tcW w:w="303" w:type="pct"/>
                  <w:tcBorders>
                    <w:top w:val="single" w:sz="12" w:space="0" w:color="auto"/>
                    <w:left w:val="single" w:sz="12" w:space="0" w:color="auto"/>
                    <w:bottom w:val="single" w:sz="12" w:space="0" w:color="auto"/>
                    <w:right w:val="single" w:sz="12" w:space="0" w:color="auto"/>
                    <w:tl2br w:val="nil"/>
                    <w:tr2bl w:val="nil"/>
                  </w:tcBorders>
                  <w:noWrap/>
                  <w:vAlign w:val="bottom"/>
                </w:tcPr>
                <w:p>
                  <w:pPr>
                    <w:jc w:val="right"/>
                    <w:rPr>
                      <w:rFonts w:ascii="Times New Roman" w:eastAsia="宋体" w:hAnsi="Times New Roman"/>
                      <w:b/>
                      <w:i w:val="0"/>
                      <w:color w:val="000000"/>
                      <w:sz w:val="16"/>
                    </w:rPr>
                  </w:pPr>
                  <w:r>
                    <w:rPr>
                      <w:rFonts w:ascii="Times New Roman" w:eastAsia="宋体" w:hAnsi="Times New Roman"/>
                      <w:b/>
                      <w:i w:val="0"/>
                      <w:color w:val="000000"/>
                      <w:sz w:val="16"/>
                    </w:rPr>
                    <w:t>11.19%</w:t>
                  </w:r>
                </w:p>
              </w:tc>
            </w:tr>
          </w:tbl>
          <w:p>
            <w:pPr>
              <w:widowControl/>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p>
          <w:p>
            <w:pPr>
              <w:widowControl/>
              <w:jc w:val="right"/>
              <w:rPr>
                <w:rFonts w:ascii="Times New Roman" w:eastAsia="黑体" w:cs="宋体" w:hAnsi="Times New Roman"/>
                <w:color w:val="000000"/>
                <w:kern w:val="0"/>
                <w:sz w:val="20"/>
                <w:szCs w:val="20"/>
              </w:rPr>
            </w:pPr>
            <w:r>
              <w:rPr>
                <w:rFonts w:ascii="Times New Roman" w:eastAsia="黑体" w:cs="宋体" w:hAnsi="Times New Roman" w:hint="eastAsia"/>
                <w:color w:val="000000"/>
                <w:kern w:val="0"/>
                <w:sz w:val="20"/>
                <w:szCs w:val="20"/>
              </w:rPr>
              <w:t>部门公开表6</w:t>
            </w:r>
          </w:p>
        </w:tc>
      </w:tr>
      <w:tr>
        <w:trPr>
          <w:trHeight w:val="420"/>
        </w:trPr>
        <w:tc>
          <w:tcPr>
            <w:tcW w:w="23027" w:type="dxa"/>
            <w:gridSpan w:val="4"/>
            <w:tcBorders>
              <w:top w:val="nil"/>
              <w:left w:val="nil"/>
              <w:bottom w:val="nil"/>
              <w:right w:val="nil"/>
            </w:tcBorders>
            <w:shd w:val="clear" w:color="auto" w:fill="auto"/>
            <w:noWrap/>
            <w:vAlign w:val="center"/>
          </w:tcPr>
          <w:p>
            <w:pPr>
              <w:widowControl/>
              <w:jc w:val="center"/>
              <w:rPr>
                <w:rFonts w:ascii="Times New Roman" w:cs="宋体" w:hAnsi="Times New Roman"/>
                <w:kern w:val="0"/>
                <w:sz w:val="32"/>
                <w:szCs w:val="32"/>
              </w:rPr>
            </w:pPr>
            <w:r>
              <w:rPr>
                <w:rFonts w:ascii="Times New Roman" w:cs="宋体" w:hAnsi="Times New Roman" w:hint="eastAsia"/>
                <w:kern w:val="0"/>
                <w:sz w:val="32"/>
                <w:szCs w:val="32"/>
              </w:rPr>
              <w:t>一般公共预算基本支出表</w:t>
            </w:r>
          </w:p>
        </w:tc>
      </w:tr>
    </w:tbl>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778"/>
        <w:gridCol w:w="2835"/>
        <w:gridCol w:w="2415"/>
        <w:gridCol w:w="1995"/>
        <w:gridCol w:w="2141"/>
      </w:tblGrid>
      <w:tr>
        <w:trPr>
          <w:trHeight w:val="269"/>
        </w:trPr>
        <w:tc>
          <w:tcPr>
            <w:tcW w:w="10023" w:type="dxa"/>
            <w:gridSpan w:val="4"/>
            <w:tcBorders>
              <w:top w:val="nil"/>
              <w:left w:val="nil"/>
              <w:bottom w:val="nil"/>
              <w:right w:val="nil"/>
              <w:tl2br w:val="nil"/>
              <w:tr2bl w:val="nil"/>
            </w:tcBorders>
            <w:noWrap/>
            <w:vAlign w:val="center"/>
          </w:tcPr>
          <w:p>
            <w:pPr>
              <w:rPr>
                <w:rFonts w:ascii="宋体" w:eastAsia="宋体"/>
                <w:b w:val="0"/>
                <w:i w:val="0"/>
                <w:sz w:val="16"/>
              </w:rPr>
            </w:pPr>
            <w:r>
              <w:rPr>
                <w:rFonts w:ascii="宋体" w:eastAsia="宋体"/>
                <w:b w:val="0"/>
                <w:i w:val="0"/>
                <w:sz w:val="16"/>
              </w:rPr>
              <w:t>单位：中华人民共和国呼和浩特海关本级</w:t>
            </w:r>
          </w:p>
        </w:tc>
        <w:tc>
          <w:tcPr>
            <w:tcW w:w="2141" w:type="dxa"/>
            <w:tcBorders>
              <w:top w:val="nil"/>
              <w:left w:val="nil"/>
              <w:bottom w:val="nil"/>
              <w:right w:val="nil"/>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单位：万元</w:t>
            </w:r>
          </w:p>
        </w:tc>
      </w:tr>
      <w:tr>
        <w:trPr>
          <w:trHeight w:val="269"/>
        </w:trPr>
        <w:tc>
          <w:tcPr>
            <w:tcW w:w="561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部门预算支出经济分类科目</w:t>
            </w:r>
          </w:p>
        </w:tc>
        <w:tc>
          <w:tcPr>
            <w:tcW w:w="65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本年一般公共预算基本支出</w:t>
            </w: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科目代码</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科目名称</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合计</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人员经费</w:t>
            </w: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公用经费</w:t>
            </w: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i w:val="0"/>
                <w:color w:val="000000"/>
                <w:sz w:val="16"/>
              </w:rPr>
            </w:pPr>
            <w:r>
              <w:rPr>
                <w:rFonts w:ascii="宋体" w:eastAsia="宋体"/>
                <w:b/>
                <w:i w:val="0"/>
                <w:color w:val="000000"/>
                <w:sz w:val="16"/>
              </w:rPr>
              <w:t>301</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i w:val="0"/>
                <w:color w:val="000000"/>
                <w:sz w:val="16"/>
              </w:rPr>
            </w:pPr>
            <w:r>
              <w:rPr>
                <w:rFonts w:ascii="宋体" w:eastAsia="宋体"/>
                <w:b/>
                <w:i w:val="0"/>
                <w:color w:val="000000"/>
                <w:sz w:val="16"/>
              </w:rPr>
              <w:t>工资福利支出</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i w:val="0"/>
                <w:color w:val="000000"/>
                <w:sz w:val="16"/>
              </w:rPr>
            </w:pPr>
            <w:r>
              <w:rPr>
                <w:rFonts w:ascii="宋体" w:eastAsia="宋体"/>
                <w:b/>
                <w:i w:val="0"/>
                <w:color w:val="000000"/>
                <w:sz w:val="16"/>
              </w:rPr>
              <w:t>5,779.74</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i w:val="0"/>
                <w:color w:val="000000"/>
                <w:sz w:val="16"/>
              </w:rPr>
            </w:pPr>
            <w:r>
              <w:rPr>
                <w:rFonts w:ascii="宋体" w:eastAsia="宋体"/>
                <w:b/>
                <w:i w:val="0"/>
                <w:color w:val="000000"/>
                <w:sz w:val="16"/>
              </w:rPr>
              <w:t>5,779.74</w:t>
            </w: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i w:val="0"/>
                <w:color w:val="000000"/>
                <w:sz w:val="16"/>
              </w:rPr>
            </w:pP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30101</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基本工资</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1,544.03</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1,544.03</w:t>
            </w: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30102</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津贴补贴</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2,033.61</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2,033.61</w:t>
            </w: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30103</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奖金</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392.03</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392.03</w:t>
            </w: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30108</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机关事业单位基本养老保险缴费</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434.45</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434.45</w:t>
            </w: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30109</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职业年金缴费</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247.08</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247.08</w:t>
            </w: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30110</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职工基本医疗保险缴费</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260.54</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260.54</w:t>
            </w: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30111</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公务员医疗补助缴费</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211.42</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211.42</w:t>
            </w: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30112</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其他社会保障缴费</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57.80</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57.80</w:t>
            </w: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30113</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住房公积金</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598.78</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598.78</w:t>
            </w: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i w:val="0"/>
                <w:color w:val="000000"/>
                <w:sz w:val="16"/>
              </w:rPr>
            </w:pPr>
            <w:r>
              <w:rPr>
                <w:rFonts w:ascii="宋体" w:eastAsia="宋体"/>
                <w:b/>
                <w:i w:val="0"/>
                <w:color w:val="000000"/>
                <w:sz w:val="16"/>
              </w:rPr>
              <w:t>302</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i w:val="0"/>
                <w:color w:val="000000"/>
                <w:sz w:val="16"/>
              </w:rPr>
            </w:pPr>
            <w:r>
              <w:rPr>
                <w:rFonts w:ascii="宋体" w:eastAsia="宋体"/>
                <w:b/>
                <w:i w:val="0"/>
                <w:color w:val="000000"/>
                <w:sz w:val="16"/>
              </w:rPr>
              <w:t>商品和服务支出</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i w:val="0"/>
                <w:color w:val="000000"/>
                <w:sz w:val="16"/>
              </w:rPr>
            </w:pPr>
            <w:r>
              <w:rPr>
                <w:rFonts w:ascii="宋体" w:eastAsia="宋体"/>
                <w:b/>
                <w:i w:val="0"/>
                <w:color w:val="000000"/>
                <w:sz w:val="16"/>
              </w:rPr>
              <w:t>1,977.14</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i w:val="0"/>
                <w:color w:val="000000"/>
                <w:sz w:val="16"/>
              </w:rPr>
            </w:pP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i w:val="0"/>
                <w:color w:val="000000"/>
                <w:sz w:val="16"/>
              </w:rPr>
            </w:pPr>
            <w:r>
              <w:rPr>
                <w:rFonts w:ascii="宋体" w:eastAsia="宋体"/>
                <w:b/>
                <w:i w:val="0"/>
                <w:color w:val="000000"/>
                <w:sz w:val="16"/>
              </w:rPr>
              <w:t>1,977.14</w:t>
            </w: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30201</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办公费</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36.59</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36.59</w:t>
            </w: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30202</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印刷费</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9.50</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9.50</w:t>
            </w: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30205</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水费</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7.00</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7.00</w:t>
            </w: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30206</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电费</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92.00</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92.00</w:t>
            </w:r>
          </w:p>
        </w:tc>
      </w:tr>
      <w:tr>
        <w:trPr>
          <w:trHeight w:val="14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30207</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邮电费</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69.24</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69.24</w:t>
            </w:r>
          </w:p>
        </w:tc>
      </w:tr>
      <w:tr>
        <w:trPr>
          <w:trHeight w:val="290"/>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30208</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取暖费</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102.31</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102.31</w:t>
            </w:r>
          </w:p>
        </w:tc>
      </w:tr>
      <w:tr>
        <w:trPr>
          <w:trHeight w:val="260"/>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30209</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物业管理费</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503.32</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503.32</w:t>
            </w: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30211</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差旅费</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80.30</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80.30</w:t>
            </w:r>
          </w:p>
        </w:tc>
      </w:tr>
      <w:tr>
        <w:trPr>
          <w:trHeight w:val="269"/>
        </w:trPr>
        <w:tc>
          <w:tcPr>
            <w:tcW w:w="561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部门预算支出经济分类科目</w:t>
            </w:r>
          </w:p>
        </w:tc>
        <w:tc>
          <w:tcPr>
            <w:tcW w:w="65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本年一般公共预算基本支出</w:t>
            </w: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科目代码</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科目名称</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合计</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人员经费</w:t>
            </w: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公用经费</w:t>
            </w: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30213</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维修（护）费</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30.30</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30.30</w:t>
            </w: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30214</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租赁费</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8.00</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8.00</w:t>
            </w: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30217</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公务接待费</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0.10</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0.10</w:t>
            </w: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30218</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专用材料费</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29.00</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29.00</w:t>
            </w: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30226</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劳务费</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43.00</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43.00</w:t>
            </w: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30227</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委托业务费</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37.60</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37.60</w:t>
            </w: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30228</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工会经费</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128.00</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128.00</w:t>
            </w: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30229</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福利费</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310.00</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310.00</w:t>
            </w: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30239</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其他交通费用</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478.48</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478.48</w:t>
            </w: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30299</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其他商品和服务支出</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12.40</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12.40</w:t>
            </w: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i w:val="0"/>
                <w:color w:val="000000"/>
                <w:sz w:val="16"/>
              </w:rPr>
            </w:pPr>
            <w:r>
              <w:rPr>
                <w:rFonts w:ascii="宋体" w:eastAsia="宋体"/>
                <w:b/>
                <w:i w:val="0"/>
                <w:color w:val="000000"/>
                <w:sz w:val="16"/>
              </w:rPr>
              <w:t>303</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i w:val="0"/>
                <w:color w:val="000000"/>
                <w:sz w:val="16"/>
              </w:rPr>
            </w:pPr>
            <w:r>
              <w:rPr>
                <w:rFonts w:ascii="宋体" w:eastAsia="宋体"/>
                <w:b/>
                <w:i w:val="0"/>
                <w:color w:val="000000"/>
                <w:sz w:val="16"/>
              </w:rPr>
              <w:t>对个人和家庭的补助</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i w:val="0"/>
                <w:color w:val="000000"/>
                <w:sz w:val="16"/>
              </w:rPr>
            </w:pPr>
            <w:r>
              <w:rPr>
                <w:rFonts w:ascii="宋体" w:eastAsia="宋体"/>
                <w:b/>
                <w:i w:val="0"/>
                <w:color w:val="000000"/>
                <w:sz w:val="16"/>
              </w:rPr>
              <w:t>253.87</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i w:val="0"/>
                <w:color w:val="000000"/>
                <w:sz w:val="16"/>
              </w:rPr>
            </w:pPr>
            <w:r>
              <w:rPr>
                <w:rFonts w:ascii="宋体" w:eastAsia="宋体"/>
                <w:b/>
                <w:i w:val="0"/>
                <w:color w:val="000000"/>
                <w:sz w:val="16"/>
              </w:rPr>
              <w:t>253.87</w:t>
            </w: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i w:val="0"/>
                <w:color w:val="000000"/>
                <w:sz w:val="16"/>
              </w:rPr>
            </w:pP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30301</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离休费</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17.43</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17.43</w:t>
            </w: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30302</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退休费</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127.02</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127.02</w:t>
            </w: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30304</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抚恤金</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50.00</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50.00</w:t>
            </w: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30305</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生活补助</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12.00</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12.00</w:t>
            </w: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30307</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医疗费补助</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28.00</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28.00</w:t>
            </w: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30399</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其他对个人和家庭的补助</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19.42</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19.42</w:t>
            </w: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i w:val="0"/>
                <w:color w:val="000000"/>
                <w:sz w:val="16"/>
              </w:rPr>
            </w:pPr>
            <w:r>
              <w:rPr>
                <w:rFonts w:ascii="宋体" w:eastAsia="宋体"/>
                <w:b/>
                <w:i w:val="0"/>
                <w:color w:val="000000"/>
                <w:sz w:val="16"/>
              </w:rPr>
              <w:t>310</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i w:val="0"/>
                <w:color w:val="000000"/>
                <w:sz w:val="16"/>
              </w:rPr>
            </w:pPr>
            <w:r>
              <w:rPr>
                <w:rFonts w:ascii="宋体" w:eastAsia="宋体"/>
                <w:b/>
                <w:i w:val="0"/>
                <w:color w:val="000000"/>
                <w:sz w:val="16"/>
              </w:rPr>
              <w:t>资本性支出</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i w:val="0"/>
                <w:color w:val="000000"/>
                <w:sz w:val="16"/>
              </w:rPr>
            </w:pPr>
            <w:r>
              <w:rPr>
                <w:rFonts w:ascii="宋体" w:eastAsia="宋体"/>
                <w:b/>
                <w:i w:val="0"/>
                <w:color w:val="000000"/>
                <w:sz w:val="16"/>
              </w:rPr>
              <w:t>51.00</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i w:val="0"/>
                <w:color w:val="000000"/>
                <w:sz w:val="16"/>
              </w:rPr>
            </w:pP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i w:val="0"/>
                <w:color w:val="000000"/>
                <w:sz w:val="16"/>
              </w:rPr>
            </w:pPr>
            <w:r>
              <w:rPr>
                <w:rFonts w:ascii="宋体" w:eastAsia="宋体"/>
                <w:b/>
                <w:i w:val="0"/>
                <w:color w:val="000000"/>
                <w:sz w:val="16"/>
              </w:rPr>
              <w:t>51.00</w:t>
            </w: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31002</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办公设备购置</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4.98</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4.98</w:t>
            </w: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31003</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专用设备购置</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36.02</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36.02</w:t>
            </w: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31007</w:t>
            </w: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信息网络及软件购置更新</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10.00</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10.00</w:t>
            </w:r>
          </w:p>
        </w:tc>
      </w:tr>
      <w:tr>
        <w:trPr>
          <w:trHeight w:val="269"/>
        </w:trPr>
        <w:tc>
          <w:tcPr>
            <w:tcW w:w="27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sz w:val="20"/>
              </w:rPr>
            </w:pPr>
          </w:p>
        </w:tc>
        <w:tc>
          <w:tcPr>
            <w:tcW w:w="28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i w:val="0"/>
                <w:strike w:val="0"/>
                <w:dstrike w:val="0"/>
                <w:color w:val="auto"/>
                <w:sz w:val="16"/>
              </w:rPr>
            </w:pPr>
            <w:r>
              <w:rPr>
                <w:rFonts w:ascii="宋体" w:eastAsia="宋体"/>
                <w:b/>
                <w:i w:val="0"/>
                <w:strike w:val="0"/>
                <w:dstrike w:val="0"/>
                <w:color w:val="auto"/>
                <w:sz w:val="16"/>
              </w:rPr>
              <w:t>合        计</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i w:val="0"/>
                <w:sz w:val="16"/>
              </w:rPr>
            </w:pPr>
            <w:r>
              <w:rPr>
                <w:rFonts w:ascii="宋体" w:eastAsia="宋体"/>
                <w:b/>
                <w:i w:val="0"/>
                <w:sz w:val="16"/>
              </w:rPr>
              <w:t>8,061.75</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i w:val="0"/>
                <w:sz w:val="16"/>
              </w:rPr>
            </w:pPr>
            <w:r>
              <w:rPr>
                <w:rFonts w:ascii="宋体" w:eastAsia="宋体"/>
                <w:b/>
                <w:i w:val="0"/>
                <w:sz w:val="16"/>
              </w:rPr>
              <w:t>6,033.61</w:t>
            </w:r>
          </w:p>
        </w:tc>
        <w:tc>
          <w:tcPr>
            <w:tcW w:w="214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i w:val="0"/>
                <w:sz w:val="16"/>
              </w:rPr>
            </w:pPr>
            <w:r>
              <w:rPr>
                <w:rFonts w:ascii="宋体" w:eastAsia="宋体"/>
                <w:b/>
                <w:i w:val="0"/>
                <w:sz w:val="16"/>
              </w:rPr>
              <w:t>2,028.14</w:t>
            </w:r>
          </w:p>
        </w:tc>
      </w:tr>
    </w:tbl>
    <w:tbl>
      <w:tblPr>
        <w:jc w:val="center"/>
        <w:tblW w:w="13892"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977"/>
        <w:gridCol w:w="3402"/>
        <w:gridCol w:w="2552"/>
        <w:gridCol w:w="2551"/>
        <w:gridCol w:w="2410"/>
      </w:tblGrid>
      <w:tr>
        <w:trPr>
          <w:trHeight w:val="315"/>
        </w:trPr>
        <w:tc>
          <w:tcPr>
            <w:tcW w:w="2977" w:type="dxa"/>
            <w:tcBorders>
              <w:top w:val="nil"/>
              <w:left w:val="nil"/>
              <w:bottom w:val="nil"/>
              <w:right w:val="nil"/>
            </w:tcBorders>
            <w:shd w:val="clear" w:color="auto" w:fill="auto"/>
            <w:vAlign w:val="center"/>
          </w:tcPr>
          <w:p>
            <w:pPr>
              <w:widowControl/>
              <w:jc w:val="left"/>
              <w:rPr>
                <w:rFonts w:ascii="Times New Roman" w:cs="宋体" w:hAnsi="Times New Roman"/>
                <w:kern w:val="0"/>
                <w:sz w:val="24"/>
                <w:szCs w:val="24"/>
              </w:rPr>
            </w:pPr>
          </w:p>
          <w:p>
            <w:pPr>
              <w:widowControl/>
              <w:jc w:val="left"/>
              <w:rPr>
                <w:rFonts w:ascii="Times New Roman" w:cs="宋体" w:hAnsi="Times New Roman"/>
                <w:kern w:val="0"/>
                <w:sz w:val="24"/>
                <w:szCs w:val="24"/>
              </w:rPr>
            </w:pPr>
          </w:p>
          <w:p>
            <w:pPr>
              <w:widowControl/>
              <w:jc w:val="left"/>
              <w:rPr>
                <w:rFonts w:ascii="Times New Roman" w:cs="宋体" w:hAnsi="Times New Roman"/>
                <w:kern w:val="0"/>
                <w:sz w:val="24"/>
                <w:szCs w:val="24"/>
              </w:rPr>
            </w:pPr>
          </w:p>
          <w:p>
            <w:pPr>
              <w:widowControl/>
              <w:jc w:val="left"/>
              <w:rPr>
                <w:rFonts w:ascii="Times New Roman" w:cs="宋体" w:hAnsi="Times New Roman"/>
                <w:kern w:val="0"/>
                <w:sz w:val="24"/>
                <w:szCs w:val="24"/>
              </w:rPr>
            </w:pPr>
          </w:p>
          <w:p>
            <w:pPr>
              <w:widowControl/>
              <w:jc w:val="left"/>
              <w:rPr>
                <w:rFonts w:ascii="Times New Roman" w:cs="宋体" w:hAnsi="Times New Roman"/>
                <w:kern w:val="0"/>
                <w:sz w:val="24"/>
                <w:szCs w:val="24"/>
              </w:rPr>
            </w:pPr>
          </w:p>
        </w:tc>
        <w:tc>
          <w:tcPr>
            <w:tcW w:w="3402" w:type="dxa"/>
            <w:tcBorders>
              <w:top w:val="nil"/>
              <w:left w:val="nil"/>
              <w:bottom w:val="nil"/>
              <w:right w:val="nil"/>
            </w:tcBorders>
            <w:shd w:val="clear" w:color="auto" w:fill="auto"/>
            <w:vAlign w:val="center"/>
          </w:tcPr>
          <w:p>
            <w:pPr>
              <w:widowControl/>
              <w:jc w:val="left"/>
              <w:rPr>
                <w:rFonts w:ascii="Times New Roman" w:eastAsia="Times New Roman" w:cs="Times New Roman" w:hAnsi="Times New Roman"/>
                <w:kern w:val="0"/>
                <w:sz w:val="20"/>
                <w:szCs w:val="20"/>
              </w:rPr>
            </w:pPr>
          </w:p>
        </w:tc>
        <w:tc>
          <w:tcPr>
            <w:tcW w:w="2552" w:type="dxa"/>
            <w:tcBorders>
              <w:top w:val="nil"/>
              <w:left w:val="nil"/>
              <w:bottom w:val="nil"/>
              <w:right w:val="nil"/>
            </w:tcBorders>
            <w:shd w:val="clear" w:color="auto" w:fill="auto"/>
            <w:vAlign w:val="center"/>
          </w:tcPr>
          <w:p>
            <w:pPr>
              <w:widowControl/>
              <w:jc w:val="left"/>
              <w:rPr>
                <w:rFonts w:ascii="Times New Roman" w:eastAsia="Times New Roman" w:cs="Times New Roman" w:hAnsi="Times New Roman"/>
                <w:kern w:val="0"/>
                <w:sz w:val="20"/>
                <w:szCs w:val="20"/>
              </w:rPr>
            </w:pPr>
          </w:p>
        </w:tc>
        <w:tc>
          <w:tcPr>
            <w:tcW w:w="2551" w:type="dxa"/>
            <w:tcBorders>
              <w:top w:val="nil"/>
              <w:left w:val="nil"/>
              <w:bottom w:val="nil"/>
              <w:right w:val="nil"/>
            </w:tcBorders>
            <w:shd w:val="clear" w:color="auto" w:fill="auto"/>
            <w:vAlign w:val="center"/>
          </w:tcPr>
          <w:p>
            <w:pPr>
              <w:widowControl/>
              <w:jc w:val="left"/>
              <w:rPr>
                <w:rFonts w:ascii="Times New Roman" w:eastAsia="Times New Roman" w:cs="Times New Roman" w:hAnsi="Times New Roman"/>
                <w:kern w:val="0"/>
                <w:sz w:val="20"/>
                <w:szCs w:val="20"/>
              </w:rPr>
            </w:pPr>
          </w:p>
        </w:tc>
        <w:tc>
          <w:tcPr>
            <w:tcW w:w="2410" w:type="dxa"/>
            <w:tcBorders>
              <w:top w:val="nil"/>
              <w:left w:val="nil"/>
              <w:bottom w:val="nil"/>
              <w:right w:val="nil"/>
            </w:tcBorders>
            <w:shd w:val="clear" w:color="auto" w:fill="auto"/>
            <w:noWrap/>
            <w:vAlign w:val="center"/>
          </w:tcPr>
          <w:p>
            <w:pPr>
              <w:widowControl/>
              <w:jc w:val="right"/>
              <w:rPr>
                <w:rFonts w:ascii="Times New Roman" w:eastAsia="黑体" w:cs="宋体" w:hAnsi="Times New Roman"/>
                <w:kern w:val="0"/>
                <w:sz w:val="20"/>
                <w:szCs w:val="20"/>
              </w:rPr>
            </w:pPr>
          </w:p>
          <w:p>
            <w:pPr>
              <w:widowControl/>
              <w:jc w:val="right"/>
              <w:rPr>
                <w:rFonts w:ascii="Times New Roman" w:eastAsia="黑体" w:cs="宋体" w:hAnsi="Times New Roman"/>
                <w:kern w:val="0"/>
                <w:sz w:val="20"/>
                <w:szCs w:val="20"/>
              </w:rPr>
            </w:pPr>
            <w:r>
              <w:rPr>
                <w:rFonts w:ascii="Times New Roman" w:eastAsia="黑体" w:cs="宋体" w:hAnsi="Times New Roman" w:hint="eastAsia"/>
                <w:kern w:val="0"/>
                <w:sz w:val="20"/>
                <w:szCs w:val="20"/>
              </w:rPr>
              <w:t>部门公开表7</w:t>
            </w:r>
          </w:p>
        </w:tc>
      </w:tr>
      <w:tr>
        <w:trPr>
          <w:trHeight w:val="645"/>
        </w:trPr>
        <w:tc>
          <w:tcPr>
            <w:tcW w:w="13892" w:type="dxa"/>
            <w:gridSpan w:val="5"/>
            <w:tcBorders>
              <w:top w:val="nil"/>
              <w:left w:val="nil"/>
              <w:bottom w:val="nil"/>
              <w:right w:val="nil"/>
            </w:tcBorders>
            <w:shd w:val="clear" w:color="auto" w:fill="auto"/>
            <w:vAlign w:val="center"/>
          </w:tcPr>
          <w:p>
            <w:pPr>
              <w:widowControl/>
              <w:jc w:val="center"/>
              <w:rPr>
                <w:rFonts w:ascii="Times New Roman" w:cs="宋体" w:hAnsi="Times New Roman"/>
                <w:kern w:val="0"/>
                <w:sz w:val="36"/>
                <w:szCs w:val="36"/>
              </w:rPr>
            </w:pPr>
            <w:r>
              <w:rPr>
                <w:rFonts w:ascii="Times New Roman" w:cs="宋体" w:hAnsi="Times New Roman" w:hint="eastAsia"/>
                <w:kern w:val="0"/>
                <w:sz w:val="36"/>
                <w:szCs w:val="36"/>
              </w:rPr>
              <w:t>政府性基金预算支出表</w:t>
            </w:r>
          </w:p>
        </w:tc>
      </w:tr>
      <w:tr>
        <w:trPr>
          <w:trHeight w:val="435"/>
        </w:trPr>
        <w:tc>
          <w:tcPr>
            <w:tcW w:w="6379" w:type="dxa"/>
            <w:gridSpan w:val="2"/>
            <w:tcBorders>
              <w:top w:val="nil"/>
              <w:left w:val="nil"/>
              <w:bottom w:val="nil"/>
              <w:right w:val="nil"/>
            </w:tcBorders>
            <w:shd w:val="clear" w:color="auto" w:fill="auto"/>
            <w:noWrap/>
            <w:vAlign w:val="center"/>
          </w:tcPr>
          <w:p>
            <w:pPr>
              <w:widowControl/>
              <w:jc w:val="left"/>
              <w:rPr>
                <w:rFonts w:ascii="Times New Roman" w:cs="宋体" w:hAnsi="Times New Roman"/>
                <w:kern w:val="0"/>
                <w:sz w:val="36"/>
                <w:szCs w:val="36"/>
              </w:rPr>
            </w:pPr>
            <w:r>
              <w:rPr>
                <w:rFonts w:ascii="Times New Roman" w:cs="宋体" w:hAnsi="Times New Roman" w:hint="eastAsia"/>
                <w:color w:val="000000"/>
                <w:kern w:val="0"/>
                <w:sz w:val="18"/>
                <w:szCs w:val="18"/>
              </w:rPr>
              <w:t>单位名称：中华人民共和国呼和浩特海关本级</w:t>
            </w:r>
          </w:p>
        </w:tc>
        <w:tc>
          <w:tcPr>
            <w:tcW w:w="2552" w:type="dxa"/>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2551" w:type="dxa"/>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2410" w:type="dxa"/>
            <w:tcBorders>
              <w:top w:val="nil"/>
              <w:left w:val="nil"/>
              <w:bottom w:val="single" w:sz="4" w:space="0" w:color="auto"/>
              <w:right w:val="nil"/>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单位：万元</w:t>
            </w:r>
          </w:p>
        </w:tc>
      </w:tr>
      <w:tr>
        <w:trPr>
          <w:trHeight w:hRule="exact" w:val="567"/>
        </w:trPr>
        <w:tc>
          <w:tcPr>
            <w:tcW w:w="297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科目编码</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科目名称</w:t>
            </w:r>
          </w:p>
        </w:tc>
        <w:tc>
          <w:tcPr>
            <w:tcW w:w="7513" w:type="dxa"/>
            <w:gridSpan w:val="3"/>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2023年政府性基金预算支出</w:t>
            </w:r>
          </w:p>
        </w:tc>
      </w:tr>
      <w:tr>
        <w:trPr>
          <w:trHeight w:hRule="exact" w:val="567"/>
        </w:trPr>
        <w:tc>
          <w:tcPr>
            <w:tcW w:w="2977" w:type="dxa"/>
            <w:vMerge/>
            <w:tcBorders>
              <w:top w:val="single" w:sz="4" w:space="0" w:color="auto"/>
              <w:left w:val="single" w:sz="4" w:space="0" w:color="auto"/>
              <w:bottom w:val="single" w:sz="4" w:space="0" w:color="auto"/>
              <w:right w:val="single" w:sz="4" w:space="0" w:color="auto"/>
            </w:tcBorders>
            <w:vAlign w:val="center"/>
          </w:tcPr>
          <w:p/>
        </w:tc>
        <w:tc>
          <w:tcPr>
            <w:tcW w:w="3402" w:type="dxa"/>
            <w:vMerge/>
            <w:tcBorders>
              <w:top w:val="single" w:sz="4" w:space="0" w:color="auto"/>
              <w:left w:val="single" w:sz="4" w:space="0" w:color="auto"/>
              <w:bottom w:val="single" w:sz="4" w:space="0" w:color="auto"/>
              <w:right w:val="single" w:sz="4" w:space="0" w:color="auto"/>
            </w:tcBorders>
            <w:vAlign w:val="center"/>
          </w:tcPr>
          <w:p/>
        </w:tc>
        <w:tc>
          <w:tcPr>
            <w:tcW w:w="2552" w:type="dxa"/>
            <w:tcBorders>
              <w:top w:val="nil"/>
              <w:left w:val="nil"/>
              <w:bottom w:val="nil"/>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合计</w:t>
            </w:r>
          </w:p>
        </w:tc>
        <w:tc>
          <w:tcPr>
            <w:tcW w:w="2551" w:type="dxa"/>
            <w:tcBorders>
              <w:top w:val="nil"/>
              <w:left w:val="nil"/>
              <w:bottom w:val="single" w:sz="4" w:space="0" w:color="auto"/>
              <w:right w:val="nil"/>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基本支出</w:t>
            </w:r>
          </w:p>
        </w:tc>
        <w:tc>
          <w:tcPr>
            <w:tcW w:w="2410" w:type="dxa"/>
            <w:tcBorders>
              <w:top w:val="nil"/>
              <w:left w:val="single" w:sz="4" w:space="0" w:color="auto"/>
              <w:bottom w:val="nil"/>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项目支出</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2552"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410"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　</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　</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r>
      <w:tr>
        <w:trPr>
          <w:trHeight w:hRule="exact" w:val="567"/>
        </w:trPr>
        <w:tc>
          <w:tcPr>
            <w:tcW w:w="6379"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合  计</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r>
    </w:tbl>
    <w:p>
      <w:pPr>
        <w:rPr>
          <w:rFonts w:ascii="Times New Roman" w:eastAsia="方正仿宋_GBK" w:cs="Times New Roman" w:hAnsi="Times New Roman"/>
          <w:sz w:val="24"/>
          <w:szCs w:val="24"/>
        </w:rPr>
      </w:pPr>
      <w:r>
        <w:rPr>
          <w:rFonts w:ascii="Times New Roman" w:eastAsia="方正仿宋_GBK" w:cs="Times New Roman" w:hAnsi="Times New Roman" w:hint="eastAsia"/>
          <w:sz w:val="24"/>
          <w:szCs w:val="24"/>
        </w:rPr>
        <w:t>注</w:t>
      </w:r>
      <w:r>
        <w:rPr>
          <w:rFonts w:ascii="Times New Roman" w:eastAsia="方正仿宋_GBK" w:cs="Times New Roman" w:hAnsi="Times New Roman"/>
          <w:sz w:val="24"/>
          <w:szCs w:val="24"/>
        </w:rPr>
        <w:t>：</w:t>
      </w:r>
      <w:r>
        <w:rPr>
          <w:rFonts w:ascii="Times New Roman" w:eastAsia="方正仿宋_GBK" w:cs="Times New Roman" w:hAnsi="Times New Roman" w:hint="eastAsia"/>
          <w:sz w:val="24"/>
          <w:szCs w:val="24"/>
        </w:rPr>
        <w:t>呼和浩特海关</w:t>
      </w:r>
      <w:r>
        <w:rPr>
          <w:rFonts w:ascii="Times New Roman" w:eastAsia="方正仿宋_GBK" w:cs="Times New Roman" w:hAnsi="Times New Roman"/>
          <w:sz w:val="24"/>
          <w:szCs w:val="24"/>
        </w:rPr>
        <w:t>本级无</w:t>
      </w:r>
      <w:r>
        <w:rPr>
          <w:rFonts w:ascii="Times New Roman" w:eastAsia="方正仿宋_GBK" w:cs="Times New Roman" w:hAnsi="Times New Roman" w:hint="eastAsia"/>
          <w:sz w:val="24"/>
          <w:szCs w:val="24"/>
        </w:rPr>
        <w:t>政府性基金预算拨款收入，也无使用政府性基金安排的支出，故本表无数据。</w:t>
      </w:r>
    </w:p>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pPr>
    </w:p>
    <w:tbl>
      <w:tblPr>
        <w:jc w:val="center"/>
        <w:tblW w:w="1408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119"/>
        <w:gridCol w:w="3402"/>
        <w:gridCol w:w="2551"/>
        <w:gridCol w:w="2410"/>
        <w:gridCol w:w="2598"/>
      </w:tblGrid>
      <w:tr>
        <w:trPr>
          <w:trHeight w:val="285"/>
        </w:trPr>
        <w:tc>
          <w:tcPr>
            <w:tcW w:w="3119" w:type="dxa"/>
            <w:tcBorders>
              <w:top w:val="nil"/>
              <w:left w:val="nil"/>
              <w:bottom w:val="nil"/>
              <w:right w:val="nil"/>
            </w:tcBorders>
            <w:shd w:val="clear" w:color="auto" w:fill="auto"/>
            <w:noWrap/>
            <w:vAlign w:val="center"/>
          </w:tcPr>
          <w:p>
            <w:pPr>
              <w:widowControl/>
              <w:jc w:val="left"/>
              <w:rPr>
                <w:rFonts w:ascii="Times New Roman" w:cs="宋体" w:hAnsi="Times New Roman"/>
                <w:kern w:val="0"/>
                <w:sz w:val="24"/>
                <w:szCs w:val="24"/>
              </w:rPr>
            </w:pPr>
          </w:p>
        </w:tc>
        <w:tc>
          <w:tcPr>
            <w:tcW w:w="3402"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2551"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2410"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2598" w:type="dxa"/>
            <w:tcBorders>
              <w:top w:val="nil"/>
              <w:left w:val="nil"/>
              <w:bottom w:val="nil"/>
              <w:right w:val="nil"/>
            </w:tcBorders>
            <w:shd w:val="clear" w:color="auto" w:fill="auto"/>
            <w:noWrap/>
            <w:vAlign w:val="center"/>
          </w:tcPr>
          <w:p>
            <w:pPr>
              <w:widowControl/>
              <w:jc w:val="right"/>
              <w:rPr>
                <w:rFonts w:ascii="Times New Roman" w:eastAsia="黑体" w:cs="宋体" w:hAnsi="Times New Roman"/>
                <w:kern w:val="0"/>
                <w:sz w:val="20"/>
                <w:szCs w:val="20"/>
              </w:rPr>
            </w:pPr>
            <w:r>
              <w:rPr>
                <w:rFonts w:ascii="Times New Roman" w:eastAsia="黑体" w:cs="宋体" w:hAnsi="Times New Roman" w:hint="eastAsia"/>
                <w:kern w:val="0"/>
                <w:sz w:val="20"/>
                <w:szCs w:val="20"/>
              </w:rPr>
              <w:t>部门公开表8</w:t>
            </w:r>
          </w:p>
        </w:tc>
      </w:tr>
      <w:tr>
        <w:trPr>
          <w:trHeight w:val="450"/>
        </w:trPr>
        <w:tc>
          <w:tcPr>
            <w:tcW w:w="14080" w:type="dxa"/>
            <w:gridSpan w:val="5"/>
            <w:tcBorders>
              <w:top w:val="nil"/>
              <w:left w:val="nil"/>
              <w:bottom w:val="nil"/>
              <w:right w:val="nil"/>
            </w:tcBorders>
            <w:shd w:val="clear" w:color="auto" w:fill="auto"/>
            <w:vAlign w:val="center"/>
          </w:tcPr>
          <w:p>
            <w:pPr>
              <w:widowControl/>
              <w:jc w:val="center"/>
              <w:rPr>
                <w:rFonts w:ascii="Times New Roman" w:cs="宋体" w:hAnsi="Times New Roman"/>
                <w:kern w:val="0"/>
                <w:sz w:val="36"/>
                <w:szCs w:val="36"/>
              </w:rPr>
            </w:pPr>
            <w:r>
              <w:rPr>
                <w:rFonts w:ascii="Times New Roman" w:cs="宋体" w:hAnsi="Times New Roman" w:hint="eastAsia"/>
                <w:kern w:val="0"/>
                <w:sz w:val="36"/>
                <w:szCs w:val="36"/>
              </w:rPr>
              <w:t>国有资本经营预算支出表</w:t>
            </w:r>
          </w:p>
        </w:tc>
      </w:tr>
      <w:tr>
        <w:trPr>
          <w:trHeight w:val="285"/>
        </w:trPr>
        <w:tc>
          <w:tcPr>
            <w:tcW w:w="6521" w:type="dxa"/>
            <w:gridSpan w:val="2"/>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18"/>
                <w:szCs w:val="18"/>
              </w:rPr>
            </w:pPr>
            <w:r>
              <w:rPr>
                <w:rFonts w:ascii="Times New Roman" w:cs="宋体" w:hAnsi="Times New Roman" w:hint="eastAsia"/>
                <w:color w:val="000000"/>
                <w:kern w:val="0"/>
                <w:sz w:val="18"/>
                <w:szCs w:val="18"/>
              </w:rPr>
              <w:t>　单位名称：中华人民共和国呼和浩特海关本级</w:t>
            </w:r>
            <w:r>
              <w:rPr>
                <w:rFonts w:ascii="Times New Roman" w:cs="宋体" w:hAnsi="Times New Roman"/>
                <w:color w:val="000000"/>
                <w:kern w:val="0"/>
                <w:sz w:val="18"/>
                <w:szCs w:val="18"/>
              </w:rPr>
              <w:t>本级</w:t>
            </w:r>
          </w:p>
        </w:tc>
        <w:tc>
          <w:tcPr>
            <w:tcW w:w="2551" w:type="dxa"/>
            <w:tcBorders>
              <w:top w:val="nil"/>
              <w:left w:val="nil"/>
              <w:bottom w:val="single" w:sz="4" w:space="0" w:color="auto"/>
              <w:right w:val="nil"/>
            </w:tcBorders>
            <w:shd w:val="clear" w:color="auto" w:fill="auto"/>
            <w:noWrap/>
            <w:vAlign w:val="center"/>
          </w:tcPr>
          <w:p>
            <w:pPr>
              <w:widowControl/>
              <w:jc w:val="center"/>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2410" w:type="dxa"/>
            <w:tcBorders>
              <w:top w:val="nil"/>
              <w:left w:val="nil"/>
              <w:bottom w:val="single" w:sz="4" w:space="0" w:color="auto"/>
              <w:right w:val="nil"/>
            </w:tcBorders>
            <w:shd w:val="clear" w:color="auto" w:fill="auto"/>
            <w:noWrap/>
            <w:vAlign w:val="center"/>
          </w:tcPr>
          <w:p>
            <w:pPr>
              <w:widowControl/>
              <w:jc w:val="center"/>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2598" w:type="dxa"/>
            <w:tcBorders>
              <w:top w:val="nil"/>
              <w:left w:val="nil"/>
              <w:bottom w:val="nil"/>
              <w:right w:val="nil"/>
            </w:tcBorders>
            <w:shd w:val="clear" w:color="auto" w:fill="auto"/>
            <w:noWrap/>
            <w:vAlign w:val="center"/>
          </w:tcPr>
          <w:p>
            <w:pPr>
              <w:widowControl/>
              <w:jc w:val="right"/>
              <w:rPr>
                <w:rFonts w:ascii="Times New Roman" w:cs="宋体" w:hAnsi="Times New Roman"/>
                <w:color w:val="000000"/>
                <w:kern w:val="0"/>
                <w:sz w:val="20"/>
                <w:szCs w:val="20"/>
              </w:rPr>
            </w:pPr>
            <w:r>
              <w:rPr>
                <w:rFonts w:ascii="Times New Roman" w:cs="宋体" w:hAnsi="Times New Roman" w:hint="eastAsia"/>
                <w:color w:val="000000"/>
                <w:kern w:val="0"/>
                <w:sz w:val="20"/>
                <w:szCs w:val="20"/>
              </w:rPr>
              <w:t>单位：万元</w:t>
            </w:r>
          </w:p>
        </w:tc>
      </w:tr>
      <w:tr>
        <w:trPr>
          <w:trHeight w:hRule="exact" w:val="567"/>
        </w:trPr>
        <w:tc>
          <w:tcPr>
            <w:tcW w:w="3119"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科目编码</w:t>
            </w:r>
          </w:p>
        </w:tc>
        <w:tc>
          <w:tcPr>
            <w:tcW w:w="3402"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科目名称</w:t>
            </w:r>
          </w:p>
        </w:tc>
        <w:tc>
          <w:tcPr>
            <w:tcW w:w="7559" w:type="dxa"/>
            <w:gridSpan w:val="3"/>
            <w:tcBorders>
              <w:top w:val="single" w:sz="4" w:space="0" w:color="auto"/>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2023年国有资本经营预算支出</w:t>
            </w:r>
          </w:p>
        </w:tc>
      </w:tr>
      <w:tr>
        <w:trPr>
          <w:trHeight w:hRule="exact" w:val="567"/>
        </w:trPr>
        <w:tc>
          <w:tcPr>
            <w:tcW w:w="3119" w:type="dxa"/>
            <w:vMerge/>
            <w:tcBorders>
              <w:top w:val="nil"/>
              <w:left w:val="single" w:sz="4" w:space="0" w:color="auto"/>
              <w:bottom w:val="single" w:sz="4" w:space="0" w:color="auto"/>
              <w:right w:val="single" w:sz="4" w:space="0" w:color="auto"/>
            </w:tcBorders>
            <w:vAlign w:val="center"/>
          </w:tcPr>
          <w:p/>
        </w:tc>
        <w:tc>
          <w:tcPr>
            <w:tcW w:w="3402" w:type="dxa"/>
            <w:vMerge/>
            <w:tcBorders>
              <w:top w:val="nil"/>
              <w:left w:val="single" w:sz="4" w:space="0" w:color="auto"/>
              <w:bottom w:val="single" w:sz="4" w:space="0" w:color="auto"/>
              <w:right w:val="single" w:sz="4" w:space="0" w:color="auto"/>
            </w:tcBorders>
            <w:vAlign w:val="center"/>
          </w:tcPr>
          <w:p/>
        </w:tc>
        <w:tc>
          <w:tcPr>
            <w:tcW w:w="2551"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小计</w:t>
            </w:r>
          </w:p>
        </w:tc>
        <w:tc>
          <w:tcPr>
            <w:tcW w:w="2410"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基本支出</w:t>
            </w:r>
          </w:p>
        </w:tc>
        <w:tc>
          <w:tcPr>
            <w:tcW w:w="2598"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项目支出</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r>
      <w:tr>
        <w:trPr>
          <w:trHeight w:hRule="exact" w:val="567"/>
        </w:trPr>
        <w:tc>
          <w:tcPr>
            <w:tcW w:w="65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合   计</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r>
    </w:tbl>
    <w:p>
      <w:pPr>
        <w:rPr>
          <w:rFonts w:ascii="Times New Roman" w:eastAsia="方正仿宋_GBK" w:cs="Times New Roman" w:hAnsi="Times New Roman"/>
          <w:sz w:val="24"/>
          <w:szCs w:val="24"/>
        </w:rPr>
      </w:pPr>
      <w:r>
        <w:rPr>
          <w:rFonts w:ascii="Times New Roman" w:eastAsia="方正仿宋_GBK" w:cs="Times New Roman" w:hAnsi="Times New Roman" w:hint="eastAsia"/>
          <w:sz w:val="24"/>
          <w:szCs w:val="24"/>
        </w:rPr>
        <w:t>注</w:t>
      </w:r>
      <w:r>
        <w:rPr>
          <w:rFonts w:ascii="Times New Roman" w:eastAsia="方正仿宋_GBK" w:cs="Times New Roman" w:hAnsi="Times New Roman"/>
          <w:sz w:val="24"/>
          <w:szCs w:val="24"/>
        </w:rPr>
        <w:t>：</w:t>
      </w:r>
      <w:r>
        <w:rPr>
          <w:rFonts w:ascii="Times New Roman" w:eastAsia="方正仿宋_GBK" w:cs="Times New Roman" w:hAnsi="Times New Roman" w:hint="eastAsia"/>
          <w:sz w:val="24"/>
          <w:szCs w:val="24"/>
        </w:rPr>
        <w:t>呼和浩特海关</w:t>
      </w:r>
      <w:r>
        <w:rPr>
          <w:rFonts w:ascii="Times New Roman" w:eastAsia="方正仿宋_GBK" w:cs="Times New Roman" w:hAnsi="Times New Roman"/>
          <w:sz w:val="24"/>
          <w:szCs w:val="24"/>
        </w:rPr>
        <w:t>本级无</w:t>
      </w:r>
      <w:r>
        <w:rPr>
          <w:rFonts w:ascii="Times New Roman" w:eastAsia="方正仿宋_GBK" w:cs="Times New Roman" w:hAnsi="Times New Roman" w:hint="eastAsia"/>
          <w:sz w:val="24"/>
          <w:szCs w:val="24"/>
        </w:rPr>
        <w:t>国有资本经营</w:t>
      </w:r>
      <w:r>
        <w:rPr>
          <w:rFonts w:ascii="Times New Roman" w:eastAsia="方正仿宋_GBK" w:cs="Times New Roman" w:hAnsi="Times New Roman"/>
          <w:sz w:val="24"/>
          <w:szCs w:val="24"/>
        </w:rPr>
        <w:t>预算</w:t>
      </w:r>
      <w:r>
        <w:rPr>
          <w:rFonts w:ascii="Times New Roman" w:eastAsia="方正仿宋_GBK" w:cs="Times New Roman" w:hAnsi="Times New Roman" w:hint="eastAsia"/>
          <w:sz w:val="24"/>
          <w:szCs w:val="24"/>
        </w:rPr>
        <w:t>收入，也无国有资本经营预算安排的支出，故本表无数据。</w:t>
      </w:r>
    </w:p>
    <w:p>
      <w:pPr>
        <w:jc w:val="center"/>
        <w:rPr>
          <w:rFonts w:ascii="Times New Roman" w:eastAsia="方正仿宋_GBK" w:hAnsi="Times New Roman"/>
          <w:sz w:val="32"/>
          <w:szCs w:val="32"/>
        </w:rPr>
      </w:pPr>
    </w:p>
    <w:p>
      <w:pPr>
        <w:rPr>
          <w:rFonts w:ascii="Times New Roman" w:eastAsia="方正仿宋_GBK" w:hAnsi="Times New Roman"/>
          <w:sz w:val="32"/>
          <w:szCs w:val="32"/>
        </w:rPr>
      </w:pPr>
    </w:p>
    <w:tbl>
      <w:tblPr>
        <w:tblpPr w:leftFromText="180" w:rightFromText="180" w:horzAnchor="margin" w:tblpXSpec="center" w:tblpY="405"/>
        <w:tblW w:w="142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016"/>
        <w:gridCol w:w="1108"/>
        <w:gridCol w:w="1278"/>
        <w:gridCol w:w="1134"/>
        <w:gridCol w:w="1134"/>
        <w:gridCol w:w="1407"/>
        <w:gridCol w:w="1016"/>
        <w:gridCol w:w="1272"/>
        <w:gridCol w:w="1175"/>
        <w:gridCol w:w="1134"/>
        <w:gridCol w:w="1134"/>
        <w:gridCol w:w="1445"/>
      </w:tblGrid>
      <w:tr>
        <w:trPr>
          <w:trHeight w:val="285"/>
        </w:trPr>
        <w:tc>
          <w:tcPr>
            <w:tcW w:w="1016" w:type="dxa"/>
            <w:tcBorders>
              <w:top w:val="nil"/>
              <w:left w:val="nil"/>
              <w:bottom w:val="nil"/>
              <w:right w:val="nil"/>
            </w:tcBorders>
            <w:shd w:val="clear" w:color="auto" w:fill="auto"/>
            <w:noWrap/>
            <w:vAlign w:val="center"/>
          </w:tcPr>
          <w:p>
            <w:pPr>
              <w:widowControl/>
              <w:jc w:val="left"/>
              <w:rPr>
                <w:rFonts w:ascii="Times New Roman" w:cs="宋体" w:hAnsi="Times New Roman"/>
                <w:kern w:val="0"/>
                <w:sz w:val="24"/>
                <w:szCs w:val="24"/>
              </w:rPr>
            </w:pPr>
          </w:p>
        </w:tc>
        <w:tc>
          <w:tcPr>
            <w:tcW w:w="1108"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278"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134"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134"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407"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016"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272"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175"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134"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134"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445" w:type="dxa"/>
            <w:tcBorders>
              <w:top w:val="nil"/>
              <w:left w:val="nil"/>
              <w:bottom w:val="nil"/>
              <w:right w:val="nil"/>
            </w:tcBorders>
            <w:shd w:val="clear" w:color="auto" w:fill="auto"/>
            <w:noWrap/>
            <w:vAlign w:val="center"/>
          </w:tcPr>
          <w:p>
            <w:pPr>
              <w:widowControl/>
              <w:jc w:val="right"/>
              <w:rPr>
                <w:rFonts w:ascii="Times New Roman" w:eastAsia="黑体" w:cs="宋体" w:hAnsi="Times New Roman"/>
                <w:kern w:val="0"/>
                <w:sz w:val="20"/>
                <w:szCs w:val="20"/>
              </w:rPr>
            </w:pPr>
            <w:r>
              <w:rPr>
                <w:rFonts w:ascii="Times New Roman" w:eastAsia="黑体" w:cs="宋体" w:hAnsi="Times New Roman" w:hint="eastAsia"/>
                <w:kern w:val="0"/>
                <w:sz w:val="20"/>
                <w:szCs w:val="20"/>
              </w:rPr>
              <w:t>部门公开表9</w:t>
            </w:r>
          </w:p>
        </w:tc>
      </w:tr>
      <w:tr>
        <w:trPr>
          <w:trHeight w:val="405"/>
        </w:trPr>
        <w:tc>
          <w:tcPr>
            <w:tcW w:w="14253" w:type="dxa"/>
            <w:gridSpan w:val="12"/>
            <w:tcBorders>
              <w:top w:val="nil"/>
              <w:left w:val="nil"/>
              <w:bottom w:val="nil"/>
              <w:right w:val="nil"/>
            </w:tcBorders>
            <w:shd w:val="clear" w:color="auto" w:fill="auto"/>
            <w:noWrap/>
            <w:vAlign w:val="center"/>
          </w:tcPr>
          <w:p>
            <w:pPr>
              <w:widowControl/>
              <w:jc w:val="center"/>
              <w:rPr>
                <w:rFonts w:ascii="Times New Roman" w:cs="宋体" w:hAnsi="Times New Roman"/>
                <w:kern w:val="0"/>
                <w:sz w:val="36"/>
                <w:szCs w:val="36"/>
              </w:rPr>
            </w:pPr>
            <w:r>
              <w:rPr>
                <w:rFonts w:ascii="Times New Roman" w:cs="宋体" w:hAnsi="Times New Roman" w:hint="eastAsia"/>
                <w:kern w:val="0"/>
                <w:sz w:val="36"/>
                <w:szCs w:val="36"/>
              </w:rPr>
              <w:t>财政拨款预算“三公”经费支出表</w:t>
            </w:r>
          </w:p>
        </w:tc>
      </w:tr>
      <w:tr>
        <w:trPr>
          <w:trHeight w:val="327"/>
        </w:trPr>
        <w:tc>
          <w:tcPr>
            <w:tcW w:w="4536" w:type="dxa"/>
            <w:gridSpan w:val="4"/>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r>
              <w:rPr>
                <w:rFonts w:ascii="Times New Roman" w:cs="宋体" w:hAnsi="Times New Roman" w:hint="eastAsia"/>
                <w:color w:val="000000"/>
                <w:kern w:val="0"/>
                <w:sz w:val="18"/>
                <w:szCs w:val="18"/>
              </w:rPr>
              <w:t>单位名称：中华人民共和国呼和浩特海关本级</w:t>
            </w:r>
          </w:p>
        </w:tc>
        <w:tc>
          <w:tcPr>
            <w:tcW w:w="1134"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407"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016"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272"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175"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134"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134"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445" w:type="dxa"/>
            <w:tcBorders>
              <w:top w:val="nil"/>
              <w:left w:val="nil"/>
              <w:bottom w:val="single" w:sz="4" w:space="0" w:color="auto"/>
              <w:right w:val="nil"/>
            </w:tcBorders>
            <w:shd w:val="clear" w:color="auto" w:fill="auto"/>
            <w:noWrap/>
            <w:vAlign w:val="center"/>
          </w:tcPr>
          <w:p>
            <w:pPr>
              <w:widowControl/>
              <w:jc w:val="right"/>
              <w:rPr>
                <w:rFonts w:ascii="Times New Roman" w:cs="宋体" w:hAnsi="Times New Roman"/>
                <w:kern w:val="0"/>
                <w:sz w:val="18"/>
                <w:szCs w:val="18"/>
              </w:rPr>
            </w:pPr>
            <w:r>
              <w:rPr>
                <w:rFonts w:ascii="Times New Roman" w:cs="宋体" w:hAnsi="Times New Roman" w:hint="eastAsia"/>
                <w:kern w:val="0"/>
                <w:sz w:val="18"/>
                <w:szCs w:val="18"/>
              </w:rPr>
              <w:t>单位：万元</w:t>
            </w:r>
          </w:p>
        </w:tc>
      </w:tr>
      <w:tr>
        <w:trPr>
          <w:trHeight w:val="660"/>
        </w:trPr>
        <w:tc>
          <w:tcPr>
            <w:tcW w:w="7077"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2022年预算数</w:t>
            </w:r>
          </w:p>
        </w:tc>
        <w:tc>
          <w:tcPr>
            <w:tcW w:w="7176" w:type="dxa"/>
            <w:gridSpan w:val="6"/>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2023年预算数</w:t>
            </w:r>
          </w:p>
        </w:tc>
      </w:tr>
      <w:tr>
        <w:trPr>
          <w:trHeight w:val="870"/>
        </w:trPr>
        <w:tc>
          <w:tcPr>
            <w:tcW w:w="1016"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合计</w:t>
            </w:r>
          </w:p>
        </w:tc>
        <w:tc>
          <w:tcPr>
            <w:tcW w:w="1108"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因公出国（境）费</w:t>
            </w:r>
          </w:p>
        </w:tc>
        <w:tc>
          <w:tcPr>
            <w:tcW w:w="3546" w:type="dxa"/>
            <w:gridSpan w:val="3"/>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公务用车购置及运行费</w:t>
            </w:r>
          </w:p>
        </w:tc>
        <w:tc>
          <w:tcPr>
            <w:tcW w:w="1407"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公务接待费</w:t>
            </w:r>
          </w:p>
        </w:tc>
        <w:tc>
          <w:tcPr>
            <w:tcW w:w="1016"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合计</w:t>
            </w:r>
          </w:p>
        </w:tc>
        <w:tc>
          <w:tcPr>
            <w:tcW w:w="1272"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因公出国（境）费</w:t>
            </w:r>
          </w:p>
        </w:tc>
        <w:tc>
          <w:tcPr>
            <w:tcW w:w="3443" w:type="dxa"/>
            <w:gridSpan w:val="3"/>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公务用车购置及运行费</w:t>
            </w:r>
          </w:p>
        </w:tc>
        <w:tc>
          <w:tcPr>
            <w:tcW w:w="1445"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公务接待费</w:t>
            </w:r>
          </w:p>
        </w:tc>
      </w:tr>
      <w:tr>
        <w:trPr>
          <w:trHeight w:val="735"/>
        </w:trPr>
        <w:tc>
          <w:tcPr>
            <w:tcW w:w="1016" w:type="dxa"/>
            <w:vMerge/>
            <w:tcBorders>
              <w:top w:val="nil"/>
              <w:left w:val="single" w:sz="4" w:space="0" w:color="auto"/>
              <w:bottom w:val="single" w:sz="4" w:space="0" w:color="000000"/>
              <w:right w:val="single" w:sz="4" w:space="0" w:color="auto"/>
            </w:tcBorders>
            <w:vAlign w:val="center"/>
          </w:tcPr>
          <w:p/>
        </w:tc>
        <w:tc>
          <w:tcPr>
            <w:tcW w:w="1108" w:type="dxa"/>
            <w:vMerge/>
            <w:tcBorders>
              <w:top w:val="nil"/>
              <w:left w:val="single" w:sz="4" w:space="0" w:color="auto"/>
              <w:bottom w:val="single" w:sz="4" w:space="0" w:color="000000"/>
              <w:right w:val="single" w:sz="4" w:space="0" w:color="auto"/>
            </w:tcBorders>
            <w:vAlign w:val="center"/>
          </w:tcPr>
          <w:p/>
        </w:tc>
        <w:tc>
          <w:tcPr>
            <w:tcW w:w="1278"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小计</w:t>
            </w:r>
          </w:p>
        </w:tc>
        <w:tc>
          <w:tcPr>
            <w:tcW w:w="1134"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公务用车购置费</w:t>
            </w:r>
          </w:p>
        </w:tc>
        <w:tc>
          <w:tcPr>
            <w:tcW w:w="1134"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公务用车运行费</w:t>
            </w:r>
          </w:p>
        </w:tc>
        <w:tc>
          <w:tcPr>
            <w:tcW w:w="1407" w:type="dxa"/>
            <w:vMerge/>
            <w:tcBorders>
              <w:top w:val="nil"/>
              <w:left w:val="single" w:sz="4" w:space="0" w:color="auto"/>
              <w:bottom w:val="single" w:sz="4" w:space="0" w:color="000000"/>
              <w:right w:val="single" w:sz="4" w:space="0" w:color="auto"/>
            </w:tcBorders>
            <w:vAlign w:val="center"/>
          </w:tcPr>
          <w:p/>
        </w:tc>
        <w:tc>
          <w:tcPr>
            <w:tcW w:w="1016" w:type="dxa"/>
            <w:vMerge/>
            <w:tcBorders>
              <w:top w:val="nil"/>
              <w:left w:val="single" w:sz="4" w:space="0" w:color="auto"/>
              <w:bottom w:val="single" w:sz="4" w:space="0" w:color="000000"/>
              <w:right w:val="single" w:sz="4" w:space="0" w:color="auto"/>
            </w:tcBorders>
            <w:vAlign w:val="center"/>
          </w:tcPr>
          <w:p/>
        </w:tc>
        <w:tc>
          <w:tcPr>
            <w:tcW w:w="1272" w:type="dxa"/>
            <w:vMerge/>
            <w:tcBorders>
              <w:top w:val="nil"/>
              <w:left w:val="single" w:sz="4" w:space="0" w:color="auto"/>
              <w:bottom w:val="single" w:sz="4" w:space="0" w:color="000000"/>
              <w:right w:val="single" w:sz="4" w:space="0" w:color="auto"/>
            </w:tcBorders>
            <w:vAlign w:val="center"/>
          </w:tcPr>
          <w:p/>
        </w:tc>
        <w:tc>
          <w:tcPr>
            <w:tcW w:w="1175"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小计</w:t>
            </w:r>
          </w:p>
        </w:tc>
        <w:tc>
          <w:tcPr>
            <w:tcW w:w="1134"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公务用车购置费</w:t>
            </w:r>
          </w:p>
        </w:tc>
        <w:tc>
          <w:tcPr>
            <w:tcW w:w="1134"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公务用车运行费</w:t>
            </w:r>
          </w:p>
        </w:tc>
        <w:tc>
          <w:tcPr>
            <w:tcW w:w="1445" w:type="dxa"/>
            <w:vMerge/>
            <w:tcBorders>
              <w:top w:val="nil"/>
              <w:left w:val="single" w:sz="4" w:space="0" w:color="auto"/>
              <w:bottom w:val="single" w:sz="4" w:space="0" w:color="000000"/>
              <w:right w:val="single" w:sz="4" w:space="0" w:color="auto"/>
            </w:tcBorders>
            <w:vAlign w:val="center"/>
          </w:tcPr>
          <w:p/>
        </w:tc>
      </w:tr>
      <w:tr>
        <w:trPr>
          <w:trHeight w:val="1335"/>
        </w:trPr>
        <w:tc>
          <w:tcPr>
            <w:tcW w:w="1016"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227.58</w:t>
            </w:r>
          </w:p>
        </w:tc>
        <w:tc>
          <w:tcPr>
            <w:tcW w:w="110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p>
        </w:tc>
        <w:tc>
          <w:tcPr>
            <w:tcW w:w="127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209.54</w:t>
            </w: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50</w:t>
            </w: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159.54</w:t>
            </w:r>
          </w:p>
        </w:tc>
        <w:tc>
          <w:tcPr>
            <w:tcW w:w="140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18.04</w:t>
            </w:r>
          </w:p>
        </w:tc>
        <w:tc>
          <w:tcPr>
            <w:tcW w:w="101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162.38</w:t>
            </w:r>
          </w:p>
        </w:tc>
        <w:tc>
          <w:tcPr>
            <w:tcW w:w="127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p>
        </w:tc>
        <w:tc>
          <w:tcPr>
            <w:tcW w:w="11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144.34</w:t>
            </w: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37.00</w:t>
            </w: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107.34</w:t>
            </w:r>
          </w:p>
        </w:tc>
        <w:tc>
          <w:tcPr>
            <w:tcW w:w="144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18.04</w:t>
            </w:r>
          </w:p>
        </w:tc>
      </w:tr>
    </w:tbl>
    <w:p>
      <w:pPr>
        <w:rPr>
          <w:rFonts w:ascii="Times New Roman" w:eastAsia="方正仿宋_GBK" w:hAnsi="Times New Roman"/>
          <w:sz w:val="32"/>
          <w:szCs w:val="32"/>
        </w:rPr>
        <w:sectPr>
          <w:pgSz w:w="16838" w:h="11906" w:orient="landscape"/>
          <w:pgMar w:top="1800" w:right="1440" w:bottom="1800" w:left="1440" w:header="851" w:footer="992" w:gutter="0"/>
          <w:docGrid w:type="lines" w:linePitch="312" w:charSpace="0"/>
        </w:sectPr>
      </w:pPr>
    </w:p>
    <w:p>
      <w:pPr>
        <w:jc w:val="center"/>
        <w:rPr>
          <w:rFonts w:ascii="Times New Roman" w:hAnsi="Times New Roman"/>
          <w:b/>
          <w:sz w:val="84"/>
          <w:szCs w:val="84"/>
        </w:rPr>
      </w:pPr>
    </w:p>
    <w:p>
      <w:pPr>
        <w:jc w:val="center"/>
        <w:rPr>
          <w:rFonts w:ascii="Times New Roman" w:hAnsi="Times New Roman"/>
          <w:b/>
          <w:sz w:val="84"/>
          <w:szCs w:val="84"/>
        </w:rPr>
      </w:pPr>
    </w:p>
    <w:p>
      <w:pPr>
        <w:jc w:val="center"/>
        <w:rPr>
          <w:rFonts w:ascii="Times New Roman" w:hAnsi="Times New Roman"/>
          <w:b/>
          <w:sz w:val="84"/>
          <w:szCs w:val="84"/>
        </w:rPr>
      </w:pPr>
    </w:p>
    <w:p>
      <w:pPr>
        <w:jc w:val="center"/>
        <w:rPr>
          <w:rFonts w:ascii="Times New Roman" w:hAnsi="Times New Roman"/>
          <w:b/>
          <w:sz w:val="84"/>
          <w:szCs w:val="84"/>
        </w:rPr>
      </w:pPr>
    </w:p>
    <w:p>
      <w:pPr>
        <w:jc w:val="center"/>
        <w:rPr>
          <w:rFonts w:ascii="Times New Roman" w:hAnsi="Times New Roman"/>
          <w:b/>
          <w:sz w:val="84"/>
          <w:szCs w:val="84"/>
        </w:rPr>
      </w:pPr>
      <w:r>
        <w:rPr>
          <w:rFonts w:ascii="Times New Roman" w:hAnsi="Times New Roman" w:hint="eastAsia"/>
          <w:b/>
          <w:sz w:val="84"/>
          <w:szCs w:val="84"/>
        </w:rPr>
        <w:t>第三部分</w:t>
      </w:r>
      <w:r>
        <w:rPr>
          <w:rFonts w:ascii="Times New Roman" w:hAnsi="Times New Roman"/>
          <w:b/>
          <w:sz w:val="84"/>
          <w:szCs w:val="84"/>
        </w:rPr>
        <w:t xml:space="preserve">  </w:t>
      </w:r>
    </w:p>
    <w:p>
      <w:pPr>
        <w:jc w:val="center"/>
        <w:rPr>
          <w:rFonts w:ascii="Times New Roman" w:hAnsi="Times New Roman"/>
          <w:b/>
          <w:sz w:val="80"/>
          <w:szCs w:val="80"/>
        </w:rPr>
      </w:pPr>
      <w:r>
        <w:rPr>
          <w:rFonts w:ascii="Times New Roman" w:hAnsi="Times New Roman" w:hint="eastAsia"/>
          <w:b/>
          <w:sz w:val="80"/>
          <w:szCs w:val="80"/>
        </w:rPr>
        <w:t>海关</w:t>
      </w:r>
      <w:r>
        <w:rPr>
          <w:rFonts w:ascii="Times New Roman" w:hAnsi="Times New Roman"/>
          <w:b/>
          <w:sz w:val="80"/>
          <w:szCs w:val="80"/>
        </w:rPr>
        <w:t>2023</w:t>
      </w:r>
      <w:r>
        <w:rPr>
          <w:rFonts w:ascii="Times New Roman" w:hAnsi="Times New Roman" w:hint="eastAsia"/>
          <w:b/>
          <w:sz w:val="80"/>
          <w:szCs w:val="80"/>
        </w:rPr>
        <w:t>年</w:t>
      </w:r>
    </w:p>
    <w:p>
      <w:pPr>
        <w:jc w:val="center"/>
        <w:rPr>
          <w:rFonts w:ascii="Times New Roman" w:hAnsi="Times New Roman"/>
          <w:b/>
          <w:sz w:val="80"/>
          <w:szCs w:val="80"/>
        </w:rPr>
      </w:pPr>
      <w:r>
        <w:rPr>
          <w:rFonts w:ascii="Times New Roman" w:hAnsi="Times New Roman" w:hint="eastAsia"/>
          <w:b/>
          <w:sz w:val="80"/>
          <w:szCs w:val="80"/>
        </w:rPr>
        <w:t>部门预算情况说明</w:t>
      </w:r>
    </w:p>
    <w:p>
      <w:pPr>
        <w:pStyle w:val="18"/>
        <w:spacing w:line="560" w:lineRule="exact"/>
        <w:rPr>
          <w:b/>
          <w:sz w:val="84"/>
          <w:szCs w:val="84"/>
        </w:rPr>
      </w:pPr>
      <w:r>
        <w:rPr>
          <w:b/>
          <w:sz w:val="84"/>
          <w:szCs w:val="84"/>
        </w:rPr>
        <w:t xml:space="preserve"> </w:t>
      </w:r>
    </w:p>
    <w:p>
      <w:pPr>
        <w:rPr>
          <w:rFonts w:ascii="Times New Roman" w:hAnsi="Times New Roman"/>
          <w:b/>
          <w:sz w:val="84"/>
          <w:szCs w:val="84"/>
        </w:rPr>
      </w:pPr>
      <w:r>
        <w:rPr>
          <w:rFonts w:ascii="Times New Roman" w:hAnsi="Times New Roman"/>
          <w:b/>
          <w:sz w:val="84"/>
          <w:szCs w:val="84"/>
        </w:rPr>
        <w:t xml:space="preserve"> </w:t>
      </w:r>
    </w:p>
    <w:p>
      <w:pPr>
        <w:rPr>
          <w:rFonts w:ascii="Times New Roman" w:hAnsi="Times New Roman"/>
          <w:b/>
          <w:sz w:val="84"/>
          <w:szCs w:val="84"/>
        </w:rPr>
      </w:pPr>
      <w:r>
        <w:rPr>
          <w:rFonts w:ascii="Times New Roman" w:hAnsi="Times New Roman"/>
          <w:b/>
          <w:sz w:val="84"/>
          <w:szCs w:val="84"/>
        </w:rPr>
        <w:t xml:space="preserve"> </w:t>
      </w:r>
    </w:p>
    <w:p>
      <w:pPr>
        <w:rPr>
          <w:rFonts w:ascii="Times New Roman" w:hAnsi="Times New Roman"/>
          <w:b/>
          <w:sz w:val="84"/>
          <w:szCs w:val="84"/>
        </w:rPr>
        <w:sectPr>
          <w:pgSz w:w="11906" w:h="16838"/>
          <w:pgMar w:top="1440" w:right="1800" w:bottom="1440" w:left="1800" w:header="851" w:footer="992" w:gutter="0"/>
          <w:docGrid w:type="lines" w:linePitch="312" w:charSpace="0"/>
        </w:sectPr>
      </w:pPr>
      <w:r>
        <w:rPr>
          <w:rFonts w:ascii="Times New Roman" w:hAnsi="Times New Roman"/>
          <w:b/>
          <w:sz w:val="84"/>
          <w:szCs w:val="84"/>
        </w:rPr>
        <w:t xml:space="preserve"> </w:t>
      </w:r>
    </w:p>
    <w:p>
      <w:pPr>
        <w:pStyle w:val="18"/>
        <w:spacing w:line="560" w:lineRule="exact"/>
        <w:ind w:firstLineChars="200" w:firstLine="640"/>
        <w:rPr>
          <w:rFonts w:eastAsia="方正仿宋_GBK"/>
          <w:sz w:val="32"/>
          <w:szCs w:val="32"/>
        </w:rPr>
      </w:pPr>
      <w:r>
        <w:rPr>
          <w:rFonts w:eastAsia="方正黑体_GBK"/>
          <w:sz w:val="32"/>
          <w:szCs w:val="32"/>
        </w:rPr>
        <w:t>一、关于2023年收支预算情况的总体说明</w:t>
      </w:r>
    </w:p>
    <w:p>
      <w:pPr>
        <w:pStyle w:val="18"/>
        <w:spacing w:line="560" w:lineRule="exact"/>
        <w:ind w:firstLineChars="200" w:firstLine="640"/>
        <w:rPr>
          <w:rFonts w:eastAsia="方正仿宋_GBK"/>
          <w:sz w:val="32"/>
          <w:szCs w:val="32"/>
        </w:rPr>
      </w:pPr>
      <w:r>
        <w:rPr>
          <w:rFonts w:eastAsia="方正仿宋_GBK"/>
          <w:sz w:val="32"/>
          <w:szCs w:val="32"/>
        </w:rPr>
        <w:t>按照综合预算的原则，呼和浩特海关本级所有收入和支出均纳入部门预算管理。收入包括：一般公共预算拨款收入、其他收入和上年结转；支出包括：一般公共服务支出、公共安全支出、社会保障和就业支出、卫生健康支出、住房保障支出。呼和浩特海关本级本级2022年收支总预算12930.93万元。</w:t>
      </w:r>
    </w:p>
    <w:p>
      <w:pPr>
        <w:pStyle w:val="18"/>
        <w:spacing w:line="560" w:lineRule="exact"/>
        <w:ind w:firstLineChars="200" w:firstLine="420"/>
        <w:rPr>
          <w:rFonts w:eastAsia="方正黑体_GBK"/>
          <w:sz w:val="32"/>
          <w:szCs w:val="32"/>
        </w:rPr>
      </w:pPr>
      <w:r>
        <w:rPr>
          <w:lang w:bidi="mn-Mong-CN"/>
        </w:rPr>
        <w:drawing>
          <wp:anchor distT="0" distB="0" distL="114300" distR="114300" simplePos="0" relativeHeight="17" behindDoc="0" locked="0" layoutInCell="1" hidden="0" allowOverlap="1">
            <wp:simplePos x="0" y="0"/>
            <wp:positionH relativeFrom="column">
              <wp:posOffset>333369</wp:posOffset>
            </wp:positionH>
            <wp:positionV relativeFrom="paragraph">
              <wp:posOffset>442048</wp:posOffset>
            </wp:positionV>
            <wp:extent cx="5274308" cy="2980691"/>
            <wp:effectExtent l="0" t="0" r="0" b="0"/>
            <wp:wrapNone/>
            <wp:docPr id="7" name="图片 7"/>
            <wp:cNvGraphicFramePr>
              <a:graphicFrameLocks noChangeAspect="0"/>
            </wp:cNvGraphicFramePr>
            <a:graphic>
              <a:graphicData uri="http://schemas.openxmlformats.org/drawingml/2006/picture">
                <pic:pic>
                  <pic:nvPicPr>
                    <pic:cNvPr id="9" name="图片 9"/>
                    <pic:cNvPicPr/>
                  </pic:nvPicPr>
                  <pic:blipFill>
                    <a:blip r:embed="rId4"/>
                    <a:stretch>
                      <a:fillRect/>
                    </a:stretch>
                  </pic:blipFill>
                  <pic:spPr>
                    <a:xfrm rot="0">
                      <a:off x="0" y="0"/>
                      <a:ext cx="5274308" cy="2980691"/>
                    </a:xfrm>
                    <a:prstGeom prst="rect"/>
                    <a:noFill/>
                    <a:ln w="9525" cmpd="sng" cap="flat">
                      <a:solidFill>
                        <a:srgbClr val="000000"/>
                      </a:solidFill>
                      <a:prstDash val="solid"/>
                      <a:miter/>
                    </a:ln>
                  </pic:spPr>
                </pic:pic>
              </a:graphicData>
            </a:graphic>
          </wp:anchor>
        </w:drawing>
      </w:r>
      <w:r>
        <w:rPr>
          <w:rFonts w:eastAsia="方正黑体_GBK"/>
          <w:sz w:val="32"/>
          <w:szCs w:val="32"/>
        </w:rPr>
        <w:t>二、关于2023年收入预算情况说明</w:t>
      </w:r>
    </w:p>
    <w:p>
      <w:pPr>
        <w:pStyle w:val="18"/>
        <w:spacing w:line="560" w:lineRule="exact"/>
        <w:ind w:firstLineChars="200" w:firstLine="640"/>
        <w:rPr>
          <w:rFonts w:eastAsia="方正黑体_GBK"/>
          <w:sz w:val="32"/>
          <w:szCs w:val="32"/>
        </w:rPr>
      </w:pPr>
    </w:p>
    <w:p>
      <w:pPr>
        <w:pStyle w:val="18"/>
        <w:spacing w:line="560" w:lineRule="exact"/>
        <w:ind w:firstLineChars="200" w:firstLine="640"/>
        <w:rPr>
          <w:rFonts w:eastAsia="方正黑体_GBK"/>
          <w:sz w:val="32"/>
          <w:szCs w:val="32"/>
        </w:rPr>
      </w:pPr>
    </w:p>
    <w:p>
      <w:pPr>
        <w:pStyle w:val="18"/>
        <w:spacing w:line="560" w:lineRule="exact"/>
        <w:ind w:firstLineChars="200" w:firstLine="640"/>
        <w:rPr>
          <w:rFonts w:eastAsia="方正仿宋_GBK"/>
          <w:sz w:val="32"/>
          <w:szCs w:val="32"/>
        </w:rPr>
      </w:pPr>
    </w:p>
    <w:p>
      <w:pPr>
        <w:pStyle w:val="18"/>
        <w:spacing w:line="560" w:lineRule="exact"/>
        <w:ind w:firstLineChars="200" w:firstLine="640"/>
        <w:rPr>
          <w:rFonts w:eastAsia="方正仿宋_GBK"/>
          <w:sz w:val="32"/>
          <w:szCs w:val="32"/>
        </w:rPr>
      </w:pPr>
    </w:p>
    <w:p>
      <w:pPr>
        <w:pStyle w:val="18"/>
        <w:spacing w:line="560" w:lineRule="exact"/>
        <w:ind w:firstLineChars="200" w:firstLine="640"/>
        <w:rPr>
          <w:rFonts w:eastAsia="方正仿宋_GBK"/>
          <w:sz w:val="32"/>
          <w:szCs w:val="32"/>
        </w:rPr>
      </w:pPr>
    </w:p>
    <w:p>
      <w:pPr>
        <w:pStyle w:val="18"/>
        <w:spacing w:line="560" w:lineRule="exact"/>
        <w:ind w:firstLineChars="200" w:firstLine="640"/>
        <w:rPr>
          <w:rFonts w:eastAsia="方正仿宋_GBK"/>
          <w:sz w:val="32"/>
          <w:szCs w:val="32"/>
        </w:rPr>
      </w:pPr>
    </w:p>
    <w:p>
      <w:pPr>
        <w:pStyle w:val="18"/>
        <w:spacing w:line="560" w:lineRule="exact"/>
        <w:ind w:firstLineChars="200" w:firstLine="640"/>
        <w:rPr>
          <w:rFonts w:eastAsia="方正仿宋_GBK"/>
          <w:sz w:val="32"/>
          <w:szCs w:val="32"/>
        </w:rPr>
      </w:pPr>
    </w:p>
    <w:p>
      <w:pPr>
        <w:pStyle w:val="18"/>
        <w:spacing w:line="560" w:lineRule="exact"/>
        <w:ind w:firstLineChars="200" w:firstLine="640"/>
        <w:rPr>
          <w:rFonts w:eastAsia="方正仿宋_GBK"/>
          <w:sz w:val="32"/>
          <w:szCs w:val="32"/>
        </w:rPr>
      </w:pPr>
    </w:p>
    <w:p>
      <w:pPr>
        <w:pStyle w:val="18"/>
        <w:spacing w:line="560" w:lineRule="exact"/>
        <w:ind w:firstLineChars="200" w:firstLine="640"/>
        <w:rPr>
          <w:rFonts w:eastAsia="方正仿宋_GBK"/>
          <w:sz w:val="32"/>
          <w:szCs w:val="32"/>
        </w:rPr>
      </w:pPr>
    </w:p>
    <w:p>
      <w:pPr>
        <w:pStyle w:val="18"/>
        <w:spacing w:line="560" w:lineRule="exact"/>
        <w:ind w:left="0"/>
        <w:rPr>
          <w:rFonts w:eastAsia="方正仿宋_GBK"/>
          <w:sz w:val="32"/>
          <w:szCs w:val="32"/>
        </w:rPr>
      </w:pPr>
    </w:p>
    <w:p>
      <w:pPr>
        <w:pStyle w:val="18"/>
        <w:spacing w:line="560" w:lineRule="exact"/>
        <w:ind w:firstLineChars="200" w:firstLine="640"/>
        <w:rPr>
          <w:rFonts w:eastAsia="方正仿宋_GBK"/>
          <w:sz w:val="32"/>
          <w:szCs w:val="32"/>
        </w:rPr>
      </w:pPr>
      <w:r>
        <w:rPr>
          <w:rFonts w:eastAsia="方正仿宋_GBK" w:hint="eastAsia"/>
          <w:sz w:val="32"/>
          <w:szCs w:val="32"/>
        </w:rPr>
        <w:t>呼和浩特海关本级</w:t>
      </w:r>
      <w:r>
        <w:rPr>
          <w:rFonts w:eastAsia="方正仿宋_GBK"/>
          <w:sz w:val="32"/>
          <w:szCs w:val="32"/>
        </w:rPr>
        <w:t>2023年收入预算12930.93万元，其中：上年结转 1487.06 万元，占11.5%；一般公共预算财政拨款9822.07万元，占75.96%；其他收入1621.8万元，占12.54%。</w:t>
      </w:r>
    </w:p>
    <w:p>
      <w:pPr>
        <w:pStyle w:val="18"/>
        <w:spacing w:line="560" w:lineRule="exact"/>
        <w:ind w:firstLineChars="200" w:firstLine="640"/>
        <w:rPr>
          <w:rFonts w:eastAsia="方正黑体_GBK"/>
          <w:sz w:val="32"/>
          <w:szCs w:val="32"/>
        </w:rPr>
      </w:pPr>
      <w:r>
        <w:rPr>
          <w:rFonts w:eastAsia="方正黑体_GBK" w:hint="eastAsia"/>
          <w:sz w:val="32"/>
          <w:szCs w:val="32"/>
        </w:rPr>
        <w:t>三、关于</w:t>
      </w:r>
      <w:r>
        <w:rPr>
          <w:rFonts w:eastAsia="方正黑体_GBK"/>
          <w:sz w:val="32"/>
          <w:szCs w:val="32"/>
        </w:rPr>
        <w:t>2023</w:t>
      </w:r>
      <w:r>
        <w:rPr>
          <w:rFonts w:eastAsia="方正黑体_GBK" w:hint="eastAsia"/>
          <w:sz w:val="32"/>
          <w:szCs w:val="32"/>
        </w:rPr>
        <w:t>年支出预算情况说明</w:t>
      </w:r>
    </w:p>
    <w:p>
      <w:pPr>
        <w:pStyle w:val="18"/>
        <w:spacing w:line="560" w:lineRule="exact"/>
        <w:ind w:firstLineChars="200" w:firstLine="640"/>
        <w:rPr>
          <w:rFonts w:eastAsia="方正仿宋_GBK"/>
          <w:sz w:val="32"/>
          <w:szCs w:val="32"/>
        </w:rPr>
      </w:pPr>
      <w:r>
        <w:rPr>
          <w:rFonts w:eastAsia="方正仿宋_GBK" w:hint="eastAsia"/>
          <w:sz w:val="32"/>
          <w:szCs w:val="32"/>
        </w:rPr>
        <w:t>呼和浩特海关本级</w:t>
      </w:r>
      <w:r>
        <w:rPr>
          <w:rFonts w:eastAsia="方正仿宋_GBK"/>
          <w:sz w:val="32"/>
          <w:szCs w:val="32"/>
        </w:rPr>
        <w:t>2023</w:t>
      </w:r>
      <w:r>
        <w:rPr>
          <w:rFonts w:eastAsia="方正仿宋_GBK" w:hint="eastAsia"/>
          <w:sz w:val="32"/>
          <w:szCs w:val="32"/>
        </w:rPr>
        <w:t>年支出预算</w:t>
      </w:r>
      <w:r>
        <w:rPr>
          <w:rFonts w:eastAsia="方正仿宋_GBK"/>
          <w:sz w:val="32"/>
          <w:szCs w:val="32"/>
        </w:rPr>
        <w:t>12930.93</w:t>
      </w:r>
      <w:r>
        <w:rPr>
          <w:rFonts w:eastAsia="方正仿宋_GBK" w:hint="eastAsia"/>
          <w:sz w:val="32"/>
          <w:szCs w:val="32"/>
        </w:rPr>
        <w:t>万元，其中：基本支出</w:t>
      </w:r>
      <w:r>
        <w:rPr>
          <w:rFonts w:eastAsia="方正仿宋_GBK"/>
          <w:sz w:val="32"/>
          <w:szCs w:val="32"/>
        </w:rPr>
        <w:t>9007.10</w:t>
      </w:r>
      <w:r>
        <w:rPr>
          <w:rFonts w:eastAsia="方正仿宋_GBK" w:hint="eastAsia"/>
          <w:sz w:val="32"/>
          <w:szCs w:val="32"/>
        </w:rPr>
        <w:t>万元，占</w:t>
      </w:r>
      <w:r>
        <w:rPr>
          <w:rFonts w:eastAsia="方正仿宋_GBK"/>
          <w:sz w:val="32"/>
          <w:szCs w:val="32"/>
        </w:rPr>
        <w:t>69.66%</w:t>
      </w:r>
      <w:r>
        <w:rPr>
          <w:rFonts w:eastAsia="方正仿宋_GBK" w:hint="eastAsia"/>
          <w:sz w:val="32"/>
          <w:szCs w:val="32"/>
        </w:rPr>
        <w:t>；项目支出</w:t>
      </w:r>
      <w:r>
        <w:rPr>
          <w:rFonts w:eastAsia="方正仿宋_GBK"/>
          <w:sz w:val="32"/>
          <w:szCs w:val="32"/>
        </w:rPr>
        <w:t>3923.83</w:t>
      </w:r>
      <w:r>
        <w:rPr>
          <w:rFonts w:eastAsia="方正仿宋_GBK" w:hint="eastAsia"/>
          <w:sz w:val="32"/>
          <w:szCs w:val="32"/>
        </w:rPr>
        <w:t>万元，占</w:t>
      </w:r>
      <w:r>
        <w:rPr>
          <w:rFonts w:eastAsia="方正仿宋_GBK"/>
          <w:sz w:val="32"/>
          <w:szCs w:val="32"/>
        </w:rPr>
        <w:t>30.34%</w:t>
      </w:r>
      <w:r>
        <w:rPr>
          <w:rFonts w:eastAsia="方正仿宋_GBK" w:hint="eastAsia"/>
          <w:sz w:val="32"/>
          <w:szCs w:val="32"/>
        </w:rPr>
        <w:t>。</w:t>
      </w:r>
    </w:p>
    <w:p>
      <w:pPr>
        <w:pStyle w:val="18"/>
        <w:spacing w:line="560" w:lineRule="exact"/>
        <w:ind w:firstLineChars="200" w:firstLine="640"/>
        <w:rPr>
          <w:rFonts w:eastAsia="方正仿宋_GBK"/>
          <w:sz w:val="32"/>
          <w:szCs w:val="32"/>
        </w:rPr>
      </w:pPr>
    </w:p>
    <w:p>
      <w:pPr>
        <w:pStyle w:val="18"/>
        <w:spacing w:line="560" w:lineRule="exact"/>
        <w:rPr>
          <w:sz w:val="32"/>
          <w:szCs w:val="32"/>
        </w:rPr>
      </w:pPr>
    </w:p>
    <w:p>
      <w:pPr>
        <w:pStyle w:val="18"/>
        <w:spacing w:line="560" w:lineRule="exact"/>
        <w:rPr>
          <w:sz w:val="32"/>
          <w:szCs w:val="32"/>
        </w:rPr>
      </w:pPr>
    </w:p>
    <w:p>
      <w:pPr>
        <w:pStyle w:val="18"/>
        <w:spacing w:line="560" w:lineRule="exact"/>
        <w:rPr>
          <w:sz w:val="32"/>
          <w:szCs w:val="32"/>
        </w:rPr>
      </w:pPr>
    </w:p>
    <w:p>
      <w:pPr>
        <w:pStyle w:val="18"/>
        <w:spacing w:line="560" w:lineRule="exact"/>
        <w:rPr>
          <w:sz w:val="32"/>
          <w:szCs w:val="32"/>
        </w:rPr>
      </w:pPr>
    </w:p>
    <w:p>
      <w:pPr>
        <w:pStyle w:val="18"/>
        <w:spacing w:line="560" w:lineRule="exact"/>
        <w:rPr>
          <w:sz w:val="32"/>
          <w:szCs w:val="32"/>
        </w:rPr>
      </w:pPr>
    </w:p>
    <w:p>
      <w:pPr>
        <w:pStyle w:val="18"/>
        <w:spacing w:line="560" w:lineRule="exact"/>
        <w:rPr>
          <w:sz w:val="32"/>
          <w:szCs w:val="32"/>
        </w:rPr>
      </w:pPr>
    </w:p>
    <w:p>
      <w:pPr>
        <w:pStyle w:val="18"/>
        <w:spacing w:line="560" w:lineRule="exact"/>
        <w:rPr>
          <w:sz w:val="32"/>
          <w:szCs w:val="32"/>
        </w:rPr>
      </w:pPr>
    </w:p>
    <w:p>
      <w:pPr>
        <w:pStyle w:val="18"/>
        <w:spacing w:line="560" w:lineRule="exact"/>
        <w:rPr>
          <w:sz w:val="32"/>
          <w:szCs w:val="32"/>
        </w:rPr>
      </w:pPr>
      <w:r>
        <w:rPr>
          <w:rFonts w:eastAsia="方正仿宋_GBK"/>
          <w:sz w:val="32"/>
          <w:szCs w:val="32"/>
          <w:lang w:bidi="mn-Mong-CN"/>
        </w:rPr>
        <w:drawing>
          <wp:anchor distT="0" distB="0" distL="114300" distR="114300" simplePos="0" relativeHeight="2" behindDoc="1" locked="0" layoutInCell="1" hidden="0" allowOverlap="1">
            <wp:simplePos x="0" y="0"/>
            <wp:positionH relativeFrom="column">
              <wp:posOffset>19049</wp:posOffset>
            </wp:positionH>
            <wp:positionV relativeFrom="paragraph">
              <wp:posOffset>-2793925</wp:posOffset>
            </wp:positionV>
            <wp:extent cx="5274310" cy="3076575"/>
            <wp:effectExtent l="0" t="0" r="0" b="0"/>
            <wp:wrapNone/>
            <wp:docPr id="10" name="图片 10"/>
            <wp:cNvGraphicFramePr>
              <a:graphicFrameLocks noChangeAspect="0"/>
            </wp:cNvGraphicFramePr>
            <a:graphic>
              <a:graphicData uri="http://schemas.openxmlformats.org/drawingml/2006/picture">
                <pic:pic>
                  <pic:nvPicPr>
                    <pic:cNvPr id="12" name="图片 12"/>
                    <pic:cNvPicPr/>
                  </pic:nvPicPr>
                  <pic:blipFill>
                    <a:blip r:embed="rId5"/>
                    <a:stretch>
                      <a:fillRect/>
                    </a:stretch>
                  </pic:blipFill>
                  <pic:spPr>
                    <a:xfrm rot="0">
                      <a:off x="0" y="0"/>
                      <a:ext cx="5274310" cy="3076575"/>
                    </a:xfrm>
                    <a:prstGeom prst="rect"/>
                    <a:noFill/>
                    <a:ln w="9525" cmpd="sng" cap="flat">
                      <a:solidFill>
                        <a:srgbClr val="000000"/>
                      </a:solidFill>
                      <a:prstDash val="solid"/>
                      <a:miter/>
                    </a:ln>
                  </pic:spPr>
                </pic:pic>
              </a:graphicData>
            </a:graphic>
          </wp:anchor>
        </w:drawing>
      </w:r>
    </w:p>
    <w:p>
      <w:pPr>
        <w:pStyle w:val="18"/>
        <w:spacing w:line="560" w:lineRule="exact"/>
        <w:ind w:firstLineChars="200" w:firstLine="640"/>
        <w:rPr>
          <w:rFonts w:eastAsia="方正黑体_GBK"/>
          <w:sz w:val="32"/>
          <w:szCs w:val="32"/>
        </w:rPr>
      </w:pPr>
      <w:r>
        <w:rPr>
          <w:rFonts w:eastAsia="方正黑体_GBK" w:hint="eastAsia"/>
          <w:sz w:val="32"/>
          <w:szCs w:val="32"/>
        </w:rPr>
        <w:t>四、关于202</w:t>
      </w:r>
      <w:r>
        <w:rPr>
          <w:rFonts w:eastAsia="方正黑体_GBK"/>
          <w:sz w:val="32"/>
          <w:szCs w:val="32"/>
        </w:rPr>
        <w:t>3</w:t>
      </w:r>
      <w:r>
        <w:rPr>
          <w:rFonts w:eastAsia="方正黑体_GBK" w:hint="eastAsia"/>
          <w:sz w:val="32"/>
          <w:szCs w:val="32"/>
        </w:rPr>
        <w:t>年财政拨款收支预算情况的总体说明</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呼和浩特海关本级20</w:t>
      </w:r>
      <w:r>
        <w:rPr>
          <w:rFonts w:ascii="Times New Roman" w:eastAsia="方正仿宋_GBK" w:hAnsi="Times New Roman"/>
          <w:sz w:val="32"/>
          <w:szCs w:val="32"/>
        </w:rPr>
        <w:t>23</w:t>
      </w:r>
      <w:r>
        <w:rPr>
          <w:rFonts w:ascii="Times New Roman" w:eastAsia="方正仿宋_GBK" w:hAnsi="Times New Roman" w:hint="eastAsia"/>
          <w:sz w:val="32"/>
          <w:szCs w:val="32"/>
        </w:rPr>
        <w:t>年财政拨款收支总预算</w:t>
      </w:r>
      <w:r>
        <w:rPr>
          <w:rFonts w:ascii="Times New Roman" w:eastAsia="方正仿宋_GBK" w:hAnsi="Times New Roman"/>
          <w:sz w:val="32"/>
          <w:szCs w:val="32"/>
        </w:rPr>
        <w:t>12930.93</w:t>
      </w:r>
      <w:r>
        <w:rPr>
          <w:rFonts w:ascii="Times New Roman" w:eastAsia="方正仿宋_GBK" w:hAnsi="Times New Roman" w:hint="eastAsia"/>
          <w:sz w:val="32"/>
          <w:szCs w:val="32"/>
        </w:rPr>
        <w:t>万元。收入全部为一般公共预算拨款，无政府性基金预算拨款和</w:t>
      </w:r>
      <w:r>
        <w:rPr>
          <w:rFonts w:ascii="Times New Roman" w:eastAsia="方正仿宋_GBK" w:hAnsi="Times New Roman"/>
          <w:sz w:val="32"/>
          <w:szCs w:val="32"/>
        </w:rPr>
        <w:t>国有资本经营预算</w:t>
      </w:r>
      <w:r>
        <w:rPr>
          <w:rFonts w:ascii="Times New Roman" w:eastAsia="方正仿宋_GBK" w:hAnsi="Times New Roman" w:hint="eastAsia"/>
          <w:sz w:val="32"/>
          <w:szCs w:val="32"/>
        </w:rPr>
        <w:t>拨款。收入包括：一般公共预算当年财政拨款收入</w:t>
      </w:r>
      <w:r>
        <w:rPr>
          <w:rFonts w:ascii="Times New Roman" w:eastAsia="方正仿宋_GBK" w:hAnsi="Times New Roman"/>
          <w:sz w:val="32"/>
          <w:szCs w:val="32"/>
        </w:rPr>
        <w:t>9822.07</w:t>
      </w:r>
      <w:r>
        <w:rPr>
          <w:rFonts w:ascii="Times New Roman" w:eastAsia="方正仿宋_GBK" w:hAnsi="Times New Roman" w:hint="eastAsia"/>
          <w:sz w:val="32"/>
          <w:szCs w:val="32"/>
        </w:rPr>
        <w:t>万元、上年结转</w:t>
      </w:r>
      <w:r>
        <w:rPr>
          <w:rFonts w:ascii="Times New Roman" w:eastAsia="方正仿宋_GBK" w:hAnsi="Times New Roman"/>
          <w:sz w:val="32"/>
          <w:szCs w:val="32"/>
        </w:rPr>
        <w:t>1487.06</w:t>
      </w:r>
      <w:r>
        <w:rPr>
          <w:rFonts w:ascii="Times New Roman" w:eastAsia="方正仿宋_GBK" w:hAnsi="Times New Roman" w:hint="eastAsia"/>
          <w:sz w:val="32"/>
          <w:szCs w:val="32"/>
        </w:rPr>
        <w:t>万元</w:t>
      </w:r>
      <w:r>
        <w:rPr>
          <w:rFonts w:ascii="Times New Roman" w:eastAsia="方正仿宋_GBK" w:hAnsi="Times New Roman"/>
          <w:sz w:val="32"/>
          <w:szCs w:val="32"/>
        </w:rPr>
        <w:t>和其他收入1621.8万元</w:t>
      </w:r>
      <w:r>
        <w:rPr>
          <w:rFonts w:ascii="Times New Roman" w:eastAsia="方正仿宋_GBK" w:hAnsi="Times New Roman" w:hint="eastAsia"/>
          <w:sz w:val="32"/>
          <w:szCs w:val="32"/>
        </w:rPr>
        <w:t>。支出包括：一般公共服务支出</w:t>
      </w:r>
      <w:r>
        <w:rPr>
          <w:rFonts w:ascii="Times New Roman" w:eastAsia="方正仿宋_GBK" w:hAnsi="Times New Roman"/>
          <w:sz w:val="32"/>
          <w:szCs w:val="32"/>
        </w:rPr>
        <w:t>9898.11</w:t>
      </w:r>
      <w:r>
        <w:rPr>
          <w:rFonts w:ascii="Times New Roman" w:eastAsia="方正仿宋_GBK" w:hAnsi="Times New Roman" w:hint="eastAsia"/>
          <w:sz w:val="32"/>
          <w:szCs w:val="32"/>
        </w:rPr>
        <w:t>万元、公共安全支出</w:t>
      </w:r>
      <w:r>
        <w:rPr>
          <w:rFonts w:ascii="Times New Roman" w:eastAsia="方正仿宋_GBK" w:hAnsi="Times New Roman"/>
          <w:sz w:val="32"/>
          <w:szCs w:val="32"/>
        </w:rPr>
        <w:t>802.91</w:t>
      </w:r>
      <w:r>
        <w:rPr>
          <w:rFonts w:ascii="Times New Roman" w:eastAsia="方正仿宋_GBK" w:hAnsi="Times New Roman" w:hint="eastAsia"/>
          <w:sz w:val="32"/>
          <w:szCs w:val="32"/>
        </w:rPr>
        <w:t>万元、社会保障和就业支出</w:t>
      </w:r>
      <w:r>
        <w:rPr>
          <w:rFonts w:ascii="Times New Roman" w:eastAsia="方正仿宋_GBK" w:hAnsi="Times New Roman"/>
          <w:sz w:val="32"/>
          <w:szCs w:val="32"/>
        </w:rPr>
        <w:t>878.88</w:t>
      </w:r>
      <w:r>
        <w:rPr>
          <w:rFonts w:ascii="Times New Roman" w:eastAsia="方正仿宋_GBK" w:hAnsi="Times New Roman" w:hint="eastAsia"/>
          <w:sz w:val="32"/>
          <w:szCs w:val="32"/>
        </w:rPr>
        <w:t>万元、卫生健康支出</w:t>
      </w:r>
      <w:r>
        <w:rPr>
          <w:rFonts w:ascii="Times New Roman" w:eastAsia="方正仿宋_GBK" w:hAnsi="Times New Roman"/>
          <w:sz w:val="32"/>
          <w:szCs w:val="32"/>
        </w:rPr>
        <w:t>477.76</w:t>
      </w:r>
      <w:r>
        <w:rPr>
          <w:rFonts w:ascii="Times New Roman" w:eastAsia="方正仿宋_GBK" w:hAnsi="Times New Roman" w:hint="eastAsia"/>
          <w:sz w:val="32"/>
          <w:szCs w:val="32"/>
        </w:rPr>
        <w:t>万元、住房保障支出</w:t>
      </w:r>
      <w:r>
        <w:rPr>
          <w:rFonts w:ascii="Times New Roman" w:eastAsia="方正仿宋_GBK" w:hAnsi="Times New Roman"/>
          <w:sz w:val="32"/>
          <w:szCs w:val="32"/>
        </w:rPr>
        <w:t>873.27</w:t>
      </w:r>
      <w:r>
        <w:rPr>
          <w:rFonts w:ascii="Times New Roman" w:eastAsia="方正仿宋_GBK" w:hAnsi="Times New Roman" w:hint="eastAsia"/>
          <w:sz w:val="32"/>
          <w:szCs w:val="32"/>
        </w:rPr>
        <w:t>万元。</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lang w:bidi="mn-Mong-CN"/>
        </w:rPr>
        <w:drawing>
          <wp:anchor distT="0" distB="0" distL="114300" distR="114300" simplePos="0" relativeHeight="18" behindDoc="0" locked="0" layoutInCell="1" hidden="0" allowOverlap="1">
            <wp:simplePos x="0" y="0"/>
            <wp:positionH relativeFrom="column">
              <wp:posOffset>200021</wp:posOffset>
            </wp:positionH>
            <wp:positionV relativeFrom="paragraph">
              <wp:posOffset>67245</wp:posOffset>
            </wp:positionV>
            <wp:extent cx="4867275" cy="2330668"/>
            <wp:effectExtent l="0" t="0" r="0" b="0"/>
            <wp:wrapNone/>
            <wp:docPr id="13" name="图片 13"/>
            <wp:cNvGraphicFramePr>
              <a:graphicFrameLocks noChangeAspect="0"/>
            </wp:cNvGraphicFramePr>
            <a:graphic>
              <a:graphicData uri="http://schemas.openxmlformats.org/drawingml/2006/picture">
                <pic:pic>
                  <pic:nvPicPr>
                    <pic:cNvPr id="15" name="图片 15"/>
                    <pic:cNvPicPr/>
                  </pic:nvPicPr>
                  <pic:blipFill>
                    <a:blip r:embed="rId6"/>
                    <a:stretch>
                      <a:fillRect/>
                    </a:stretch>
                  </pic:blipFill>
                  <pic:spPr>
                    <a:xfrm rot="0">
                      <a:off x="0" y="0"/>
                      <a:ext cx="4867275" cy="2330668"/>
                    </a:xfrm>
                    <a:prstGeom prst="rect"/>
                    <a:noFill/>
                    <a:ln w="9525" cmpd="sng" cap="flat">
                      <a:solidFill>
                        <a:srgbClr val="000000"/>
                      </a:solidFill>
                      <a:prstDash val="solid"/>
                      <a:miter/>
                    </a:ln>
                  </pic:spPr>
                </pic:pic>
              </a:graphicData>
            </a:graphic>
          </wp:anchor>
        </w:drawing>
      </w:r>
    </w:p>
    <w:p>
      <w:pPr>
        <w:spacing w:line="560" w:lineRule="exact"/>
        <w:ind w:firstLineChars="200" w:firstLine="640"/>
        <w:rPr>
          <w:rFonts w:ascii="Times New Roman" w:eastAsia="方正仿宋_GBK" w:hAnsi="Times New Roman"/>
          <w:sz w:val="32"/>
          <w:szCs w:val="32"/>
        </w:rPr>
      </w:pPr>
    </w:p>
    <w:p>
      <w:pPr>
        <w:spacing w:line="560" w:lineRule="exact"/>
        <w:ind w:firstLineChars="200" w:firstLine="640"/>
        <w:rPr>
          <w:rFonts w:ascii="Times New Roman" w:eastAsia="方正仿宋_GBK" w:hAnsi="Times New Roman"/>
          <w:sz w:val="32"/>
          <w:szCs w:val="32"/>
        </w:rPr>
      </w:pPr>
    </w:p>
    <w:p>
      <w:pPr>
        <w:spacing w:line="560" w:lineRule="exact"/>
        <w:ind w:left="0"/>
        <w:rPr>
          <w:rFonts w:ascii="Times New Roman" w:eastAsia="方正黑体_GBK" w:hAnsi="Times New Roman"/>
          <w:sz w:val="32"/>
          <w:szCs w:val="32"/>
        </w:rPr>
      </w:pPr>
    </w:p>
    <w:p>
      <w:pPr>
        <w:spacing w:line="560" w:lineRule="exact"/>
        <w:ind w:firstLineChars="200" w:firstLine="640"/>
        <w:rPr>
          <w:rFonts w:ascii="Times New Roman" w:eastAsia="方正黑体_GBK" w:hAnsi="Times New Roman"/>
          <w:sz w:val="32"/>
          <w:szCs w:val="32"/>
        </w:rPr>
      </w:pPr>
    </w:p>
    <w:p>
      <w:pPr>
        <w:spacing w:line="560" w:lineRule="exact"/>
        <w:ind w:firstLineChars="200" w:firstLine="640"/>
        <w:rPr>
          <w:rFonts w:ascii="Times New Roman" w:eastAsia="方正黑体_GBK" w:hAnsi="Times New Roman"/>
          <w:sz w:val="32"/>
          <w:szCs w:val="32"/>
        </w:rPr>
      </w:pPr>
      <w:r>
        <w:rPr>
          <w:rFonts w:ascii="Times New Roman" w:eastAsia="方正黑体_GBK" w:hAnsi="Times New Roman" w:hint="eastAsia"/>
          <w:sz w:val="32"/>
          <w:szCs w:val="32"/>
        </w:rPr>
        <w:t>五、关于202</w:t>
      </w:r>
      <w:r>
        <w:rPr>
          <w:rFonts w:ascii="Times New Roman" w:eastAsia="方正黑体_GBK" w:hAnsi="Times New Roman"/>
          <w:sz w:val="32"/>
          <w:szCs w:val="32"/>
        </w:rPr>
        <w:t>3</w:t>
      </w:r>
      <w:r>
        <w:rPr>
          <w:rFonts w:ascii="Times New Roman" w:eastAsia="方正黑体_GBK" w:hAnsi="Times New Roman" w:hint="eastAsia"/>
          <w:sz w:val="32"/>
          <w:szCs w:val="32"/>
        </w:rPr>
        <w:t>年一般公共预算当年财政拨款情况说明</w:t>
      </w:r>
    </w:p>
    <w:p>
      <w:pPr>
        <w:spacing w:line="560" w:lineRule="exact"/>
        <w:ind w:firstLineChars="200" w:firstLine="640"/>
        <w:jc w:val="left"/>
        <w:rPr>
          <w:rFonts w:ascii="Times New Roman" w:eastAsia="方正楷体_GBK" w:hAnsi="Times New Roman"/>
          <w:b/>
          <w:bCs/>
          <w:sz w:val="32"/>
          <w:szCs w:val="32"/>
        </w:rPr>
      </w:pPr>
      <w:r>
        <w:rPr>
          <w:rFonts w:ascii="Times New Roman" w:eastAsia="方正楷体_GBK" w:hAnsi="Times New Roman" w:hint="eastAsia"/>
          <w:b/>
          <w:bCs/>
          <w:sz w:val="32"/>
          <w:szCs w:val="32"/>
        </w:rPr>
        <w:t>（一）一般公共预算当年财政拨款规模变化情况。</w:t>
      </w:r>
    </w:p>
    <w:p>
      <w:pPr>
        <w:spacing w:line="560" w:lineRule="exact"/>
        <w:ind w:firstLineChars="200" w:firstLine="640"/>
        <w:rPr>
          <w:rFonts w:ascii="Times New Roman" w:hAnsi="Times New Roman"/>
          <w:szCs w:val="21"/>
        </w:rPr>
      </w:pPr>
      <w:r>
        <w:rPr>
          <w:rFonts w:ascii="Times New Roman" w:eastAsia="方正仿宋_GBK" w:hAnsi="Times New Roman" w:hint="eastAsia"/>
          <w:sz w:val="32"/>
          <w:szCs w:val="32"/>
        </w:rPr>
        <w:t>呼和浩特海关</w:t>
      </w:r>
      <w:r>
        <w:rPr>
          <w:rFonts w:ascii="Times New Roman" w:eastAsia="方正仿宋_GBK" w:hAnsi="Times New Roman"/>
          <w:sz w:val="32"/>
          <w:szCs w:val="32"/>
        </w:rPr>
        <w:t>本级</w:t>
      </w:r>
      <w:r>
        <w:rPr>
          <w:rFonts w:ascii="Times New Roman" w:eastAsia="方正仿宋_GBK" w:hAnsi="Times New Roman" w:hint="eastAsia"/>
          <w:sz w:val="32"/>
          <w:szCs w:val="32"/>
        </w:rPr>
        <w:t>202</w:t>
      </w:r>
      <w:r>
        <w:rPr>
          <w:rFonts w:ascii="Times New Roman" w:eastAsia="方正仿宋_GBK" w:hAnsi="Times New Roman"/>
          <w:sz w:val="32"/>
          <w:szCs w:val="32"/>
        </w:rPr>
        <w:t>3</w:t>
      </w:r>
      <w:r>
        <w:rPr>
          <w:rFonts w:ascii="Times New Roman" w:eastAsia="方正仿宋_GBK" w:hAnsi="Times New Roman" w:hint="eastAsia"/>
          <w:sz w:val="32"/>
          <w:szCs w:val="32"/>
        </w:rPr>
        <w:t>年一般公共预算当年财政拨款预算</w:t>
      </w:r>
      <w:r>
        <w:rPr>
          <w:rFonts w:ascii="Times New Roman" w:eastAsia="方正仿宋_GBK" w:hAnsi="Times New Roman"/>
          <w:sz w:val="32"/>
          <w:szCs w:val="32"/>
        </w:rPr>
        <w:t>9822.07</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w:t>
      </w:r>
      <w:r>
        <w:rPr>
          <w:rFonts w:ascii="Times New Roman" w:eastAsia="方正仿宋_GBK" w:hAnsi="Times New Roman"/>
          <w:sz w:val="32"/>
          <w:szCs w:val="32"/>
        </w:rPr>
        <w:t>增加988.15</w:t>
      </w:r>
      <w:r>
        <w:rPr>
          <w:rFonts w:ascii="Times New Roman" w:eastAsia="方正仿宋_GBK" w:hAnsi="Times New Roman" w:hint="eastAsia"/>
          <w:sz w:val="32"/>
          <w:szCs w:val="32"/>
        </w:rPr>
        <w:t>万元，</w:t>
      </w:r>
      <w:r>
        <w:rPr>
          <w:rFonts w:ascii="Times New Roman" w:eastAsia="方正仿宋_GBK" w:hAnsi="Times New Roman"/>
          <w:sz w:val="32"/>
          <w:szCs w:val="32"/>
        </w:rPr>
        <w:t>增幅11.19</w:t>
      </w:r>
      <w:r>
        <w:rPr>
          <w:rFonts w:ascii="Times New Roman" w:eastAsia="方正仿宋_GBK" w:hAnsi="Times New Roman" w:hint="eastAsia"/>
          <w:sz w:val="32"/>
          <w:szCs w:val="32"/>
        </w:rPr>
        <w:t>%。202</w:t>
      </w:r>
      <w:r>
        <w:rPr>
          <w:rFonts w:ascii="Times New Roman" w:eastAsia="方正仿宋_GBK" w:hAnsi="Times New Roman"/>
          <w:sz w:val="32"/>
          <w:szCs w:val="32"/>
        </w:rPr>
        <w:t>3</w:t>
      </w:r>
      <w:r>
        <w:rPr>
          <w:rFonts w:ascii="Times New Roman" w:eastAsia="方正仿宋_GBK" w:hAnsi="Times New Roman" w:hint="eastAsia"/>
          <w:sz w:val="32"/>
          <w:szCs w:val="32"/>
        </w:rPr>
        <w:t>年，</w:t>
      </w:r>
      <w:r>
        <w:rPr>
          <w:rFonts w:ascii="Times New Roman" w:eastAsia="方正仿宋_GBK" w:hAnsi="Times New Roman"/>
          <w:sz w:val="32"/>
          <w:szCs w:val="32"/>
        </w:rPr>
        <w:t>呼和浩特海关本级将继续深入贯彻落实</w:t>
      </w:r>
      <w:r>
        <w:rPr>
          <w:rFonts w:ascii="Times New Roman" w:eastAsia="方正仿宋_GBK" w:hAnsi="Times New Roman" w:hint="eastAsia"/>
          <w:sz w:val="32"/>
          <w:szCs w:val="32"/>
        </w:rPr>
        <w:t>党中央、国务院关于过紧日子的有关要求，全面加强</w:t>
      </w:r>
      <w:r>
        <w:rPr>
          <w:rFonts w:ascii="Times New Roman" w:eastAsia="方正仿宋_GBK" w:hAnsi="Times New Roman"/>
          <w:sz w:val="32"/>
          <w:szCs w:val="32"/>
        </w:rPr>
        <w:t>各类资源统筹，优化支出结构，坚持钱要花到要</w:t>
      </w:r>
      <w:r>
        <w:rPr>
          <w:rFonts w:ascii="Times New Roman" w:eastAsia="方正仿宋_GBK" w:hAnsi="Times New Roman" w:hint="eastAsia"/>
          <w:sz w:val="32"/>
          <w:szCs w:val="32"/>
        </w:rPr>
        <w:t>处</w:t>
      </w:r>
      <w:r>
        <w:rPr>
          <w:rFonts w:ascii="Times New Roman" w:eastAsia="方正仿宋_GBK" w:hAnsi="Times New Roman"/>
          <w:sz w:val="32"/>
          <w:szCs w:val="32"/>
        </w:rPr>
        <w:t>，坚持优先保障民生、</w:t>
      </w:r>
      <w:r>
        <w:rPr>
          <w:rFonts w:ascii="Times New Roman" w:eastAsia="方正仿宋_GBK" w:hAnsi="Times New Roman" w:hint="eastAsia"/>
          <w:sz w:val="32"/>
          <w:szCs w:val="32"/>
        </w:rPr>
        <w:t>重点保障刚性运转</w:t>
      </w:r>
      <w:r>
        <w:rPr>
          <w:rFonts w:ascii="Times New Roman" w:eastAsia="方正仿宋_GBK" w:hAnsi="Times New Roman"/>
          <w:sz w:val="32"/>
          <w:szCs w:val="32"/>
        </w:rPr>
        <w:t>，精准保障海关改革发展。</w:t>
      </w:r>
      <w:r>
        <w:rPr>
          <w:rFonts w:ascii="Times New Roman" w:eastAsia="方正仿宋_GBK" w:hAnsi="Times New Roman" w:hint="eastAsia"/>
          <w:sz w:val="32"/>
          <w:szCs w:val="32"/>
        </w:rPr>
        <w:t>大力压减</w:t>
      </w:r>
      <w:r>
        <w:rPr>
          <w:rFonts w:ascii="Times New Roman" w:eastAsia="方正仿宋_GBK" w:hAnsi="Times New Roman"/>
          <w:sz w:val="32"/>
          <w:szCs w:val="32"/>
        </w:rPr>
        <w:t>一般性支出，</w:t>
      </w:r>
      <w:r>
        <w:rPr>
          <w:rFonts w:ascii="Times New Roman" w:eastAsia="方正仿宋_GBK" w:hAnsi="Times New Roman" w:hint="eastAsia"/>
          <w:sz w:val="32"/>
          <w:szCs w:val="32"/>
        </w:rPr>
        <w:t>重点压减非急需非刚性支出，同时合理保障了海关关务、检验检疫、缉私警察等必要支出需求，体现在有关支出科目中。</w:t>
      </w:r>
    </w:p>
    <w:p>
      <w:pPr>
        <w:spacing w:line="560" w:lineRule="exact"/>
        <w:ind w:firstLineChars="200" w:firstLine="640"/>
        <w:jc w:val="left"/>
        <w:rPr>
          <w:rFonts w:ascii="Times New Roman" w:eastAsia="方正楷体_GBK" w:hAnsi="Times New Roman"/>
          <w:b/>
          <w:bCs/>
          <w:sz w:val="32"/>
          <w:szCs w:val="32"/>
        </w:rPr>
      </w:pPr>
      <w:r>
        <w:rPr>
          <w:rFonts w:ascii="Times New Roman" w:eastAsia="方正楷体_GBK" w:hAnsi="Times New Roman" w:hint="eastAsia"/>
          <w:b/>
          <w:bCs/>
          <w:sz w:val="32"/>
          <w:szCs w:val="32"/>
        </w:rPr>
        <w:t>（二）一般公共预算当年财政拨款结构情况。</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202</w:t>
      </w:r>
      <w:r>
        <w:rPr>
          <w:rFonts w:ascii="Times New Roman" w:eastAsia="方正仿宋_GBK" w:hAnsi="Times New Roman"/>
          <w:sz w:val="32"/>
          <w:szCs w:val="32"/>
        </w:rPr>
        <w:t>3</w:t>
      </w:r>
      <w:r>
        <w:rPr>
          <w:rFonts w:ascii="Times New Roman" w:eastAsia="方正仿宋_GBK" w:hAnsi="Times New Roman" w:hint="eastAsia"/>
          <w:sz w:val="32"/>
          <w:szCs w:val="32"/>
        </w:rPr>
        <w:t>年部门预算中，一般公共预算当年财政拨款用于以下方面：一般公共服务（类）支出</w:t>
      </w:r>
      <w:r>
        <w:rPr>
          <w:rFonts w:ascii="Times New Roman" w:eastAsia="方正仿宋_GBK" w:hAnsi="Times New Roman"/>
          <w:sz w:val="32"/>
          <w:szCs w:val="32"/>
        </w:rPr>
        <w:t>6840.81</w:t>
      </w:r>
      <w:r>
        <w:rPr>
          <w:rFonts w:ascii="Times New Roman" w:eastAsia="方正仿宋_GBK" w:hAnsi="Times New Roman" w:hint="eastAsia"/>
          <w:sz w:val="32"/>
          <w:szCs w:val="32"/>
        </w:rPr>
        <w:t>万元，占</w:t>
      </w:r>
      <w:r>
        <w:rPr>
          <w:rFonts w:ascii="Times New Roman" w:eastAsia="方正仿宋_GBK" w:hAnsi="Times New Roman"/>
          <w:sz w:val="32"/>
          <w:szCs w:val="32"/>
        </w:rPr>
        <w:t>69.65</w:t>
      </w:r>
      <w:r>
        <w:rPr>
          <w:rFonts w:ascii="Times New Roman" w:eastAsia="方正仿宋_GBK" w:hAnsi="Times New Roman" w:hint="eastAsia"/>
          <w:sz w:val="32"/>
          <w:szCs w:val="32"/>
        </w:rPr>
        <w:t>%；公共安全（类）支出</w:t>
      </w:r>
      <w:r>
        <w:rPr>
          <w:rFonts w:ascii="Times New Roman" w:eastAsia="方正仿宋_GBK" w:hAnsi="Times New Roman"/>
          <w:sz w:val="32"/>
          <w:szCs w:val="32"/>
        </w:rPr>
        <w:t>802.03</w:t>
      </w:r>
      <w:r>
        <w:rPr>
          <w:rFonts w:ascii="Times New Roman" w:eastAsia="方正仿宋_GBK" w:hAnsi="Times New Roman" w:hint="eastAsia"/>
          <w:sz w:val="32"/>
          <w:szCs w:val="32"/>
        </w:rPr>
        <w:t>万元，占</w:t>
      </w:r>
      <w:r>
        <w:rPr>
          <w:rFonts w:ascii="Times New Roman" w:eastAsia="方正仿宋_GBK" w:hAnsi="Times New Roman"/>
          <w:sz w:val="32"/>
          <w:szCs w:val="32"/>
        </w:rPr>
        <w:t>8.17</w:t>
      </w:r>
      <w:r>
        <w:rPr>
          <w:rFonts w:ascii="Times New Roman" w:eastAsia="方正仿宋_GBK" w:hAnsi="Times New Roman" w:hint="eastAsia"/>
          <w:sz w:val="32"/>
          <w:szCs w:val="32"/>
        </w:rPr>
        <w:t>%；社会保障和就业（类）支出</w:t>
      </w:r>
      <w:r>
        <w:rPr>
          <w:rFonts w:ascii="Times New Roman" w:eastAsia="方正仿宋_GBK" w:hAnsi="Times New Roman"/>
          <w:sz w:val="32"/>
          <w:szCs w:val="32"/>
        </w:rPr>
        <w:t>853.19</w:t>
      </w:r>
      <w:r>
        <w:rPr>
          <w:rFonts w:ascii="Times New Roman" w:eastAsia="方正仿宋_GBK" w:hAnsi="Times New Roman" w:hint="eastAsia"/>
          <w:sz w:val="32"/>
          <w:szCs w:val="32"/>
        </w:rPr>
        <w:t>万元，占</w:t>
      </w:r>
      <w:r>
        <w:rPr>
          <w:rFonts w:ascii="Times New Roman" w:eastAsia="方正仿宋_GBK" w:hAnsi="Times New Roman"/>
          <w:sz w:val="32"/>
          <w:szCs w:val="32"/>
        </w:rPr>
        <w:t>8.69</w:t>
      </w:r>
      <w:r>
        <w:rPr>
          <w:rFonts w:ascii="Times New Roman" w:eastAsia="方正仿宋_GBK" w:hAnsi="Times New Roman" w:hint="eastAsia"/>
          <w:sz w:val="32"/>
          <w:szCs w:val="32"/>
        </w:rPr>
        <w:t>%；卫生健康（类）支出</w:t>
      </w:r>
      <w:r>
        <w:rPr>
          <w:rFonts w:ascii="Times New Roman" w:eastAsia="方正仿宋_GBK" w:hAnsi="Times New Roman"/>
          <w:sz w:val="32"/>
          <w:szCs w:val="32"/>
        </w:rPr>
        <w:t>477.76</w:t>
      </w:r>
      <w:r>
        <w:rPr>
          <w:rFonts w:ascii="Times New Roman" w:eastAsia="方正仿宋_GBK" w:hAnsi="Times New Roman" w:hint="eastAsia"/>
          <w:sz w:val="32"/>
          <w:szCs w:val="32"/>
        </w:rPr>
        <w:t>万元，占</w:t>
      </w:r>
      <w:r>
        <w:rPr>
          <w:rFonts w:ascii="Times New Roman" w:eastAsia="方正仿宋_GBK" w:hAnsi="Times New Roman"/>
          <w:sz w:val="32"/>
          <w:szCs w:val="32"/>
        </w:rPr>
        <w:t>4.86</w:t>
      </w:r>
      <w:r>
        <w:rPr>
          <w:rFonts w:ascii="Times New Roman" w:eastAsia="方正仿宋_GBK" w:hAnsi="Times New Roman" w:hint="eastAsia"/>
          <w:sz w:val="32"/>
          <w:szCs w:val="32"/>
        </w:rPr>
        <w:t>%；住房保障（类）支出</w:t>
      </w:r>
      <w:r>
        <w:rPr>
          <w:rFonts w:ascii="Times New Roman" w:eastAsia="方正仿宋_GBK" w:hAnsi="Times New Roman"/>
          <w:sz w:val="32"/>
          <w:szCs w:val="32"/>
        </w:rPr>
        <w:t>848.28</w:t>
      </w:r>
      <w:r>
        <w:rPr>
          <w:rFonts w:ascii="Times New Roman" w:eastAsia="方正仿宋_GBK" w:hAnsi="Times New Roman" w:hint="eastAsia"/>
          <w:sz w:val="32"/>
          <w:szCs w:val="32"/>
        </w:rPr>
        <w:t>万元，占8.6</w:t>
      </w:r>
      <w:r>
        <w:rPr>
          <w:rFonts w:ascii="Times New Roman" w:eastAsia="方正仿宋_GBK" w:hAnsi="Times New Roman"/>
          <w:sz w:val="32"/>
          <w:szCs w:val="32"/>
        </w:rPr>
        <w:t>3</w:t>
      </w:r>
      <w:r>
        <w:rPr>
          <w:rFonts w:ascii="Times New Roman" w:eastAsia="方正仿宋_GBK" w:hAnsi="Times New Roman" w:hint="eastAsia"/>
          <w:sz w:val="32"/>
          <w:szCs w:val="32"/>
        </w:rPr>
        <w:t>%。</w:t>
      </w:r>
    </w:p>
    <w:p>
      <w:pPr>
        <w:spacing w:line="560" w:lineRule="exact"/>
        <w:rPr>
          <w:rFonts w:ascii="Times New Roman" w:eastAsia="方正仿宋_GBK" w:hAnsi="Times New Roman"/>
          <w:sz w:val="32"/>
          <w:szCs w:val="32"/>
        </w:rPr>
      </w:pPr>
      <w:r>
        <w:rPr>
          <w:rFonts w:ascii="Times New Roman" w:eastAsia="方正仿宋_GBK" w:hAnsi="Times New Roman" w:hint="eastAsia"/>
          <w:sz w:val="32"/>
          <w:szCs w:val="32"/>
          <w:lang w:bidi="mn-Mong-CN"/>
        </w:rPr>
        <w:drawing>
          <wp:anchor distT="0" distB="0" distL="114300" distR="114300" simplePos="0" relativeHeight="19" behindDoc="0" locked="0" layoutInCell="1" hidden="0" allowOverlap="1">
            <wp:simplePos x="0" y="0"/>
            <wp:positionH relativeFrom="column">
              <wp:posOffset>23335</wp:posOffset>
            </wp:positionH>
            <wp:positionV relativeFrom="paragraph">
              <wp:posOffset>53719</wp:posOffset>
            </wp:positionV>
            <wp:extent cx="5273232" cy="2751827"/>
            <wp:effectExtent l="0" t="0" r="0" b="0"/>
            <wp:wrapNone/>
            <wp:docPr id="16" name="图片 16"/>
            <wp:cNvGraphicFramePr>
              <a:graphicFrameLocks noChangeAspect="0"/>
            </wp:cNvGraphicFramePr>
            <a:graphic>
              <a:graphicData uri="http://schemas.openxmlformats.org/drawingml/2006/picture">
                <pic:pic>
                  <pic:nvPicPr>
                    <pic:cNvPr id="18" name="图片 18"/>
                    <pic:cNvPicPr/>
                  </pic:nvPicPr>
                  <pic:blipFill>
                    <a:blip r:embed="rId7"/>
                    <a:stretch>
                      <a:fillRect/>
                    </a:stretch>
                  </pic:blipFill>
                  <pic:spPr>
                    <a:xfrm rot="0">
                      <a:off x="0" y="0"/>
                      <a:ext cx="5273232" cy="2751827"/>
                    </a:xfrm>
                    <a:prstGeom prst="rect"/>
                    <a:noFill/>
                    <a:ln w="9525" cmpd="sng" cap="flat">
                      <a:solidFill>
                        <a:srgbClr val="000000"/>
                      </a:solidFill>
                      <a:prstDash val="solid"/>
                      <a:miter/>
                    </a:ln>
                  </pic:spPr>
                </pic:pic>
              </a:graphicData>
            </a:graphic>
          </wp:anchor>
        </w:drawing>
      </w:r>
    </w:p>
    <w:p>
      <w:pPr>
        <w:spacing w:line="560" w:lineRule="exact"/>
        <w:rPr>
          <w:rFonts w:ascii="Times New Roman" w:eastAsia="方正仿宋_GBK" w:hAnsi="Times New Roman"/>
          <w:sz w:val="32"/>
          <w:szCs w:val="32"/>
        </w:rPr>
      </w:pPr>
    </w:p>
    <w:p>
      <w:pPr>
        <w:spacing w:line="560" w:lineRule="exact"/>
        <w:rPr>
          <w:rFonts w:ascii="Times New Roman" w:eastAsia="方正仿宋_GBK" w:hAnsi="Times New Roman"/>
          <w:sz w:val="32"/>
          <w:szCs w:val="32"/>
        </w:rPr>
      </w:pPr>
    </w:p>
    <w:p>
      <w:pPr>
        <w:spacing w:line="560" w:lineRule="exact"/>
        <w:rPr>
          <w:rFonts w:ascii="Times New Roman" w:eastAsia="方正仿宋_GBK" w:hAnsi="Times New Roman"/>
          <w:sz w:val="32"/>
          <w:szCs w:val="32"/>
        </w:rPr>
      </w:pPr>
    </w:p>
    <w:p>
      <w:pPr>
        <w:spacing w:line="560" w:lineRule="exact"/>
        <w:rPr>
          <w:rFonts w:ascii="Times New Roman" w:eastAsia="方正仿宋_GBK" w:hAnsi="Times New Roman"/>
          <w:sz w:val="32"/>
          <w:szCs w:val="32"/>
        </w:rPr>
      </w:pPr>
    </w:p>
    <w:p>
      <w:pPr>
        <w:spacing w:line="560" w:lineRule="exact"/>
        <w:rPr>
          <w:rFonts w:ascii="Times New Roman" w:eastAsia="方正仿宋_GBK" w:hAnsi="Times New Roman"/>
          <w:sz w:val="32"/>
          <w:szCs w:val="32"/>
        </w:rPr>
      </w:pPr>
    </w:p>
    <w:p>
      <w:pPr>
        <w:spacing w:line="560" w:lineRule="exact"/>
        <w:ind w:firstLineChars="200" w:firstLine="640"/>
        <w:rPr>
          <w:rFonts w:ascii="Times New Roman" w:eastAsia="方正楷体_GBK" w:hAnsi="Times New Roman"/>
          <w:b/>
          <w:bCs/>
          <w:sz w:val="32"/>
          <w:szCs w:val="32"/>
        </w:rPr>
      </w:pPr>
    </w:p>
    <w:p>
      <w:pPr>
        <w:spacing w:line="560" w:lineRule="exact"/>
        <w:ind w:firstLineChars="200" w:firstLine="640"/>
        <w:rPr>
          <w:rFonts w:ascii="Times New Roman" w:eastAsia="方正楷体_GBK" w:hAnsi="Times New Roman"/>
          <w:b/>
          <w:bCs/>
          <w:sz w:val="32"/>
          <w:szCs w:val="32"/>
        </w:rPr>
      </w:pPr>
      <w:r>
        <w:rPr>
          <w:rFonts w:ascii="Times New Roman" w:eastAsia="方正楷体_GBK" w:hAnsi="Times New Roman" w:hint="eastAsia"/>
          <w:b/>
          <w:bCs/>
          <w:sz w:val="32"/>
          <w:szCs w:val="32"/>
        </w:rPr>
        <w:t>（三）一般公共预算当年财政拨款具体使用情况。</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1．一般公共服务支出（类）海关事务（款）202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6840.81</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w:t>
      </w:r>
      <w:r>
        <w:rPr>
          <w:rFonts w:ascii="Times New Roman" w:eastAsia="方正仿宋_GBK" w:hAnsi="Times New Roman"/>
          <w:sz w:val="32"/>
          <w:szCs w:val="32"/>
        </w:rPr>
        <w:t>增加802.48</w:t>
      </w:r>
      <w:r>
        <w:rPr>
          <w:rFonts w:ascii="Times New Roman" w:eastAsia="方正仿宋_GBK" w:hAnsi="Times New Roman" w:hint="eastAsia"/>
          <w:sz w:val="32"/>
          <w:szCs w:val="32"/>
        </w:rPr>
        <w:t>万元，</w:t>
      </w:r>
      <w:r>
        <w:rPr>
          <w:rFonts w:ascii="Times New Roman" w:eastAsia="方正仿宋_GBK" w:hAnsi="Times New Roman"/>
          <w:sz w:val="32"/>
          <w:szCs w:val="32"/>
        </w:rPr>
        <w:t>增长13.29</w:t>
      </w:r>
      <w:r>
        <w:rPr>
          <w:rFonts w:ascii="Times New Roman" w:eastAsia="方正仿宋_GBK" w:hAnsi="Times New Roman" w:hint="eastAsia"/>
          <w:sz w:val="32"/>
          <w:szCs w:val="32"/>
        </w:rPr>
        <w:t>%，其中：</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（1）行政运行（项）202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5282.78</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年执行数减少</w:t>
      </w:r>
      <w:r>
        <w:rPr>
          <w:rFonts w:ascii="Times New Roman" w:eastAsia="方正仿宋_GBK" w:hAnsi="Times New Roman"/>
          <w:sz w:val="32"/>
          <w:szCs w:val="32"/>
        </w:rPr>
        <w:t>755.55</w:t>
      </w:r>
      <w:r>
        <w:rPr>
          <w:rFonts w:ascii="Times New Roman" w:eastAsia="方正仿宋_GBK" w:hAnsi="Times New Roman" w:hint="eastAsia"/>
          <w:sz w:val="32"/>
          <w:szCs w:val="32"/>
        </w:rPr>
        <w:t>万元，下降</w:t>
      </w:r>
      <w:r>
        <w:rPr>
          <w:rFonts w:ascii="Times New Roman" w:eastAsia="方正仿宋_GBK" w:hAnsi="Times New Roman"/>
          <w:sz w:val="32"/>
          <w:szCs w:val="32"/>
        </w:rPr>
        <w:t>12.51</w:t>
      </w:r>
      <w:r>
        <w:rPr>
          <w:rFonts w:ascii="Times New Roman" w:eastAsia="方正仿宋_GBK" w:hAnsi="Times New Roman" w:hint="eastAsia"/>
          <w:sz w:val="32"/>
          <w:szCs w:val="32"/>
        </w:rPr>
        <w:t>%。主要是落实过紧日子要求，压减相关经费。</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（2）一般行政管理事务（项）202</w:t>
      </w:r>
      <w:r>
        <w:rPr>
          <w:rFonts w:ascii="Times New Roman" w:eastAsia="方正仿宋_GBK" w:hAnsi="Times New Roman"/>
          <w:sz w:val="32"/>
          <w:szCs w:val="32"/>
        </w:rPr>
        <w:t>3</w:t>
      </w:r>
      <w:r>
        <w:rPr>
          <w:rFonts w:ascii="Times New Roman" w:eastAsia="方正仿宋_GBK" w:hAnsi="Times New Roman" w:hint="eastAsia"/>
          <w:sz w:val="32"/>
          <w:szCs w:val="32"/>
        </w:rPr>
        <w:t>年预算5.00万元，比202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w:t>
      </w:r>
      <w:r>
        <w:rPr>
          <w:rFonts w:ascii="Times New Roman" w:eastAsia="方正仿宋_GBK" w:hAnsi="Times New Roman"/>
          <w:sz w:val="32"/>
          <w:szCs w:val="32"/>
        </w:rPr>
        <w:t>增加3</w:t>
      </w:r>
      <w:r>
        <w:rPr>
          <w:rFonts w:ascii="Times New Roman" w:eastAsia="方正仿宋_GBK" w:hAnsi="Times New Roman" w:hint="eastAsia"/>
          <w:sz w:val="32"/>
          <w:szCs w:val="32"/>
        </w:rPr>
        <w:t>万元，</w:t>
      </w:r>
      <w:r>
        <w:rPr>
          <w:rFonts w:ascii="Times New Roman" w:eastAsia="方正仿宋_GBK" w:hAnsi="Times New Roman"/>
          <w:sz w:val="32"/>
          <w:szCs w:val="32"/>
        </w:rPr>
        <w:t>增长150</w:t>
      </w:r>
      <w:r>
        <w:rPr>
          <w:rFonts w:ascii="Times New Roman" w:eastAsia="方正仿宋_GBK" w:hAnsi="Times New Roman" w:hint="eastAsia"/>
          <w:sz w:val="32"/>
          <w:szCs w:val="32"/>
        </w:rPr>
        <w:t>%。</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（3）缉私办案（项）202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8</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年执行数增加5万元，增长</w:t>
      </w:r>
      <w:r>
        <w:rPr>
          <w:rFonts w:ascii="Times New Roman" w:eastAsia="方正仿宋_GBK" w:hAnsi="Times New Roman"/>
          <w:sz w:val="32"/>
          <w:szCs w:val="32"/>
        </w:rPr>
        <w:t>166.67</w:t>
      </w:r>
      <w:r>
        <w:rPr>
          <w:rFonts w:ascii="Times New Roman" w:eastAsia="方正仿宋_GBK" w:hAnsi="Times New Roman" w:hint="eastAsia"/>
          <w:sz w:val="32"/>
          <w:szCs w:val="32"/>
        </w:rPr>
        <w:t>%，主要是缉私办案支出增加。</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4</w:t>
      </w:r>
      <w:r>
        <w:rPr>
          <w:rFonts w:ascii="Times New Roman" w:eastAsia="方正仿宋_GBK" w:hAnsi="Times New Roman" w:hint="eastAsia"/>
          <w:sz w:val="32"/>
          <w:szCs w:val="32"/>
        </w:rPr>
        <w:t>）口岸管理（项）202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39.2</w:t>
      </w:r>
      <w:r>
        <w:rPr>
          <w:rFonts w:ascii="Times New Roman" w:eastAsia="方正仿宋_GBK" w:hAnsi="Times New Roman" w:hint="eastAsia"/>
          <w:sz w:val="32"/>
          <w:szCs w:val="32"/>
        </w:rPr>
        <w:t>0万元，比202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年执行数减少7.00万元，下降</w:t>
      </w:r>
      <w:r>
        <w:rPr>
          <w:rFonts w:ascii="Times New Roman" w:eastAsia="方正仿宋_GBK" w:hAnsi="Times New Roman"/>
          <w:sz w:val="32"/>
          <w:szCs w:val="32"/>
        </w:rPr>
        <w:t>1</w:t>
      </w:r>
      <w:r>
        <w:rPr>
          <w:rFonts w:ascii="Times New Roman" w:eastAsia="方正仿宋_GBK" w:hAnsi="Times New Roman" w:hint="eastAsia"/>
          <w:sz w:val="32"/>
          <w:szCs w:val="32"/>
        </w:rPr>
        <w:t>5</w:t>
      </w:r>
      <w:r>
        <w:rPr>
          <w:rFonts w:ascii="Times New Roman" w:eastAsia="方正仿宋_GBK" w:hAnsi="Times New Roman"/>
          <w:sz w:val="32"/>
          <w:szCs w:val="32"/>
        </w:rPr>
        <w:t>.1</w:t>
      </w:r>
      <w:r>
        <w:rPr>
          <w:rFonts w:ascii="Times New Roman" w:eastAsia="方正仿宋_GBK" w:hAnsi="Times New Roman" w:hint="eastAsia"/>
          <w:sz w:val="32"/>
          <w:szCs w:val="32"/>
        </w:rPr>
        <w:t>5%。主要是口岸管理支出减少。</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5</w:t>
      </w:r>
      <w:r>
        <w:rPr>
          <w:rFonts w:ascii="Times New Roman" w:eastAsia="方正仿宋_GBK" w:hAnsi="Times New Roman" w:hint="eastAsia"/>
          <w:sz w:val="32"/>
          <w:szCs w:val="32"/>
        </w:rPr>
        <w:t>）信息化建设（项）202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375.5</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年执行数增加</w:t>
      </w:r>
      <w:r>
        <w:rPr>
          <w:rFonts w:ascii="Times New Roman" w:eastAsia="方正仿宋_GBK" w:hAnsi="Times New Roman"/>
          <w:sz w:val="32"/>
          <w:szCs w:val="32"/>
        </w:rPr>
        <w:t>46.50</w:t>
      </w:r>
      <w:r>
        <w:rPr>
          <w:rFonts w:ascii="Times New Roman" w:eastAsia="方正仿宋_GBK" w:hAnsi="Times New Roman" w:hint="eastAsia"/>
          <w:sz w:val="32"/>
          <w:szCs w:val="32"/>
        </w:rPr>
        <w:t>万元，增长</w:t>
      </w:r>
      <w:r>
        <w:rPr>
          <w:rFonts w:ascii="Times New Roman" w:eastAsia="方正仿宋_GBK" w:hAnsi="Times New Roman"/>
          <w:sz w:val="32"/>
          <w:szCs w:val="32"/>
        </w:rPr>
        <w:t>14.13</w:t>
      </w:r>
      <w:r>
        <w:rPr>
          <w:rFonts w:ascii="Times New Roman" w:eastAsia="方正仿宋_GBK" w:hAnsi="Times New Roman" w:hint="eastAsia"/>
          <w:sz w:val="32"/>
          <w:szCs w:val="32"/>
        </w:rPr>
        <w:t>%。主要是信息化建设支出增加。</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6</w:t>
      </w:r>
      <w:r>
        <w:rPr>
          <w:rFonts w:ascii="Times New Roman" w:eastAsia="方正仿宋_GBK" w:hAnsi="Times New Roman" w:hint="eastAsia"/>
          <w:sz w:val="32"/>
          <w:szCs w:val="32"/>
        </w:rPr>
        <w:t>）海关关务（项）202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954</w:t>
      </w:r>
      <w:r>
        <w:rPr>
          <w:rFonts w:ascii="Times New Roman" w:eastAsia="方正仿宋_GBK" w:hAnsi="Times New Roman" w:hint="eastAsia"/>
          <w:sz w:val="32"/>
          <w:szCs w:val="32"/>
        </w:rPr>
        <w:t>.</w:t>
      </w:r>
      <w:r>
        <w:rPr>
          <w:rFonts w:ascii="Times New Roman" w:eastAsia="方正仿宋_GBK" w:hAnsi="Times New Roman"/>
          <w:sz w:val="32"/>
          <w:szCs w:val="32"/>
        </w:rPr>
        <w:t>3</w:t>
      </w:r>
      <w:r>
        <w:rPr>
          <w:rFonts w:ascii="Times New Roman" w:eastAsia="方正仿宋_GBK" w:hAnsi="Times New Roman" w:hint="eastAsia"/>
          <w:sz w:val="32"/>
          <w:szCs w:val="32"/>
        </w:rPr>
        <w:t>0万元，比202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w:t>
      </w:r>
      <w:r>
        <w:rPr>
          <w:rFonts w:ascii="Times New Roman" w:eastAsia="方正仿宋_GBK" w:hAnsi="Times New Roman"/>
          <w:sz w:val="32"/>
          <w:szCs w:val="32"/>
        </w:rPr>
        <w:t>减少15.11</w:t>
      </w:r>
      <w:r>
        <w:rPr>
          <w:rFonts w:ascii="Times New Roman" w:eastAsia="方正仿宋_GBK" w:hAnsi="Times New Roman" w:hint="eastAsia"/>
          <w:sz w:val="32"/>
          <w:szCs w:val="32"/>
        </w:rPr>
        <w:t>万元，</w:t>
      </w:r>
      <w:r>
        <w:rPr>
          <w:rFonts w:ascii="Times New Roman" w:eastAsia="方正仿宋_GBK" w:hAnsi="Times New Roman"/>
          <w:sz w:val="32"/>
          <w:szCs w:val="32"/>
        </w:rPr>
        <w:t>减少1.56</w:t>
      </w:r>
      <w:r>
        <w:rPr>
          <w:rFonts w:ascii="Times New Roman" w:eastAsia="方正仿宋_GBK" w:hAnsi="Times New Roman" w:hint="eastAsia"/>
          <w:sz w:val="32"/>
          <w:szCs w:val="32"/>
        </w:rPr>
        <w:t>%。主要是海关业务保障支出</w:t>
      </w:r>
      <w:r>
        <w:rPr>
          <w:rFonts w:ascii="Times New Roman" w:eastAsia="方正仿宋_GBK" w:hAnsi="Times New Roman"/>
          <w:sz w:val="32"/>
          <w:szCs w:val="32"/>
        </w:rPr>
        <w:t>减少</w:t>
      </w:r>
      <w:r>
        <w:rPr>
          <w:rFonts w:ascii="Times New Roman" w:eastAsia="方正仿宋_GBK" w:hAnsi="Times New Roman" w:hint="eastAsia"/>
          <w:sz w:val="32"/>
          <w:szCs w:val="32"/>
        </w:rPr>
        <w:t>。</w:t>
      </w:r>
    </w:p>
    <w:p>
      <w:pPr>
        <w:spacing w:line="560" w:lineRule="exact"/>
        <w:ind w:firstLineChars="200" w:firstLine="640"/>
        <w:rPr>
          <w:rFonts w:ascii="Times New Roman" w:eastAsia="方正仿宋_GBK" w:hAnsi="Times New Roman"/>
          <w:sz w:val="32"/>
          <w:szCs w:val="32"/>
        </w:rPr>
      </w:pPr>
      <w:r>
        <w:rPr>
          <w:rFonts w:ascii="Times New Roman" w:hAnsi="Times New Roman" w:hint="eastAsia"/>
          <w:sz w:val="32"/>
          <w:szCs w:val="32"/>
        </w:rPr>
        <w:t>（</w:t>
      </w:r>
      <w:r>
        <w:rPr>
          <w:rFonts w:ascii="Times New Roman" w:eastAsia="方正仿宋_GBK" w:hAnsi="Times New Roman"/>
          <w:sz w:val="32"/>
          <w:szCs w:val="32"/>
        </w:rPr>
        <w:t>7</w:t>
      </w:r>
      <w:r>
        <w:rPr>
          <w:rFonts w:ascii="Times New Roman" w:eastAsia="方正仿宋_GBK" w:hAnsi="Times New Roman" w:hint="eastAsia"/>
          <w:sz w:val="32"/>
          <w:szCs w:val="32"/>
        </w:rPr>
        <w:t>）海关监管（项）202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149.42</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年执行数减少</w:t>
      </w:r>
      <w:r>
        <w:rPr>
          <w:rFonts w:ascii="Times New Roman" w:eastAsia="方正仿宋_GBK" w:hAnsi="Times New Roman"/>
          <w:sz w:val="32"/>
          <w:szCs w:val="32"/>
        </w:rPr>
        <w:t>90.69</w:t>
      </w:r>
      <w:r>
        <w:rPr>
          <w:rFonts w:ascii="Times New Roman" w:eastAsia="方正仿宋_GBK" w:hAnsi="Times New Roman" w:hint="eastAsia"/>
          <w:sz w:val="32"/>
          <w:szCs w:val="32"/>
        </w:rPr>
        <w:t>万元，下降</w:t>
      </w:r>
      <w:r>
        <w:rPr>
          <w:rFonts w:ascii="Times New Roman" w:eastAsia="方正仿宋_GBK" w:hAnsi="Times New Roman"/>
          <w:sz w:val="32"/>
          <w:szCs w:val="32"/>
        </w:rPr>
        <w:t>37.77</w:t>
      </w:r>
      <w:r>
        <w:rPr>
          <w:rFonts w:ascii="Times New Roman" w:eastAsia="方正仿宋_GBK" w:hAnsi="Times New Roman" w:hint="eastAsia"/>
          <w:sz w:val="32"/>
          <w:szCs w:val="32"/>
        </w:rPr>
        <w:t>%。主要是海关监管支出减少。</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8</w:t>
      </w:r>
      <w:r>
        <w:rPr>
          <w:rFonts w:ascii="Times New Roman" w:eastAsia="方正仿宋_GBK" w:hAnsi="Times New Roman" w:hint="eastAsia"/>
          <w:sz w:val="32"/>
          <w:szCs w:val="32"/>
        </w:rPr>
        <w:t>）检验检疫（项）202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26.61</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年执行数减少</w:t>
      </w:r>
      <w:r>
        <w:rPr>
          <w:rFonts w:ascii="Times New Roman" w:eastAsia="方正仿宋_GBK" w:hAnsi="Times New Roman"/>
          <w:sz w:val="32"/>
          <w:szCs w:val="32"/>
        </w:rPr>
        <w:t>163.86</w:t>
      </w:r>
      <w:r>
        <w:rPr>
          <w:rFonts w:ascii="Times New Roman" w:eastAsia="方正仿宋_GBK" w:hAnsi="Times New Roman" w:hint="eastAsia"/>
          <w:sz w:val="32"/>
          <w:szCs w:val="32"/>
        </w:rPr>
        <w:t>万元，降低</w:t>
      </w:r>
      <w:r>
        <w:rPr>
          <w:rFonts w:ascii="Times New Roman" w:eastAsia="方正仿宋_GBK" w:hAnsi="Times New Roman"/>
          <w:sz w:val="32"/>
          <w:szCs w:val="32"/>
        </w:rPr>
        <w:t>86.03</w:t>
      </w:r>
      <w:r>
        <w:rPr>
          <w:rFonts w:ascii="Times New Roman" w:eastAsia="方正仿宋_GBK" w:hAnsi="Times New Roman" w:hint="eastAsia"/>
          <w:sz w:val="32"/>
          <w:szCs w:val="32"/>
        </w:rPr>
        <w:t>%。主要是检验检疫支出减少。</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2．公共安全支出（类）缉私警察（款）202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802.03</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w:t>
      </w:r>
      <w:r>
        <w:rPr>
          <w:rFonts w:ascii="Times New Roman" w:eastAsia="方正仿宋_GBK" w:hAnsi="Times New Roman"/>
          <w:sz w:val="32"/>
          <w:szCs w:val="32"/>
        </w:rPr>
        <w:t>增加180.15</w:t>
      </w:r>
      <w:r>
        <w:rPr>
          <w:rFonts w:ascii="Times New Roman" w:eastAsia="方正仿宋_GBK" w:hAnsi="Times New Roman" w:hint="eastAsia"/>
          <w:sz w:val="32"/>
          <w:szCs w:val="32"/>
        </w:rPr>
        <w:t>万元</w:t>
      </w:r>
      <w:r>
        <w:rPr>
          <w:rFonts w:ascii="Times New Roman" w:eastAsia="方正仿宋_GBK" w:hAnsi="Times New Roman"/>
          <w:sz w:val="32"/>
          <w:szCs w:val="32"/>
        </w:rPr>
        <w:t>，增长28.97</w:t>
      </w:r>
      <w:r>
        <w:rPr>
          <w:rFonts w:ascii="Times New Roman" w:eastAsia="方正仿宋_GBK" w:hAnsi="Times New Roman" w:hint="eastAsia"/>
          <w:sz w:val="32"/>
          <w:szCs w:val="32"/>
        </w:rPr>
        <w:t>%。主要是打击走私等项目支出</w:t>
      </w:r>
      <w:r>
        <w:rPr>
          <w:rFonts w:ascii="Times New Roman" w:eastAsia="方正仿宋_GBK" w:hAnsi="Times New Roman"/>
          <w:sz w:val="32"/>
          <w:szCs w:val="32"/>
        </w:rPr>
        <w:t>增加</w:t>
      </w:r>
      <w:r>
        <w:rPr>
          <w:rFonts w:ascii="Times New Roman" w:eastAsia="方正仿宋_GBK" w:hAnsi="Times New Roman" w:hint="eastAsia"/>
          <w:sz w:val="32"/>
          <w:szCs w:val="32"/>
        </w:rPr>
        <w:t>。</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3．社会保障和就业支出（类）行政事业单位养老支出（款）202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853.19</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w:t>
      </w:r>
      <w:r>
        <w:rPr>
          <w:rFonts w:ascii="Times New Roman" w:eastAsia="方正仿宋_GBK" w:hAnsi="Times New Roman"/>
          <w:sz w:val="32"/>
          <w:szCs w:val="32"/>
        </w:rPr>
        <w:t>减少28.36</w:t>
      </w:r>
      <w:r>
        <w:rPr>
          <w:rFonts w:ascii="Times New Roman" w:eastAsia="方正仿宋_GBK" w:hAnsi="Times New Roman" w:hint="eastAsia"/>
          <w:sz w:val="32"/>
          <w:szCs w:val="32"/>
        </w:rPr>
        <w:t>万元，</w:t>
      </w:r>
      <w:r>
        <w:rPr>
          <w:rFonts w:ascii="Times New Roman" w:eastAsia="方正仿宋_GBK" w:hAnsi="Times New Roman"/>
          <w:sz w:val="32"/>
          <w:szCs w:val="32"/>
        </w:rPr>
        <w:t>降低3.22</w:t>
      </w:r>
      <w:r>
        <w:rPr>
          <w:rFonts w:ascii="Times New Roman" w:eastAsia="方正仿宋_GBK" w:hAnsi="Times New Roman" w:hint="eastAsia"/>
          <w:sz w:val="32"/>
          <w:szCs w:val="32"/>
        </w:rPr>
        <w:t>%。其中：</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（1）行政单位离退休（项）202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171.66</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w:t>
      </w:r>
      <w:r>
        <w:rPr>
          <w:rFonts w:ascii="Times New Roman" w:eastAsia="方正仿宋_GBK" w:hAnsi="Times New Roman"/>
          <w:sz w:val="32"/>
          <w:szCs w:val="32"/>
        </w:rPr>
        <w:t>减少23.77</w:t>
      </w:r>
      <w:r>
        <w:rPr>
          <w:rFonts w:ascii="Times New Roman" w:eastAsia="方正仿宋_GBK" w:hAnsi="Times New Roman" w:hint="eastAsia"/>
          <w:sz w:val="32"/>
          <w:szCs w:val="32"/>
        </w:rPr>
        <w:t>万元，</w:t>
      </w:r>
      <w:r>
        <w:rPr>
          <w:rFonts w:ascii="Times New Roman" w:eastAsia="方正仿宋_GBK" w:hAnsi="Times New Roman"/>
          <w:sz w:val="32"/>
          <w:szCs w:val="32"/>
        </w:rPr>
        <w:t>降低12.16</w:t>
      </w:r>
      <w:r>
        <w:rPr>
          <w:rFonts w:ascii="Times New Roman" w:eastAsia="方正仿宋_GBK" w:hAnsi="Times New Roman" w:hint="eastAsia"/>
          <w:sz w:val="32"/>
          <w:szCs w:val="32"/>
        </w:rPr>
        <w:t>%。主要是行政单位离退休经费</w:t>
      </w:r>
      <w:r>
        <w:rPr>
          <w:rFonts w:ascii="Times New Roman" w:eastAsia="方正仿宋_GBK" w:hAnsi="Times New Roman"/>
          <w:sz w:val="32"/>
          <w:szCs w:val="32"/>
        </w:rPr>
        <w:t>减少</w:t>
      </w:r>
      <w:r>
        <w:rPr>
          <w:rFonts w:ascii="Times New Roman" w:eastAsia="方正仿宋_GBK" w:hAnsi="Times New Roman" w:hint="eastAsia"/>
          <w:sz w:val="32"/>
          <w:szCs w:val="32"/>
        </w:rPr>
        <w:t>。</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（2）机关事业单位基本养老保险缴费支出（项）202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434.45</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年执行数减少</w:t>
      </w:r>
      <w:r>
        <w:rPr>
          <w:rFonts w:ascii="Times New Roman" w:eastAsia="方正仿宋_GBK" w:hAnsi="Times New Roman"/>
          <w:sz w:val="32"/>
          <w:szCs w:val="32"/>
        </w:rPr>
        <w:t>22.62</w:t>
      </w:r>
      <w:r>
        <w:rPr>
          <w:rFonts w:ascii="Times New Roman" w:eastAsia="方正仿宋_GBK" w:hAnsi="Times New Roman" w:hint="eastAsia"/>
          <w:sz w:val="32"/>
          <w:szCs w:val="32"/>
        </w:rPr>
        <w:t>万元，下降</w:t>
      </w:r>
      <w:r>
        <w:rPr>
          <w:rFonts w:ascii="Times New Roman" w:eastAsia="方正仿宋_GBK" w:hAnsi="Times New Roman"/>
          <w:sz w:val="32"/>
          <w:szCs w:val="32"/>
        </w:rPr>
        <w:t>4.95</w:t>
      </w:r>
      <w:r>
        <w:rPr>
          <w:rFonts w:ascii="Times New Roman" w:eastAsia="方正仿宋_GBK" w:hAnsi="Times New Roman" w:hint="eastAsia"/>
          <w:sz w:val="32"/>
          <w:szCs w:val="32"/>
        </w:rPr>
        <w:t>%。主要是基本养老保险单位缴费经费减少。</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（3）机关事业单位职业年金缴费支出（项）202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247.08</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年执行数增加</w:t>
      </w:r>
      <w:r>
        <w:rPr>
          <w:rFonts w:ascii="Times New Roman" w:eastAsia="方正仿宋_GBK" w:hAnsi="Times New Roman"/>
          <w:sz w:val="32"/>
          <w:szCs w:val="32"/>
        </w:rPr>
        <w:t>18.03</w:t>
      </w:r>
      <w:r>
        <w:rPr>
          <w:rFonts w:ascii="Times New Roman" w:eastAsia="方正仿宋_GBK" w:hAnsi="Times New Roman" w:hint="eastAsia"/>
          <w:sz w:val="32"/>
          <w:szCs w:val="32"/>
        </w:rPr>
        <w:t>万元，增长</w:t>
      </w:r>
      <w:r>
        <w:rPr>
          <w:rFonts w:ascii="Times New Roman" w:eastAsia="方正仿宋_GBK" w:hAnsi="Times New Roman"/>
          <w:sz w:val="32"/>
          <w:szCs w:val="32"/>
        </w:rPr>
        <w:t>7.87</w:t>
      </w:r>
      <w:r>
        <w:rPr>
          <w:rFonts w:ascii="Times New Roman" w:eastAsia="方正仿宋_GBK" w:hAnsi="Times New Roman" w:hint="eastAsia"/>
          <w:sz w:val="32"/>
          <w:szCs w:val="32"/>
        </w:rPr>
        <w:t>%。主要是职业年金单位缴费经费增加。</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4．卫生健康支出（类）行政事业单位医疗（款）202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477.76</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年执行数减少</w:t>
      </w:r>
      <w:r>
        <w:rPr>
          <w:rFonts w:ascii="Times New Roman" w:eastAsia="方正仿宋_GBK" w:hAnsi="Times New Roman"/>
          <w:sz w:val="32"/>
          <w:szCs w:val="32"/>
        </w:rPr>
        <w:t>59.92</w:t>
      </w:r>
      <w:r>
        <w:rPr>
          <w:rFonts w:ascii="Times New Roman" w:eastAsia="方正仿宋_GBK" w:hAnsi="Times New Roman" w:hint="eastAsia"/>
          <w:sz w:val="32"/>
          <w:szCs w:val="32"/>
        </w:rPr>
        <w:t>万元，下降</w:t>
      </w:r>
      <w:r>
        <w:rPr>
          <w:rFonts w:ascii="Times New Roman" w:eastAsia="方正仿宋_GBK" w:hAnsi="Times New Roman"/>
          <w:sz w:val="32"/>
          <w:szCs w:val="32"/>
        </w:rPr>
        <w:t>11.14</w:t>
      </w:r>
      <w:r>
        <w:rPr>
          <w:rFonts w:ascii="Times New Roman" w:eastAsia="方正仿宋_GBK" w:hAnsi="Times New Roman" w:hint="eastAsia"/>
          <w:sz w:val="32"/>
          <w:szCs w:val="32"/>
        </w:rPr>
        <w:t>%。其中：</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（1）行政单位医疗（项）202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260.54</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年执行数减少</w:t>
      </w:r>
      <w:r>
        <w:rPr>
          <w:rFonts w:ascii="Times New Roman" w:eastAsia="方正仿宋_GBK" w:hAnsi="Times New Roman"/>
          <w:sz w:val="32"/>
          <w:szCs w:val="32"/>
        </w:rPr>
        <w:t>108.83</w:t>
      </w:r>
      <w:r>
        <w:rPr>
          <w:rFonts w:ascii="Times New Roman" w:eastAsia="方正仿宋_GBK" w:hAnsi="Times New Roman" w:hint="eastAsia"/>
          <w:sz w:val="32"/>
          <w:szCs w:val="32"/>
        </w:rPr>
        <w:t>万元，下降</w:t>
      </w:r>
      <w:r>
        <w:rPr>
          <w:rFonts w:ascii="Times New Roman" w:eastAsia="方正仿宋_GBK" w:hAnsi="Times New Roman"/>
          <w:sz w:val="32"/>
          <w:szCs w:val="32"/>
        </w:rPr>
        <w:t>29.46</w:t>
      </w:r>
      <w:r>
        <w:rPr>
          <w:rFonts w:ascii="Times New Roman" w:eastAsia="方正仿宋_GBK" w:hAnsi="Times New Roman" w:hint="eastAsia"/>
          <w:sz w:val="32"/>
          <w:szCs w:val="32"/>
        </w:rPr>
        <w:t>%。主要是行政单位医疗经费减少。</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（2）公务员医疗补助（项）202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211.42</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年执行数增加</w:t>
      </w:r>
      <w:r>
        <w:rPr>
          <w:rFonts w:ascii="Times New Roman" w:eastAsia="方正仿宋_GBK" w:hAnsi="Times New Roman"/>
          <w:sz w:val="32"/>
          <w:szCs w:val="32"/>
        </w:rPr>
        <w:t>43.11</w:t>
      </w:r>
      <w:r>
        <w:rPr>
          <w:rFonts w:ascii="Times New Roman" w:eastAsia="方正仿宋_GBK" w:hAnsi="Times New Roman" w:hint="eastAsia"/>
          <w:sz w:val="32"/>
          <w:szCs w:val="32"/>
        </w:rPr>
        <w:t>万元，增长</w:t>
      </w:r>
      <w:r>
        <w:rPr>
          <w:rFonts w:ascii="Times New Roman" w:eastAsia="方正仿宋_GBK" w:hAnsi="Times New Roman"/>
          <w:sz w:val="32"/>
          <w:szCs w:val="32"/>
        </w:rPr>
        <w:t>25.61</w:t>
      </w:r>
      <w:r>
        <w:rPr>
          <w:rFonts w:ascii="Times New Roman" w:eastAsia="方正仿宋_GBK" w:hAnsi="Times New Roman" w:hint="eastAsia"/>
          <w:sz w:val="32"/>
          <w:szCs w:val="32"/>
        </w:rPr>
        <w:t>%。主要是公务员医疗补助经费增加。</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cs="Times New Roman" w:hAnsi="Times New Roman"/>
          <w:sz w:val="32"/>
          <w:szCs w:val="32"/>
        </w:rPr>
        <w:t>3</w:t>
      </w:r>
      <w:r>
        <w:rPr>
          <w:rFonts w:ascii="Times New Roman" w:eastAsia="方正仿宋_GBK" w:hAnsi="Times New Roman" w:hint="eastAsia"/>
          <w:sz w:val="32"/>
          <w:szCs w:val="32"/>
        </w:rPr>
        <w:t>）其他行政事业单位医疗支出（项）2023年</w:t>
      </w:r>
      <w:r>
        <w:rPr>
          <w:rFonts w:ascii="Times New Roman" w:eastAsia="方正仿宋_GBK" w:hAnsi="Times New Roman"/>
          <w:sz w:val="32"/>
          <w:szCs w:val="32"/>
        </w:rPr>
        <w:t>预算5.8</w:t>
      </w:r>
      <w:r>
        <w:rPr>
          <w:rFonts w:ascii="Times New Roman" w:eastAsia="方正仿宋_GBK" w:hAnsi="Times New Roman" w:hint="eastAsia"/>
          <w:sz w:val="32"/>
          <w:szCs w:val="32"/>
        </w:rPr>
        <w:t>万元</w:t>
      </w:r>
      <w:r>
        <w:rPr>
          <w:rFonts w:ascii="Times New Roman" w:eastAsia="方正仿宋_GBK" w:hAnsi="Times New Roman"/>
          <w:sz w:val="32"/>
          <w:szCs w:val="32"/>
        </w:rPr>
        <w:t>，比</w:t>
      </w:r>
      <w:r>
        <w:rPr>
          <w:rFonts w:ascii="Times New Roman" w:eastAsia="方正仿宋_GBK" w:hAnsi="Times New Roman" w:hint="eastAsia"/>
          <w:sz w:val="32"/>
          <w:szCs w:val="32"/>
        </w:rPr>
        <w:t>2022年</w:t>
      </w:r>
      <w:r>
        <w:rPr>
          <w:rFonts w:ascii="Times New Roman" w:eastAsia="方正仿宋_GBK" w:hAnsi="Times New Roman"/>
          <w:sz w:val="32"/>
          <w:szCs w:val="32"/>
        </w:rPr>
        <w:t>执行数增加5.8</w:t>
      </w:r>
      <w:r>
        <w:rPr>
          <w:rFonts w:ascii="Times New Roman" w:eastAsia="方正仿宋_GBK" w:hAnsi="Times New Roman" w:hint="eastAsia"/>
          <w:sz w:val="32"/>
          <w:szCs w:val="32"/>
        </w:rPr>
        <w:t>万元</w:t>
      </w:r>
      <w:r>
        <w:rPr>
          <w:rFonts w:ascii="Times New Roman" w:eastAsia="方正仿宋_GBK" w:hAnsi="Times New Roman"/>
          <w:sz w:val="32"/>
          <w:szCs w:val="32"/>
        </w:rPr>
        <w:t>，增长</w:t>
      </w:r>
      <w:r>
        <w:rPr>
          <w:rFonts w:ascii="Times New Roman" w:eastAsia="方正仿宋_GBK" w:hAnsi="Times New Roman" w:hint="eastAsia"/>
          <w:sz w:val="32"/>
          <w:szCs w:val="32"/>
        </w:rPr>
        <w:t>100</w:t>
      </w:r>
      <w:r>
        <w:rPr>
          <w:rFonts w:ascii="Times New Roman" w:eastAsia="方正仿宋_GBK" w:hAnsi="Times New Roman"/>
          <w:sz w:val="32"/>
          <w:szCs w:val="32"/>
        </w:rPr>
        <w:t>%</w:t>
      </w:r>
      <w:r>
        <w:rPr>
          <w:rFonts w:ascii="Times New Roman" w:eastAsia="方正仿宋_GBK" w:hAnsi="Times New Roman" w:hint="eastAsia"/>
          <w:sz w:val="32"/>
          <w:szCs w:val="32"/>
        </w:rPr>
        <w:t>，</w:t>
      </w:r>
      <w:r>
        <w:rPr>
          <w:rFonts w:ascii="Times New Roman" w:eastAsia="方正仿宋_GBK" w:hAnsi="Times New Roman"/>
          <w:sz w:val="32"/>
          <w:szCs w:val="32"/>
        </w:rPr>
        <w:t>主要是今年新增安排工伤保险缴费预算</w:t>
      </w:r>
      <w:r>
        <w:rPr>
          <w:rFonts w:ascii="Times New Roman" w:eastAsia="方正仿宋_GBK" w:hAnsi="Times New Roman" w:hint="eastAsia"/>
          <w:sz w:val="32"/>
          <w:szCs w:val="32"/>
        </w:rPr>
        <w:t>。</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5．住房保障支出（类）住房改革支出（款）202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848.28</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年执行数增加</w:t>
      </w:r>
      <w:r>
        <w:rPr>
          <w:rFonts w:ascii="Times New Roman" w:eastAsia="方正仿宋_GBK" w:hAnsi="Times New Roman"/>
          <w:sz w:val="32"/>
          <w:szCs w:val="32"/>
        </w:rPr>
        <w:t>93.8</w:t>
      </w:r>
      <w:r>
        <w:rPr>
          <w:rFonts w:ascii="Times New Roman" w:eastAsia="方正仿宋_GBK" w:hAnsi="Times New Roman" w:hint="eastAsia"/>
          <w:sz w:val="32"/>
          <w:szCs w:val="32"/>
        </w:rPr>
        <w:t>万元，增长</w:t>
      </w:r>
      <w:r>
        <w:rPr>
          <w:rFonts w:ascii="Times New Roman" w:eastAsia="方正仿宋_GBK" w:hAnsi="Times New Roman"/>
          <w:sz w:val="32"/>
          <w:szCs w:val="32"/>
        </w:rPr>
        <w:t>12.43</w:t>
      </w:r>
      <w:r>
        <w:rPr>
          <w:rFonts w:ascii="Times New Roman" w:eastAsia="方正仿宋_GBK" w:hAnsi="Times New Roman" w:hint="eastAsia"/>
          <w:sz w:val="32"/>
          <w:szCs w:val="32"/>
        </w:rPr>
        <w:t>%。主要是缴存基数调整和职务职级变动相应增加经费支出。其中：</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（1）住房公积金（项）202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598.78</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年执行数增加</w:t>
      </w:r>
      <w:r>
        <w:rPr>
          <w:rFonts w:ascii="Times New Roman" w:eastAsia="方正仿宋_GBK" w:hAnsi="Times New Roman"/>
          <w:sz w:val="32"/>
          <w:szCs w:val="32"/>
        </w:rPr>
        <w:t>38.8</w:t>
      </w:r>
      <w:r>
        <w:rPr>
          <w:rFonts w:ascii="Times New Roman" w:eastAsia="方正仿宋_GBK" w:hAnsi="Times New Roman" w:hint="eastAsia"/>
          <w:sz w:val="32"/>
          <w:szCs w:val="32"/>
        </w:rPr>
        <w:t>万元，增长</w:t>
      </w:r>
      <w:r>
        <w:rPr>
          <w:rFonts w:ascii="Times New Roman" w:eastAsia="方正仿宋_GBK" w:hAnsi="Times New Roman"/>
          <w:sz w:val="32"/>
          <w:szCs w:val="32"/>
        </w:rPr>
        <w:t>6.93</w:t>
      </w:r>
      <w:r>
        <w:rPr>
          <w:rFonts w:ascii="Times New Roman" w:eastAsia="方正仿宋_GBK" w:hAnsi="Times New Roman" w:hint="eastAsia"/>
          <w:sz w:val="32"/>
          <w:szCs w:val="32"/>
        </w:rPr>
        <w:t>%。</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（2）购房补贴（项）202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249.5</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年执行数增加</w:t>
      </w:r>
      <w:r>
        <w:rPr>
          <w:rFonts w:ascii="Times New Roman" w:eastAsia="方正仿宋_GBK" w:hAnsi="Times New Roman"/>
          <w:sz w:val="32"/>
          <w:szCs w:val="32"/>
        </w:rPr>
        <w:t>55</w:t>
      </w:r>
      <w:r>
        <w:rPr>
          <w:rFonts w:ascii="Times New Roman" w:eastAsia="方正仿宋_GBK" w:hAnsi="Times New Roman" w:hint="eastAsia"/>
          <w:sz w:val="32"/>
          <w:szCs w:val="32"/>
        </w:rPr>
        <w:t>万元，增长</w:t>
      </w:r>
      <w:r>
        <w:rPr>
          <w:rFonts w:ascii="Times New Roman" w:eastAsia="方正仿宋_GBK" w:hAnsi="Times New Roman"/>
          <w:sz w:val="32"/>
          <w:szCs w:val="32"/>
        </w:rPr>
        <w:t>28.28</w:t>
      </w:r>
      <w:r>
        <w:rPr>
          <w:rFonts w:ascii="Times New Roman" w:eastAsia="方正仿宋_GBK" w:hAnsi="Times New Roman" w:hint="eastAsia"/>
          <w:sz w:val="32"/>
          <w:szCs w:val="32"/>
        </w:rPr>
        <w:t>%。</w:t>
      </w:r>
    </w:p>
    <w:p>
      <w:pPr>
        <w:pStyle w:val="18"/>
        <w:spacing w:line="560" w:lineRule="exact"/>
        <w:ind w:firstLineChars="200" w:firstLine="640"/>
        <w:rPr>
          <w:rFonts w:eastAsia="方正黑体_GBK"/>
          <w:sz w:val="32"/>
          <w:szCs w:val="32"/>
        </w:rPr>
      </w:pPr>
      <w:r>
        <w:rPr>
          <w:rFonts w:eastAsia="方正黑体_GBK" w:hint="eastAsia"/>
          <w:sz w:val="32"/>
          <w:szCs w:val="32"/>
        </w:rPr>
        <w:t>六、关于2022年一般公共预算基本支出情况说明</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呼和浩特海关本级202</w:t>
      </w:r>
      <w:r>
        <w:rPr>
          <w:rFonts w:ascii="Times New Roman" w:eastAsia="方正仿宋_GBK" w:hAnsi="Times New Roman"/>
          <w:sz w:val="32"/>
          <w:szCs w:val="32"/>
        </w:rPr>
        <w:t>3</w:t>
      </w:r>
      <w:r>
        <w:rPr>
          <w:rFonts w:ascii="Times New Roman" w:eastAsia="方正仿宋_GBK" w:hAnsi="Times New Roman" w:hint="eastAsia"/>
          <w:sz w:val="32"/>
          <w:szCs w:val="32"/>
        </w:rPr>
        <w:t>年一般公共预算基本支出</w:t>
      </w:r>
      <w:r>
        <w:rPr>
          <w:rFonts w:ascii="Times New Roman" w:eastAsia="方正仿宋_GBK" w:hAnsi="Times New Roman"/>
          <w:sz w:val="32"/>
          <w:szCs w:val="32"/>
        </w:rPr>
        <w:t>8061.75</w:t>
      </w:r>
      <w:r>
        <w:rPr>
          <w:rFonts w:ascii="Times New Roman" w:eastAsia="方正仿宋_GBK" w:hAnsi="Times New Roman" w:hint="eastAsia"/>
          <w:sz w:val="32"/>
          <w:szCs w:val="32"/>
        </w:rPr>
        <w:t>万元，其中：</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人员经费</w:t>
      </w:r>
      <w:r>
        <w:rPr>
          <w:rFonts w:ascii="Times New Roman" w:eastAsia="方正仿宋_GBK" w:hAnsi="Times New Roman"/>
          <w:sz w:val="32"/>
          <w:szCs w:val="32"/>
        </w:rPr>
        <w:t>6033.61</w:t>
      </w:r>
      <w:r>
        <w:rPr>
          <w:rFonts w:ascii="Times New Roman" w:eastAsia="方正仿宋_GBK" w:hAnsi="Times New Roman" w:hint="eastAsia"/>
          <w:sz w:val="32"/>
          <w:szCs w:val="32"/>
        </w:rPr>
        <w:t>万元，主要包括：基本工资、津贴补贴、奖金、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w:t>
      </w:r>
    </w:p>
    <w:p>
      <w:pPr>
        <w:autoSpaceDE w:val="0"/>
        <w:autoSpaceDN w:val="0"/>
        <w:adjustRightInd w:val="0"/>
        <w:spacing w:line="560" w:lineRule="atLeast"/>
        <w:ind w:firstLine="640"/>
        <w:rPr>
          <w:rFonts w:ascii="Times New Roman" w:eastAsia="方正仿宋_GBK" w:hAnsi="Times New Roman"/>
          <w:sz w:val="32"/>
          <w:szCs w:val="32"/>
        </w:rPr>
      </w:pPr>
      <w:r>
        <w:rPr>
          <w:rFonts w:ascii="Times New Roman" w:eastAsia="方正仿宋_GBK" w:hAnsi="Times New Roman" w:hint="eastAsia"/>
          <w:sz w:val="32"/>
          <w:szCs w:val="32"/>
        </w:rPr>
        <w:t>日常公用经费</w:t>
      </w:r>
      <w:r>
        <w:rPr>
          <w:rFonts w:ascii="Times New Roman" w:eastAsia="方正仿宋_GBK" w:hAnsi="Times New Roman"/>
          <w:sz w:val="32"/>
          <w:szCs w:val="32"/>
        </w:rPr>
        <w:t>2028.14</w:t>
      </w:r>
      <w:r>
        <w:rPr>
          <w:rFonts w:ascii="Times New Roman" w:eastAsia="方正仿宋_GBK" w:hAnsi="Times New Roman" w:hint="eastAsia"/>
          <w:sz w:val="32"/>
          <w:szCs w:val="32"/>
        </w:rPr>
        <w:t>万元，主要包括：办公费、印刷费、咨询费、手续费、水费、电费、邮电费、取暖费、物业管理费、差旅费、维修（护）费、租赁费、会议费、培训费、公务接待费、专用材料费、被装购置费、专用燃料费、劳务费、委托业务费、工会经费、福利费、公务用车运行维护费、其他交通费用、税金及附加费用、其他商品和服务支出、办公设备购置、专用设备购置。</w:t>
      </w:r>
    </w:p>
    <w:p>
      <w:pPr>
        <w:pStyle w:val="18"/>
        <w:spacing w:line="560" w:lineRule="exact"/>
        <w:ind w:firstLineChars="200" w:firstLine="640"/>
        <w:rPr>
          <w:rFonts w:eastAsia="方正黑体_GBK"/>
          <w:sz w:val="32"/>
          <w:szCs w:val="32"/>
        </w:rPr>
      </w:pPr>
      <w:r>
        <w:rPr>
          <w:rFonts w:eastAsia="方正黑体_GBK" w:hint="eastAsia"/>
          <w:sz w:val="32"/>
          <w:szCs w:val="32"/>
        </w:rPr>
        <w:t>七、关于202</w:t>
      </w:r>
      <w:r>
        <w:rPr>
          <w:rFonts w:eastAsia="方正黑体_GBK"/>
          <w:sz w:val="32"/>
          <w:szCs w:val="32"/>
        </w:rPr>
        <w:t>3</w:t>
      </w:r>
      <w:r>
        <w:rPr>
          <w:rFonts w:eastAsia="方正黑体_GBK" w:hint="eastAsia"/>
          <w:sz w:val="32"/>
          <w:szCs w:val="32"/>
        </w:rPr>
        <w:t>年“三公”经费预算情况说明</w:t>
      </w:r>
    </w:p>
    <w:p>
      <w:pPr>
        <w:spacing w:line="560" w:lineRule="exact"/>
        <w:ind w:firstLineChars="200" w:firstLine="640"/>
        <w:rPr>
          <w:rFonts w:ascii="Times New Roman" w:hAnsi="Times New Roman"/>
          <w:sz w:val="32"/>
          <w:szCs w:val="32"/>
        </w:rPr>
      </w:pPr>
      <w:r>
        <w:rPr>
          <w:rFonts w:ascii="Times New Roman" w:eastAsia="方正仿宋_GBK" w:hAnsi="Times New Roman" w:hint="eastAsia"/>
          <w:sz w:val="32"/>
          <w:szCs w:val="32"/>
        </w:rPr>
        <w:t>呼和浩特海关本级202</w:t>
      </w:r>
      <w:r>
        <w:rPr>
          <w:rFonts w:ascii="Times New Roman" w:eastAsia="方正仿宋_GBK" w:hAnsi="Times New Roman"/>
          <w:sz w:val="32"/>
          <w:szCs w:val="32"/>
        </w:rPr>
        <w:t>3</w:t>
      </w:r>
      <w:r>
        <w:rPr>
          <w:rFonts w:ascii="Times New Roman" w:eastAsia="方正仿宋_GBK" w:hAnsi="Times New Roman" w:hint="eastAsia"/>
          <w:sz w:val="32"/>
          <w:szCs w:val="32"/>
        </w:rPr>
        <w:t>年“三公”经费预算数为</w:t>
      </w:r>
      <w:r>
        <w:rPr>
          <w:rFonts w:ascii="Times New Roman" w:eastAsia="方正仿宋_GBK" w:hAnsi="Times New Roman"/>
          <w:sz w:val="32"/>
          <w:szCs w:val="32"/>
        </w:rPr>
        <w:t>162.38</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年预算数减少</w:t>
      </w:r>
      <w:r>
        <w:rPr>
          <w:rFonts w:ascii="Times New Roman" w:eastAsia="方正仿宋_GBK" w:hAnsi="Times New Roman"/>
          <w:sz w:val="32"/>
          <w:szCs w:val="32"/>
        </w:rPr>
        <w:t>65.2</w:t>
      </w:r>
      <w:r>
        <w:rPr>
          <w:rFonts w:ascii="Times New Roman" w:eastAsia="方正仿宋_GBK" w:hAnsi="Times New Roman" w:hint="eastAsia"/>
          <w:sz w:val="32"/>
          <w:szCs w:val="32"/>
        </w:rPr>
        <w:t>万元。其中：公务用车购置费</w:t>
      </w:r>
      <w:r>
        <w:rPr>
          <w:rFonts w:ascii="Times New Roman" w:eastAsia="方正仿宋_GBK" w:hAnsi="Times New Roman"/>
          <w:sz w:val="32"/>
          <w:szCs w:val="32"/>
        </w:rPr>
        <w:t>37万</w:t>
      </w:r>
      <w:r>
        <w:rPr>
          <w:rFonts w:ascii="Times New Roman" w:eastAsia="方正仿宋_GBK" w:hAnsi="Times New Roman" w:hint="eastAsia"/>
          <w:sz w:val="32"/>
          <w:szCs w:val="32"/>
        </w:rPr>
        <w:t>元，比202</w:t>
      </w:r>
      <w:r>
        <w:rPr>
          <w:rFonts w:ascii="Times New Roman" w:eastAsia="方正仿宋_GBK" w:hAnsi="Times New Roman"/>
          <w:sz w:val="32"/>
          <w:szCs w:val="32"/>
        </w:rPr>
        <w:t>2</w:t>
      </w:r>
      <w:r>
        <w:rPr>
          <w:rFonts w:ascii="Times New Roman" w:eastAsia="方正仿宋_GBK" w:hAnsi="Times New Roman" w:hint="eastAsia"/>
          <w:sz w:val="32"/>
          <w:szCs w:val="32"/>
        </w:rPr>
        <w:t>年预算数</w:t>
      </w:r>
      <w:r>
        <w:rPr>
          <w:rFonts w:ascii="Times New Roman" w:eastAsia="方正仿宋_GBK" w:hAnsi="Times New Roman"/>
          <w:sz w:val="32"/>
          <w:szCs w:val="32"/>
        </w:rPr>
        <w:t>减少13</w:t>
      </w:r>
      <w:r>
        <w:rPr>
          <w:rFonts w:ascii="Times New Roman" w:eastAsia="方正仿宋_GBK" w:hAnsi="Times New Roman" w:hint="eastAsia"/>
          <w:sz w:val="32"/>
          <w:szCs w:val="32"/>
        </w:rPr>
        <w:t>.00万元；公务用车运行费</w:t>
      </w:r>
      <w:r>
        <w:rPr>
          <w:rFonts w:ascii="Times New Roman" w:eastAsia="方正仿宋_GBK" w:hAnsi="Times New Roman"/>
          <w:sz w:val="32"/>
          <w:szCs w:val="32"/>
        </w:rPr>
        <w:t>107.34</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年预算数减少</w:t>
      </w:r>
      <w:r>
        <w:rPr>
          <w:rFonts w:ascii="Times New Roman" w:eastAsia="方正仿宋_GBK" w:hAnsi="Times New Roman"/>
          <w:sz w:val="32"/>
          <w:szCs w:val="32"/>
        </w:rPr>
        <w:t>52.2</w:t>
      </w:r>
      <w:r>
        <w:rPr>
          <w:rFonts w:ascii="Times New Roman" w:eastAsia="方正仿宋_GBK" w:hAnsi="Times New Roman" w:hint="eastAsia"/>
          <w:sz w:val="32"/>
          <w:szCs w:val="32"/>
        </w:rPr>
        <w:t>万元；公务接待费</w:t>
      </w:r>
      <w:r>
        <w:rPr>
          <w:rFonts w:ascii="Times New Roman" w:eastAsia="方正仿宋_GBK" w:hAnsi="Times New Roman"/>
          <w:sz w:val="32"/>
          <w:szCs w:val="32"/>
        </w:rPr>
        <w:t>18.04</w:t>
      </w:r>
      <w:r>
        <w:rPr>
          <w:rFonts w:ascii="Times New Roman" w:eastAsia="方正仿宋_GBK" w:hAnsi="Times New Roman" w:hint="eastAsia"/>
          <w:sz w:val="32"/>
          <w:szCs w:val="32"/>
        </w:rPr>
        <w:t>万元，与202</w:t>
      </w:r>
      <w:r>
        <w:rPr>
          <w:rFonts w:ascii="Times New Roman" w:eastAsia="方正仿宋_GBK" w:hAnsi="Times New Roman"/>
          <w:sz w:val="32"/>
          <w:szCs w:val="32"/>
        </w:rPr>
        <w:t>2</w:t>
      </w:r>
      <w:r>
        <w:rPr>
          <w:rFonts w:ascii="Times New Roman" w:eastAsia="方正仿宋_GBK" w:hAnsi="Times New Roman" w:hint="eastAsia"/>
          <w:sz w:val="32"/>
          <w:szCs w:val="32"/>
        </w:rPr>
        <w:t>年预算数持平。主要是</w:t>
      </w:r>
      <w:r>
        <w:rPr>
          <w:rFonts w:ascii="Times New Roman" w:eastAsia="方正仿宋_GBK" w:hAnsi="Times New Roman"/>
          <w:sz w:val="32"/>
          <w:szCs w:val="32"/>
        </w:rPr>
        <w:t>海关系统公务用车老化严重，</w:t>
      </w:r>
      <w:r>
        <w:rPr>
          <w:rFonts w:ascii="Times New Roman" w:eastAsia="方正仿宋_GBK" w:hAnsi="Times New Roman" w:hint="eastAsia"/>
          <w:sz w:val="32"/>
          <w:szCs w:val="32"/>
        </w:rPr>
        <w:t>2023年</w:t>
      </w:r>
      <w:r>
        <w:rPr>
          <w:rFonts w:ascii="Times New Roman" w:eastAsia="方正仿宋_GBK" w:hAnsi="Times New Roman"/>
          <w:sz w:val="32"/>
          <w:szCs w:val="32"/>
        </w:rPr>
        <w:t>根据实际需求</w:t>
      </w:r>
      <w:r>
        <w:rPr>
          <w:rFonts w:ascii="Times New Roman" w:eastAsia="方正仿宋_GBK" w:hAnsi="Times New Roman" w:hint="eastAsia"/>
          <w:sz w:val="32"/>
          <w:szCs w:val="32"/>
        </w:rPr>
        <w:t>增加</w:t>
      </w:r>
      <w:r>
        <w:rPr>
          <w:rFonts w:ascii="Times New Roman" w:eastAsia="方正仿宋_GBK" w:hAnsi="Times New Roman"/>
          <w:sz w:val="32"/>
          <w:szCs w:val="32"/>
        </w:rPr>
        <w:t>公务用车购置，相应</w:t>
      </w:r>
      <w:r>
        <w:rPr>
          <w:rFonts w:ascii="Times New Roman" w:eastAsia="方正仿宋_GBK" w:hAnsi="Times New Roman" w:hint="eastAsia"/>
          <w:sz w:val="32"/>
          <w:szCs w:val="32"/>
        </w:rPr>
        <w:t>减少</w:t>
      </w:r>
      <w:r>
        <w:rPr>
          <w:rFonts w:ascii="Times New Roman" w:eastAsia="方正仿宋_GBK" w:hAnsi="Times New Roman"/>
          <w:sz w:val="32"/>
          <w:szCs w:val="32"/>
        </w:rPr>
        <w:t>公务用车运行费支出。</w:t>
      </w:r>
    </w:p>
    <w:p>
      <w:pPr>
        <w:pStyle w:val="18"/>
        <w:spacing w:line="560" w:lineRule="exact"/>
        <w:ind w:firstLineChars="200" w:firstLine="640"/>
        <w:rPr>
          <w:rFonts w:eastAsia="方正黑体_GBK"/>
          <w:sz w:val="32"/>
          <w:szCs w:val="32"/>
        </w:rPr>
      </w:pPr>
      <w:r>
        <w:rPr>
          <w:rFonts w:eastAsia="方正黑体_GBK" w:hint="eastAsia"/>
          <w:sz w:val="32"/>
          <w:szCs w:val="32"/>
        </w:rPr>
        <w:t>八、关于202</w:t>
      </w:r>
      <w:r>
        <w:rPr>
          <w:rFonts w:eastAsia="方正黑体_GBK"/>
          <w:sz w:val="32"/>
          <w:szCs w:val="32"/>
        </w:rPr>
        <w:t>3</w:t>
      </w:r>
      <w:r>
        <w:rPr>
          <w:rFonts w:eastAsia="方正黑体_GBK" w:hint="eastAsia"/>
          <w:sz w:val="32"/>
          <w:szCs w:val="32"/>
        </w:rPr>
        <w:t>年政府性基金预算收支情况说明</w:t>
      </w:r>
    </w:p>
    <w:p>
      <w:pPr>
        <w:spacing w:line="560" w:lineRule="exact"/>
        <w:ind w:firstLineChars="200" w:firstLine="640"/>
        <w:rPr>
          <w:rFonts w:ascii="Times New Roman" w:hAnsi="Times New Roman"/>
          <w:sz w:val="32"/>
          <w:szCs w:val="32"/>
        </w:rPr>
      </w:pPr>
      <w:r>
        <w:rPr>
          <w:rFonts w:ascii="Times New Roman" w:eastAsia="方正仿宋_GBK" w:hAnsi="Times New Roman" w:hint="eastAsia"/>
          <w:sz w:val="32"/>
          <w:szCs w:val="32"/>
        </w:rPr>
        <w:t>呼和浩特海关本级本级202</w:t>
      </w:r>
      <w:r>
        <w:rPr>
          <w:rFonts w:ascii="Times New Roman" w:eastAsia="方正仿宋_GBK" w:hAnsi="Times New Roman"/>
          <w:sz w:val="32"/>
          <w:szCs w:val="32"/>
        </w:rPr>
        <w:t>3</w:t>
      </w:r>
      <w:r>
        <w:rPr>
          <w:rFonts w:ascii="Times New Roman" w:eastAsia="方正仿宋_GBK" w:hAnsi="Times New Roman" w:hint="eastAsia"/>
          <w:sz w:val="32"/>
          <w:szCs w:val="32"/>
        </w:rPr>
        <w:t>年无政府性基金预算收支。</w:t>
      </w:r>
    </w:p>
    <w:p>
      <w:pPr>
        <w:pStyle w:val="18"/>
        <w:spacing w:line="560" w:lineRule="exact"/>
        <w:ind w:firstLineChars="200" w:firstLine="640"/>
        <w:rPr>
          <w:rFonts w:eastAsia="方正黑体_GBK"/>
          <w:sz w:val="32"/>
          <w:szCs w:val="32"/>
        </w:rPr>
      </w:pPr>
      <w:r>
        <w:rPr>
          <w:rFonts w:eastAsia="方正黑体_GBK" w:hint="eastAsia"/>
          <w:sz w:val="32"/>
          <w:szCs w:val="32"/>
        </w:rPr>
        <w:t>九、关于202</w:t>
      </w:r>
      <w:r>
        <w:rPr>
          <w:rFonts w:eastAsia="方正黑体_GBK"/>
          <w:sz w:val="32"/>
          <w:szCs w:val="32"/>
        </w:rPr>
        <w:t>3</w:t>
      </w:r>
      <w:r>
        <w:rPr>
          <w:rFonts w:eastAsia="方正黑体_GBK" w:hint="eastAsia"/>
          <w:sz w:val="32"/>
          <w:szCs w:val="32"/>
        </w:rPr>
        <w:t>年国有资本经营预算收支情况说明</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呼和浩特海关本级202</w:t>
      </w:r>
      <w:r>
        <w:rPr>
          <w:rFonts w:ascii="Times New Roman" w:eastAsia="方正仿宋_GBK" w:hAnsi="Times New Roman"/>
          <w:sz w:val="32"/>
          <w:szCs w:val="32"/>
        </w:rPr>
        <w:t>3</w:t>
      </w:r>
      <w:r>
        <w:rPr>
          <w:rFonts w:ascii="Times New Roman" w:eastAsia="方正仿宋_GBK" w:hAnsi="Times New Roman" w:hint="eastAsia"/>
          <w:sz w:val="32"/>
          <w:szCs w:val="32"/>
        </w:rPr>
        <w:t>年无国有资本经营预算收支。</w:t>
      </w:r>
    </w:p>
    <w:p>
      <w:pPr>
        <w:pStyle w:val="18"/>
        <w:spacing w:line="560" w:lineRule="exact"/>
        <w:ind w:firstLineChars="200" w:firstLine="640"/>
        <w:rPr>
          <w:rFonts w:eastAsia="方正黑体_GBK"/>
          <w:sz w:val="32"/>
          <w:szCs w:val="32"/>
        </w:rPr>
      </w:pPr>
      <w:r>
        <w:rPr>
          <w:rFonts w:eastAsia="方正黑体_GBK" w:hint="eastAsia"/>
          <w:sz w:val="32"/>
          <w:szCs w:val="32"/>
        </w:rPr>
        <w:t>十、其他重要事项情况说明</w:t>
      </w:r>
    </w:p>
    <w:p>
      <w:pPr>
        <w:spacing w:line="560" w:lineRule="exact"/>
        <w:ind w:firstLineChars="200" w:firstLine="640"/>
        <w:jc w:val="left"/>
        <w:rPr>
          <w:rFonts w:ascii="Times New Roman" w:eastAsia="方正楷体_GBK" w:hAnsi="Times New Roman"/>
          <w:b/>
          <w:bCs/>
          <w:sz w:val="32"/>
          <w:szCs w:val="32"/>
        </w:rPr>
      </w:pPr>
      <w:r>
        <w:rPr>
          <w:rFonts w:ascii="Times New Roman" w:eastAsia="方正楷体_GBK" w:hAnsi="Times New Roman" w:hint="eastAsia"/>
          <w:b/>
          <w:bCs/>
          <w:sz w:val="32"/>
          <w:szCs w:val="32"/>
        </w:rPr>
        <w:t>（一）机关运行经费。</w:t>
      </w:r>
    </w:p>
    <w:p>
      <w:pPr>
        <w:autoSpaceDE w:val="0"/>
        <w:autoSpaceDN w:val="0"/>
        <w:adjustRightInd w:val="0"/>
        <w:spacing w:line="560" w:lineRule="atLeast"/>
        <w:ind w:firstLine="640"/>
        <w:rPr>
          <w:rFonts w:ascii="Times New Roman" w:eastAsia="方正仿宋_GBK" w:hAnsi="Times New Roman"/>
          <w:sz w:val="32"/>
          <w:szCs w:val="32"/>
        </w:rPr>
      </w:pPr>
      <w:r>
        <w:rPr>
          <w:rFonts w:ascii="Times New Roman" w:eastAsia="方正仿宋_GBK" w:hAnsi="Times New Roman" w:hint="eastAsia"/>
          <w:sz w:val="32"/>
          <w:szCs w:val="32"/>
        </w:rPr>
        <w:t>202</w:t>
      </w:r>
      <w:r>
        <w:rPr>
          <w:rFonts w:ascii="Times New Roman" w:eastAsia="方正仿宋_GBK" w:hAnsi="Times New Roman"/>
          <w:sz w:val="32"/>
          <w:szCs w:val="32"/>
        </w:rPr>
        <w:t>3</w:t>
      </w:r>
      <w:r>
        <w:rPr>
          <w:rFonts w:ascii="Times New Roman" w:eastAsia="方正仿宋_GBK" w:hAnsi="Times New Roman" w:hint="eastAsia"/>
          <w:sz w:val="32"/>
          <w:szCs w:val="32"/>
        </w:rPr>
        <w:t>年呼和浩特海关本级运行经费财政拨款预</w:t>
      </w:r>
      <w:r>
        <w:rPr>
          <w:rFonts w:ascii="Times New Roman" w:eastAsia="方正仿宋_GBK" w:hAnsi="Times New Roman" w:hint="eastAsia"/>
          <w:color w:val="000000"/>
          <w:sz w:val="32"/>
          <w:szCs w:val="32"/>
        </w:rPr>
        <w:t>算</w:t>
      </w:r>
      <w:r>
        <w:rPr>
          <w:rFonts w:ascii="Times New Roman" w:eastAsia="方正仿宋_GBK" w:hAnsi="Times New Roman"/>
          <w:color w:val="000000"/>
          <w:sz w:val="32"/>
          <w:szCs w:val="32"/>
        </w:rPr>
        <w:t>2028.14</w:t>
      </w:r>
      <w:r>
        <w:rPr>
          <w:rFonts w:ascii="Times New Roman" w:eastAsia="方正仿宋_GBK" w:hAnsi="Times New Roman" w:hint="eastAsia"/>
          <w:sz w:val="32"/>
          <w:szCs w:val="32"/>
        </w:rPr>
        <w:t>万元，较202</w:t>
      </w:r>
      <w:r>
        <w:rPr>
          <w:rFonts w:ascii="Times New Roman" w:eastAsia="方正仿宋_GBK" w:hAnsi="Times New Roman"/>
          <w:sz w:val="32"/>
          <w:szCs w:val="32"/>
        </w:rPr>
        <w:t>2</w:t>
      </w:r>
      <w:r>
        <w:rPr>
          <w:rFonts w:ascii="Times New Roman" w:eastAsia="方正仿宋_GBK" w:hAnsi="Times New Roman" w:hint="eastAsia"/>
          <w:sz w:val="32"/>
          <w:szCs w:val="32"/>
        </w:rPr>
        <w:t>年预</w:t>
      </w:r>
      <w:r>
        <w:rPr>
          <w:rFonts w:ascii="Times New Roman" w:eastAsia="方正仿宋_GBK" w:hAnsi="Times New Roman" w:hint="eastAsia"/>
          <w:color w:val="000000"/>
          <w:sz w:val="32"/>
          <w:szCs w:val="32"/>
        </w:rPr>
        <w:t>算减少</w:t>
      </w:r>
      <w:r>
        <w:rPr>
          <w:rFonts w:ascii="Times New Roman" w:eastAsia="方正仿宋_GBK" w:hAnsi="Times New Roman"/>
          <w:color w:val="000000"/>
          <w:sz w:val="32"/>
          <w:szCs w:val="32"/>
        </w:rPr>
        <w:t>52.31</w:t>
      </w:r>
      <w:r>
        <w:rPr>
          <w:rFonts w:ascii="Times New Roman" w:eastAsia="方正仿宋_GBK" w:hAnsi="Times New Roman" w:hint="eastAsia"/>
          <w:color w:val="000000"/>
          <w:sz w:val="32"/>
          <w:szCs w:val="32"/>
        </w:rPr>
        <w:t>万元，减少</w:t>
      </w:r>
      <w:r>
        <w:rPr>
          <w:rFonts w:ascii="Times New Roman" w:eastAsia="方正仿宋_GBK" w:hAnsi="Times New Roman"/>
          <w:color w:val="000000"/>
          <w:sz w:val="32"/>
          <w:szCs w:val="32"/>
        </w:rPr>
        <w:t>2.51</w:t>
      </w:r>
      <w:r>
        <w:rPr>
          <w:rFonts w:ascii="Times New Roman" w:eastAsia="方正仿宋_GBK" w:hAnsi="Times New Roman" w:hint="eastAsia"/>
          <w:color w:val="000000"/>
          <w:sz w:val="32"/>
          <w:szCs w:val="32"/>
        </w:rPr>
        <w:t>%。</w:t>
      </w:r>
      <w:r>
        <w:rPr>
          <w:rFonts w:ascii="Times New Roman" w:eastAsia="方正仿宋_GBK" w:hAnsi="Times New Roman" w:hint="eastAsia"/>
          <w:sz w:val="32"/>
          <w:szCs w:val="32"/>
        </w:rPr>
        <w:t>主要是</w:t>
      </w:r>
      <w:r>
        <w:rPr>
          <w:rFonts w:ascii="宋体" w:cs="宋体" w:hint="eastAsia"/>
          <w:kern w:val="0"/>
          <w:sz w:val="32"/>
          <w:szCs w:val="32"/>
          <w:lang w:val="zh-CN" w:bidi="mn-Mong-CN"/>
        </w:rPr>
        <w:t>落实</w:t>
      </w:r>
      <w:r>
        <w:rPr>
          <w:rFonts w:ascii="Times New Roman" w:eastAsia="方正仿宋_GBK" w:hAnsi="Times New Roman" w:hint="eastAsia"/>
          <w:sz w:val="32"/>
          <w:szCs w:val="32"/>
        </w:rPr>
        <w:t>过紧日子要求，压减相关经费。</w:t>
      </w:r>
    </w:p>
    <w:p>
      <w:pPr>
        <w:spacing w:line="560" w:lineRule="exact"/>
        <w:ind w:firstLineChars="200" w:firstLine="640"/>
        <w:jc w:val="left"/>
        <w:rPr>
          <w:rFonts w:ascii="Times New Roman" w:eastAsia="方正楷体_GBK" w:hAnsi="Times New Roman"/>
          <w:b/>
          <w:bCs/>
          <w:sz w:val="32"/>
          <w:szCs w:val="32"/>
        </w:rPr>
      </w:pPr>
      <w:r>
        <w:rPr>
          <w:rFonts w:ascii="Times New Roman" w:eastAsia="方正楷体_GBK" w:hAnsi="Times New Roman" w:hint="eastAsia"/>
          <w:b/>
          <w:bCs/>
          <w:sz w:val="32"/>
          <w:szCs w:val="32"/>
        </w:rPr>
        <w:t>（二）政府采购情况。</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202</w:t>
      </w:r>
      <w:r>
        <w:rPr>
          <w:rFonts w:ascii="Times New Roman" w:eastAsia="方正仿宋_GBK" w:hAnsi="Times New Roman"/>
          <w:sz w:val="32"/>
          <w:szCs w:val="32"/>
        </w:rPr>
        <w:t>3</w:t>
      </w:r>
      <w:r>
        <w:rPr>
          <w:rFonts w:ascii="Times New Roman" w:eastAsia="方正仿宋_GBK" w:hAnsi="Times New Roman" w:hint="eastAsia"/>
          <w:sz w:val="32"/>
          <w:szCs w:val="32"/>
        </w:rPr>
        <w:t>年呼和浩特海关本级政府采购预算总额</w:t>
      </w:r>
      <w:r>
        <w:rPr>
          <w:rFonts w:ascii="Times New Roman" w:eastAsia="方正仿宋_GBK" w:hAnsi="Times New Roman"/>
          <w:sz w:val="32"/>
          <w:szCs w:val="32"/>
        </w:rPr>
        <w:t>2230.51</w:t>
      </w:r>
      <w:r>
        <w:rPr>
          <w:rFonts w:ascii="Times New Roman" w:eastAsia="方正仿宋_GBK" w:hAnsi="Times New Roman" w:hint="eastAsia"/>
          <w:sz w:val="32"/>
          <w:szCs w:val="32"/>
        </w:rPr>
        <w:t>万元，其中：政府采购货物预算</w:t>
      </w:r>
      <w:r>
        <w:rPr>
          <w:rFonts w:ascii="Times New Roman" w:eastAsia="方正仿宋_GBK" w:hAnsi="Times New Roman"/>
          <w:sz w:val="32"/>
          <w:szCs w:val="32"/>
        </w:rPr>
        <w:t>1527.69</w:t>
      </w:r>
      <w:r>
        <w:rPr>
          <w:rFonts w:ascii="Times New Roman" w:eastAsia="方正仿宋_GBK" w:hAnsi="Times New Roman" w:hint="eastAsia"/>
          <w:sz w:val="32"/>
          <w:szCs w:val="32"/>
        </w:rPr>
        <w:t>万元、政府采购工程预算</w:t>
      </w:r>
      <w:r>
        <w:rPr>
          <w:rFonts w:ascii="Times New Roman" w:eastAsia="方正仿宋_GBK" w:hAnsi="Times New Roman"/>
          <w:sz w:val="32"/>
          <w:szCs w:val="32"/>
        </w:rPr>
        <w:t>0</w:t>
      </w:r>
      <w:r>
        <w:rPr>
          <w:rFonts w:ascii="Times New Roman" w:eastAsia="方正仿宋_GBK" w:hAnsi="Times New Roman" w:hint="eastAsia"/>
          <w:sz w:val="32"/>
          <w:szCs w:val="32"/>
        </w:rPr>
        <w:t>万元、政府采购服务预算</w:t>
      </w:r>
      <w:r>
        <w:rPr>
          <w:rFonts w:ascii="Times New Roman" w:eastAsia="方正仿宋_GBK" w:hAnsi="Times New Roman"/>
          <w:sz w:val="32"/>
          <w:szCs w:val="32"/>
        </w:rPr>
        <w:t>702.82</w:t>
      </w:r>
      <w:r>
        <w:rPr>
          <w:rFonts w:ascii="Times New Roman" w:eastAsia="方正仿宋_GBK" w:hAnsi="Times New Roman" w:hint="eastAsia"/>
          <w:sz w:val="32"/>
          <w:szCs w:val="32"/>
        </w:rPr>
        <w:t>万元。</w:t>
      </w:r>
    </w:p>
    <w:p>
      <w:pPr>
        <w:spacing w:line="560" w:lineRule="exact"/>
        <w:ind w:firstLineChars="200" w:firstLine="640"/>
        <w:jc w:val="left"/>
        <w:rPr>
          <w:rFonts w:ascii="Times New Roman" w:eastAsia="方正楷体_GBK" w:hAnsi="Times New Roman"/>
          <w:b/>
          <w:bCs/>
          <w:sz w:val="32"/>
          <w:szCs w:val="32"/>
        </w:rPr>
      </w:pPr>
      <w:r>
        <w:rPr>
          <w:rFonts w:ascii="Times New Roman" w:eastAsia="方正楷体_GBK" w:hAnsi="Times New Roman" w:hint="eastAsia"/>
          <w:b/>
          <w:bCs/>
          <w:sz w:val="32"/>
          <w:szCs w:val="32"/>
        </w:rPr>
        <w:t>（三）国有资产占有使用情况。</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截至2022年8月31日，呼和浩特海关本级共有车辆</w:t>
      </w:r>
      <w:r>
        <w:rPr>
          <w:rFonts w:ascii="Times New Roman" w:eastAsia="方正仿宋_GBK" w:hAnsi="Times New Roman"/>
          <w:color w:val="000000"/>
          <w:sz w:val="32"/>
          <w:szCs w:val="32"/>
        </w:rPr>
        <w:t>33</w:t>
      </w:r>
      <w:r>
        <w:rPr>
          <w:rFonts w:ascii="Times New Roman" w:eastAsia="方正仿宋_GBK" w:hAnsi="Times New Roman" w:hint="eastAsia"/>
          <w:color w:val="000000"/>
          <w:sz w:val="32"/>
          <w:szCs w:val="32"/>
        </w:rPr>
        <w:t>辆，其中，</w:t>
      </w:r>
      <w:r>
        <w:rPr>
          <w:rFonts w:ascii="Times New Roman" w:eastAsia="方正仿宋_GBK" w:hAnsi="Times New Roman"/>
          <w:color w:val="000000"/>
          <w:sz w:val="32"/>
          <w:szCs w:val="32"/>
        </w:rPr>
        <w:t>主要领导干部用车1辆，</w:t>
      </w:r>
      <w:r>
        <w:rPr>
          <w:rFonts w:ascii="Times New Roman" w:eastAsia="方正仿宋_GBK" w:hAnsi="Times New Roman" w:hint="eastAsia"/>
          <w:color w:val="000000"/>
          <w:sz w:val="32"/>
          <w:szCs w:val="32"/>
        </w:rPr>
        <w:t>机要通信用车</w:t>
      </w:r>
      <w:r>
        <w:rPr>
          <w:rFonts w:ascii="Times New Roman" w:eastAsia="方正仿宋_GBK" w:hAnsi="Times New Roman"/>
          <w:color w:val="000000"/>
          <w:sz w:val="32"/>
          <w:szCs w:val="32"/>
        </w:rPr>
        <w:t>6</w:t>
      </w:r>
      <w:r>
        <w:rPr>
          <w:rFonts w:ascii="Times New Roman" w:eastAsia="方正仿宋_GBK" w:hAnsi="Times New Roman" w:hint="eastAsia"/>
          <w:color w:val="000000"/>
          <w:sz w:val="32"/>
          <w:szCs w:val="32"/>
        </w:rPr>
        <w:t>辆、执法执勤用车</w:t>
      </w:r>
      <w:r>
        <w:rPr>
          <w:rFonts w:ascii="Times New Roman" w:eastAsia="方正仿宋_GBK" w:hAnsi="Times New Roman"/>
          <w:color w:val="000000"/>
          <w:sz w:val="32"/>
          <w:szCs w:val="32"/>
        </w:rPr>
        <w:t>24</w:t>
      </w:r>
      <w:r>
        <w:rPr>
          <w:rFonts w:ascii="Times New Roman" w:eastAsia="方正仿宋_GBK" w:hAnsi="Times New Roman" w:hint="eastAsia"/>
          <w:color w:val="000000"/>
          <w:sz w:val="32"/>
          <w:szCs w:val="32"/>
        </w:rPr>
        <w:t>辆、特种专业技术用车</w:t>
      </w:r>
      <w:r>
        <w:rPr>
          <w:rFonts w:ascii="Times New Roman" w:eastAsia="方正仿宋_GBK" w:hAnsi="Times New Roman"/>
          <w:color w:val="000000"/>
          <w:sz w:val="32"/>
          <w:szCs w:val="32"/>
        </w:rPr>
        <w:t>1</w:t>
      </w:r>
      <w:r>
        <w:rPr>
          <w:rFonts w:ascii="Times New Roman" w:eastAsia="方正仿宋_GBK" w:hAnsi="Times New Roman" w:hint="eastAsia"/>
          <w:color w:val="000000"/>
          <w:sz w:val="32"/>
          <w:szCs w:val="32"/>
        </w:rPr>
        <w:t>辆、</w:t>
      </w:r>
      <w:r>
        <w:rPr>
          <w:rFonts w:ascii="Times New Roman" w:eastAsia="方正仿宋_GBK" w:hAnsi="Times New Roman"/>
          <w:color w:val="000000"/>
          <w:sz w:val="32"/>
          <w:szCs w:val="32"/>
        </w:rPr>
        <w:t>离退休干部服务</w:t>
      </w:r>
      <w:r>
        <w:rPr>
          <w:rFonts w:ascii="Times New Roman" w:eastAsia="方正仿宋_GBK" w:hAnsi="Times New Roman" w:hint="eastAsia"/>
          <w:color w:val="000000"/>
          <w:sz w:val="32"/>
          <w:szCs w:val="32"/>
        </w:rPr>
        <w:t>用车</w:t>
      </w:r>
      <w:r>
        <w:rPr>
          <w:rFonts w:ascii="Times New Roman" w:eastAsia="方正仿宋_GBK" w:hAnsi="Times New Roman"/>
          <w:color w:val="000000"/>
          <w:sz w:val="32"/>
          <w:szCs w:val="32"/>
        </w:rPr>
        <w:t>1</w:t>
      </w:r>
      <w:r>
        <w:rPr>
          <w:rFonts w:ascii="Times New Roman" w:eastAsia="方正仿宋_GBK" w:hAnsi="Times New Roman" w:hint="eastAsia"/>
          <w:color w:val="000000"/>
          <w:sz w:val="32"/>
          <w:szCs w:val="32"/>
        </w:rPr>
        <w:t>辆。单位价值100万元以上的设备</w:t>
      </w:r>
      <w:r>
        <w:rPr>
          <w:rFonts w:ascii="Times New Roman" w:eastAsia="方正仿宋_GBK" w:hAnsi="Times New Roman"/>
          <w:color w:val="000000"/>
          <w:sz w:val="32"/>
          <w:szCs w:val="32"/>
        </w:rPr>
        <w:t>22</w:t>
      </w:r>
      <w:r>
        <w:rPr>
          <w:rFonts w:ascii="Times New Roman" w:eastAsia="方正仿宋_GBK" w:hAnsi="Times New Roman" w:hint="eastAsia"/>
          <w:color w:val="000000"/>
          <w:sz w:val="32"/>
          <w:szCs w:val="32"/>
        </w:rPr>
        <w:t>台（套）。</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202</w:t>
      </w:r>
      <w:r>
        <w:rPr>
          <w:rFonts w:ascii="Times New Roman" w:eastAsia="方正仿宋_GBK" w:hAnsi="Times New Roman"/>
          <w:sz w:val="32"/>
          <w:szCs w:val="32"/>
        </w:rPr>
        <w:t>3</w:t>
      </w:r>
      <w:r>
        <w:rPr>
          <w:rFonts w:ascii="Times New Roman" w:eastAsia="方正仿宋_GBK" w:hAnsi="Times New Roman" w:hint="eastAsia"/>
          <w:sz w:val="32"/>
          <w:szCs w:val="32"/>
        </w:rPr>
        <w:t>年部门预算安排购置车辆</w:t>
      </w:r>
      <w:r>
        <w:rPr>
          <w:rFonts w:ascii="Times New Roman" w:eastAsia="方正仿宋_GBK" w:hAnsi="Times New Roman"/>
          <w:sz w:val="32"/>
          <w:szCs w:val="32"/>
        </w:rPr>
        <w:t>2</w:t>
      </w:r>
      <w:r>
        <w:rPr>
          <w:rFonts w:ascii="Times New Roman" w:eastAsia="方正仿宋_GBK" w:hAnsi="Times New Roman" w:hint="eastAsia"/>
          <w:sz w:val="32"/>
          <w:szCs w:val="32"/>
        </w:rPr>
        <w:t>辆，其中，</w:t>
      </w:r>
      <w:r>
        <w:rPr>
          <w:rFonts w:ascii="Times New Roman" w:eastAsia="方正仿宋_GBK" w:hAnsi="Times New Roman" w:hint="eastAsia"/>
          <w:color w:val="000000"/>
          <w:sz w:val="32"/>
          <w:szCs w:val="32"/>
        </w:rPr>
        <w:t>执法执勤用车</w:t>
      </w:r>
      <w:r>
        <w:rPr>
          <w:rFonts w:ascii="Times New Roman" w:eastAsia="方正仿宋_GBK" w:hAnsi="Times New Roman"/>
          <w:color w:val="000000"/>
          <w:sz w:val="32"/>
          <w:szCs w:val="32"/>
        </w:rPr>
        <w:t>2</w:t>
      </w:r>
      <w:r>
        <w:rPr>
          <w:rFonts w:ascii="Times New Roman" w:eastAsia="方正仿宋_GBK" w:hAnsi="Times New Roman" w:hint="eastAsia"/>
          <w:color w:val="000000"/>
          <w:sz w:val="32"/>
          <w:szCs w:val="32"/>
        </w:rPr>
        <w:t>辆</w:t>
      </w:r>
      <w:r>
        <w:rPr>
          <w:rFonts w:ascii="Times New Roman" w:eastAsia="方正仿宋_GBK" w:hAnsi="Times New Roman" w:hint="eastAsia"/>
          <w:sz w:val="32"/>
          <w:szCs w:val="32"/>
        </w:rPr>
        <w:t>。</w:t>
      </w:r>
    </w:p>
    <w:p>
      <w:pPr>
        <w:spacing w:line="560" w:lineRule="exact"/>
        <w:ind w:firstLineChars="200" w:firstLine="640"/>
        <w:jc w:val="left"/>
        <w:rPr>
          <w:rFonts w:ascii="Times New Roman" w:eastAsia="方正楷体_GBK" w:hAnsi="Times New Roman"/>
          <w:b/>
          <w:bCs/>
          <w:sz w:val="32"/>
          <w:szCs w:val="32"/>
          <w:highlight w:val="yellow"/>
        </w:rPr>
      </w:pPr>
      <w:r>
        <w:rPr>
          <w:rFonts w:ascii="Times New Roman" w:eastAsia="方正楷体_GBK" w:hAnsi="Times New Roman" w:hint="eastAsia"/>
          <w:b/>
          <w:bCs/>
          <w:sz w:val="32"/>
          <w:szCs w:val="32"/>
        </w:rPr>
        <w:t>（四）预算绩效情况说明。</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2023年对呼和浩特海关本级一般公共预算拨款项目全面实施绩效目标管理，涉及一般公共预算当年拨款</w:t>
      </w:r>
      <w:r>
        <w:rPr>
          <w:rFonts w:ascii="Times New Roman" w:eastAsia="方正仿宋_GBK" w:hAnsi="Times New Roman"/>
          <w:sz w:val="32"/>
          <w:szCs w:val="32"/>
        </w:rPr>
        <w:t>1760.32</w:t>
      </w:r>
      <w:r>
        <w:rPr>
          <w:rFonts w:ascii="Times New Roman" w:eastAsia="方正仿宋_GBK" w:hAnsi="Times New Roman" w:hint="eastAsia"/>
          <w:sz w:val="32"/>
          <w:szCs w:val="32"/>
        </w:rPr>
        <w:t>万元，一级项目</w:t>
      </w:r>
      <w:r>
        <w:rPr>
          <w:rFonts w:ascii="Times New Roman" w:eastAsia="方正仿宋_GBK" w:hAnsi="Times New Roman"/>
          <w:sz w:val="32"/>
          <w:szCs w:val="32"/>
        </w:rPr>
        <w:t>11</w:t>
      </w:r>
      <w:r>
        <w:rPr>
          <w:rFonts w:ascii="Times New Roman" w:eastAsia="方正仿宋_GBK" w:hAnsi="Times New Roman" w:hint="eastAsia"/>
          <w:sz w:val="32"/>
          <w:szCs w:val="32"/>
        </w:rPr>
        <w:t>个，二级项目</w:t>
      </w:r>
      <w:r>
        <w:rPr>
          <w:rFonts w:ascii="Times New Roman" w:eastAsia="方正仿宋_GBK" w:hAnsi="Times New Roman"/>
          <w:sz w:val="32"/>
          <w:szCs w:val="32"/>
        </w:rPr>
        <w:t>15</w:t>
      </w:r>
      <w:r>
        <w:rPr>
          <w:rFonts w:ascii="Times New Roman" w:eastAsia="方正仿宋_GBK" w:hAnsi="Times New Roman" w:hint="eastAsia"/>
          <w:sz w:val="32"/>
          <w:szCs w:val="32"/>
        </w:rPr>
        <w:t>个。根据以前年度绩效评价结果，优化进出口商品质量安全检验监管专项、进出口食品及化妆品安全专项等项目支出2023年预算安排，并进一步改进管理、完善政策。</w:t>
      </w:r>
    </w:p>
    <w:p>
      <w:pPr>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p>
      <w:pPr>
        <w:jc w:val="center"/>
        <w:rPr>
          <w:rFonts w:ascii="Times New Roman" w:eastAsia="方正仿宋_GBK" w:hAnsi="Times New Roman"/>
          <w:sz w:val="32"/>
          <w:szCs w:val="32"/>
        </w:rPr>
      </w:pPr>
    </w:p>
    <w:p>
      <w:pPr>
        <w:jc w:val="center"/>
        <w:rPr>
          <w:rFonts w:ascii="Times New Roman" w:hAnsi="Times New Roman"/>
          <w:b/>
          <w:sz w:val="32"/>
          <w:szCs w:val="32"/>
        </w:rPr>
      </w:pPr>
    </w:p>
    <w:p>
      <w:pPr>
        <w:jc w:val="center"/>
        <w:rPr>
          <w:rFonts w:ascii="Times New Roman" w:hAnsi="Times New Roman"/>
          <w:b/>
          <w:sz w:val="32"/>
          <w:szCs w:val="32"/>
        </w:rPr>
      </w:pPr>
      <w:r>
        <w:rPr>
          <w:rFonts w:ascii="Times New Roman" w:hAnsi="Times New Roman" w:hint="eastAsia"/>
          <w:b/>
          <w:sz w:val="32"/>
          <w:szCs w:val="32"/>
        </w:rPr>
        <w:t xml:space="preserve"> </w:t>
      </w: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r>
        <w:rPr>
          <w:rFonts w:ascii="Times New Roman" w:hAnsi="Times New Roman" w:hint="eastAsia"/>
          <w:b/>
          <w:sz w:val="32"/>
          <w:szCs w:val="32"/>
        </w:rPr>
        <w:t xml:space="preserve"> </w:t>
      </w:r>
    </w:p>
    <w:p>
      <w:pPr>
        <w:jc w:val="center"/>
        <w:rPr>
          <w:rFonts w:ascii="Times New Roman" w:hAnsi="Times New Roman"/>
          <w:b/>
          <w:sz w:val="84"/>
          <w:szCs w:val="84"/>
        </w:rPr>
      </w:pPr>
      <w:r>
        <w:rPr>
          <w:rFonts w:ascii="Times New Roman" w:hAnsi="Times New Roman" w:hint="eastAsia"/>
          <w:b/>
          <w:sz w:val="84"/>
          <w:szCs w:val="84"/>
        </w:rPr>
        <w:t>第四部分</w:t>
      </w:r>
      <w:r>
        <w:rPr>
          <w:rFonts w:ascii="Times New Roman" w:hAnsi="Times New Roman"/>
          <w:b/>
          <w:sz w:val="84"/>
          <w:szCs w:val="84"/>
        </w:rPr>
        <w:t xml:space="preserve">  </w:t>
      </w:r>
    </w:p>
    <w:p>
      <w:pPr>
        <w:jc w:val="center"/>
        <w:rPr>
          <w:rFonts w:ascii="Times New Roman" w:hAnsi="Times New Roman"/>
          <w:b/>
          <w:sz w:val="84"/>
          <w:szCs w:val="84"/>
        </w:rPr>
      </w:pPr>
      <w:r>
        <w:rPr>
          <w:rFonts w:ascii="Times New Roman" w:hAnsi="Times New Roman" w:hint="eastAsia"/>
          <w:b/>
          <w:sz w:val="84"/>
          <w:szCs w:val="84"/>
        </w:rPr>
        <w:t>名词解释</w:t>
      </w:r>
    </w:p>
    <w:p>
      <w:pPr>
        <w:rPr>
          <w:rFonts w:ascii="Times New Roman" w:hAnsi="Times New Roman"/>
          <w:b/>
          <w:sz w:val="84"/>
          <w:szCs w:val="84"/>
        </w:rPr>
        <w:sectPr>
          <w:pgSz w:w="11906" w:h="16838"/>
          <w:pgMar w:top="1440" w:right="1800" w:bottom="1440" w:left="1800" w:header="851" w:footer="992" w:gutter="0"/>
          <w:docGrid w:type="lines" w:linePitch="312" w:charSpace="0"/>
        </w:sectPr>
      </w:pP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一、一般公共预算拨款收入</w:t>
      </w:r>
      <w:r>
        <w:rPr>
          <w:rFonts w:ascii="Times New Roman" w:eastAsia="方正仿宋_GBK" w:hAnsi="Times New Roman" w:hint="eastAsia"/>
          <w:sz w:val="32"/>
          <w:szCs w:val="32"/>
        </w:rPr>
        <w:t>：指中央财政当年拨付的资金。</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二、事业收入</w:t>
      </w:r>
      <w:r>
        <w:rPr>
          <w:rFonts w:ascii="Times New Roman" w:eastAsia="方正仿宋_GBK" w:hAnsi="Times New Roman" w:hint="eastAsia"/>
          <w:sz w:val="32"/>
          <w:szCs w:val="32"/>
        </w:rPr>
        <w:t>：指海关系统所属事业单位开展专业业务活动及辅助活动取得的收入。</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三、事业单位经营收入</w:t>
      </w:r>
      <w:r>
        <w:rPr>
          <w:rFonts w:ascii="Times New Roman" w:eastAsia="方正仿宋_GBK" w:hAnsi="Times New Roman" w:hint="eastAsia"/>
          <w:sz w:val="32"/>
          <w:szCs w:val="32"/>
        </w:rPr>
        <w:t>：指海关系统所属事业单位在专业业务活动及辅助活动之外，开展非独立核算经营活动取得的收入。</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四、其他收入</w:t>
      </w:r>
      <w:r>
        <w:rPr>
          <w:rFonts w:ascii="Times New Roman" w:eastAsia="方正仿宋_GBK" w:hAnsi="Times New Roman" w:hint="eastAsia"/>
          <w:sz w:val="32"/>
          <w:szCs w:val="32"/>
        </w:rPr>
        <w:t>：指海关系统取得的除上述财政拨款收入、事业收入、事业单位经营收入等以外的收入。</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五、使用非财政拨款结余</w:t>
      </w:r>
      <w:r>
        <w:rPr>
          <w:rFonts w:ascii="Times New Roman" w:eastAsia="方正仿宋_GBK" w:hAnsi="Times New Roman" w:hint="eastAsia"/>
          <w:sz w:val="32"/>
          <w:szCs w:val="32"/>
        </w:rPr>
        <w:t>：指海关系统所属事业单位预计收入小于支出时，用非财政拨款结余弥补本年度收支差额的数额。</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六、上年结转</w:t>
      </w:r>
      <w:r>
        <w:rPr>
          <w:rFonts w:ascii="Times New Roman" w:eastAsia="方正仿宋_GBK" w:hAnsi="Times New Roman" w:hint="eastAsia"/>
          <w:sz w:val="32"/>
          <w:szCs w:val="32"/>
        </w:rPr>
        <w:t>：指以前年度尚未完成、结转到本年仍按原规定用途继续使用的资金等。</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七、一般公共服务支出（类）海关事务（款）</w:t>
      </w:r>
      <w:r>
        <w:rPr>
          <w:rFonts w:ascii="Times New Roman" w:eastAsia="方正仿宋_GBK" w:hAnsi="Times New Roman" w:hint="eastAsia"/>
          <w:sz w:val="32"/>
          <w:szCs w:val="32"/>
        </w:rPr>
        <w:t>：反映海关用于系统行政和事业单位的基本支出及完成专项业务工作的项目支出。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（一）行政运行（项）</w:t>
      </w:r>
      <w:r>
        <w:rPr>
          <w:rFonts w:ascii="Times New Roman" w:eastAsia="方正仿宋_GBK" w:hAnsi="Times New Roman" w:hint="eastAsia"/>
          <w:sz w:val="32"/>
          <w:szCs w:val="32"/>
        </w:rPr>
        <w:t>：反映海关系统行政单位（包括实行公务员管理的事业单位）的基本支出。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（二）一般行政管理事务（项）</w:t>
      </w:r>
      <w:r>
        <w:rPr>
          <w:rFonts w:ascii="Times New Roman" w:eastAsia="方正仿宋_GBK" w:hAnsi="Times New Roman" w:hint="eastAsia"/>
          <w:sz w:val="32"/>
          <w:szCs w:val="32"/>
        </w:rPr>
        <w:t>：反映海关系统行政单位（包括实行公务员管理的事业单位）未单独设置项级科目的其他项目支出。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（三）机关服务（项）</w:t>
      </w:r>
      <w:r>
        <w:rPr>
          <w:rFonts w:ascii="Times New Roman" w:eastAsia="方正仿宋_GBK" w:hAnsi="Times New Roman" w:hint="eastAsia"/>
          <w:sz w:val="32"/>
          <w:szCs w:val="32"/>
        </w:rPr>
        <w:t>：反映海关系统为行政单位（包括实行公务员管理的事业单位）提供后勤服务的各类后勤服务中心、医务室等附属事业单位的支出。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（四）缉私办案（项）</w:t>
      </w:r>
      <w:r>
        <w:rPr>
          <w:rFonts w:ascii="Times New Roman" w:eastAsia="方正仿宋_GBK" w:hAnsi="Times New Roman" w:hint="eastAsia"/>
          <w:sz w:val="32"/>
          <w:szCs w:val="32"/>
        </w:rPr>
        <w:t>：反映海关用于缉私办案方面的支出。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（五）口岸管理（项）</w:t>
      </w:r>
      <w:r>
        <w:rPr>
          <w:rFonts w:ascii="Times New Roman" w:eastAsia="方正仿宋_GBK" w:hAnsi="Times New Roman" w:hint="eastAsia"/>
          <w:sz w:val="32"/>
          <w:szCs w:val="32"/>
        </w:rPr>
        <w:t>：反映口岸业务管理及电子口岸建设、运行维护方面的支出。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（六）信息化建设（项）</w:t>
      </w:r>
      <w:r>
        <w:rPr>
          <w:rFonts w:ascii="Times New Roman" w:eastAsia="方正仿宋_GBK" w:hAnsi="Times New Roman" w:hint="eastAsia"/>
          <w:sz w:val="32"/>
          <w:szCs w:val="32"/>
        </w:rPr>
        <w:t>：反映海关系统用于信息化建设及运行维护等方面的支出。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（七）海关关务（项）</w:t>
      </w:r>
      <w:r>
        <w:rPr>
          <w:rFonts w:ascii="Times New Roman" w:eastAsia="方正仿宋_GBK" w:hAnsi="Times New Roman" w:hint="eastAsia"/>
          <w:sz w:val="32"/>
          <w:szCs w:val="32"/>
        </w:rPr>
        <w:t>：反映为海关行政执法提供业务保障、支持能力以及基础设施建设、设备设施运维等方面的支出。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（八）关税征管（项）</w:t>
      </w:r>
      <w:r>
        <w:rPr>
          <w:rFonts w:ascii="Times New Roman" w:eastAsia="方正仿宋_GBK" w:hAnsi="Times New Roman" w:hint="eastAsia"/>
          <w:sz w:val="32"/>
          <w:szCs w:val="32"/>
        </w:rPr>
        <w:t>：反映海关系统用于关税及其他税费征管方面的支出。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（九）海关监管（项）</w:t>
      </w:r>
      <w:r>
        <w:rPr>
          <w:rFonts w:ascii="Times New Roman" w:eastAsia="方正仿宋_GBK" w:hAnsi="Times New Roman" w:hint="eastAsia"/>
          <w:sz w:val="32"/>
          <w:szCs w:val="32"/>
        </w:rPr>
        <w:t>：反映海关系统用于监管执法、业务管理及相关设备、技术支持方面的支出。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（十）检验检疫（项）</w:t>
      </w:r>
      <w:r>
        <w:rPr>
          <w:rFonts w:ascii="Times New Roman" w:eastAsia="方正仿宋_GBK" w:hAnsi="Times New Roman" w:hint="eastAsia"/>
          <w:sz w:val="32"/>
          <w:szCs w:val="32"/>
        </w:rPr>
        <w:t>：反映海关系统用于出入境检验检疫行政执法、业务管理及相关技术支持方面的支出。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（十一）事业运行（项）</w:t>
      </w:r>
      <w:r>
        <w:rPr>
          <w:rFonts w:ascii="Times New Roman" w:eastAsia="方正仿宋_GBK" w:hAnsi="Times New Roman" w:hint="eastAsia"/>
          <w:sz w:val="32"/>
          <w:szCs w:val="32"/>
        </w:rPr>
        <w:t>：反映海关事业单位的基本支出，不包括行政单位（包括实行公务员管理的事业单位）后勤服务中心、医务室等附属事业单位。</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（十二）其他海关事务支出（项）</w:t>
      </w:r>
      <w:r>
        <w:rPr>
          <w:rFonts w:ascii="Times New Roman" w:eastAsia="方正仿宋_GBK" w:hAnsi="Times New Roman" w:hint="eastAsia"/>
          <w:sz w:val="32"/>
          <w:szCs w:val="32"/>
        </w:rPr>
        <w:t>：反映除上述项目以外其他海关事务方面的支出。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（十三）派驻派出机构（项）</w:t>
      </w:r>
      <w:r>
        <w:rPr>
          <w:rFonts w:ascii="Times New Roman" w:eastAsia="方正仿宋_GBK" w:hAnsi="Times New Roman" w:hint="eastAsia"/>
          <w:sz w:val="32"/>
          <w:szCs w:val="32"/>
        </w:rPr>
        <w:t>：指中央纪委国家监委驻海关总署开展工作的专项业务支出。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八、外交支出（类）对外援助（款）对外援助（项）</w:t>
      </w:r>
      <w:r>
        <w:rPr>
          <w:rFonts w:ascii="Times New Roman" w:eastAsia="方正仿宋_GBK" w:hAnsi="Times New Roman" w:hint="eastAsia"/>
          <w:sz w:val="32"/>
          <w:szCs w:val="32"/>
        </w:rPr>
        <w:t>：指对外国政府（地区）提供的各种援助和技术合作支出。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九、外交支出（类）驻外机构（款）其他驻外机构支出（项）</w:t>
      </w:r>
      <w:r>
        <w:rPr>
          <w:rFonts w:ascii="Times New Roman" w:eastAsia="方正仿宋_GBK" w:hAnsi="Times New Roman" w:hint="eastAsia"/>
          <w:sz w:val="32"/>
          <w:szCs w:val="32"/>
        </w:rPr>
        <w:t>：反映用于保障海关系统驻外机构正常运行的支出。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十、外交支出（类）国际组织（款）国际组织会费（项）</w:t>
      </w:r>
      <w:r>
        <w:rPr>
          <w:rFonts w:ascii="Times New Roman" w:eastAsia="方正仿宋_GBK" w:hAnsi="Times New Roman" w:hint="eastAsia"/>
          <w:sz w:val="32"/>
          <w:szCs w:val="32"/>
        </w:rPr>
        <w:t>：反映海关经批准参加国际组织，按国际组织规定缴纳的会费。</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十一、外交支出（类）国际组织（款）国际组织捐赠（项）</w:t>
      </w:r>
      <w:r>
        <w:rPr>
          <w:rFonts w:ascii="Times New Roman" w:eastAsia="方正仿宋_GBK" w:hAnsi="Times New Roman" w:hint="eastAsia"/>
          <w:sz w:val="32"/>
          <w:szCs w:val="32"/>
        </w:rPr>
        <w:t>：反映以我国政府或海关总署名义，向国际组织的认捐、救灾、馈赠等支出。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十二、外交支出（类）对外合作与交流（款）对外合作活动（项）</w:t>
      </w:r>
      <w:r>
        <w:rPr>
          <w:rFonts w:ascii="Times New Roman" w:eastAsia="方正仿宋_GBK" w:hAnsi="Times New Roman" w:hint="eastAsia"/>
          <w:sz w:val="32"/>
          <w:szCs w:val="32"/>
        </w:rPr>
        <w:t>：反映海关用于外交目的的对外合作方面支出。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十三、外交支出（类）其他外交支出（款）其他外交支出（项）</w:t>
      </w:r>
      <w:r>
        <w:rPr>
          <w:rFonts w:ascii="Times New Roman" w:eastAsia="方正仿宋_GBK" w:hAnsi="Times New Roman" w:hint="eastAsia"/>
          <w:sz w:val="32"/>
          <w:szCs w:val="32"/>
        </w:rPr>
        <w:t>：反映除上述项目以外其他用于外交方面的支出。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十四、公共安全支出（类）缉私警察（款）</w:t>
      </w:r>
      <w:r>
        <w:rPr>
          <w:rFonts w:ascii="Times New Roman" w:eastAsia="方正仿宋_GBK" w:hAnsi="Times New Roman" w:hint="eastAsia"/>
          <w:sz w:val="32"/>
          <w:szCs w:val="32"/>
        </w:rPr>
        <w:t>：反映海关缉私警察的基本支出及完成专项业务工作的项目支出。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十五、教育支出（类）普通教育（款）高等教育（项）</w:t>
      </w:r>
      <w:r>
        <w:rPr>
          <w:rFonts w:ascii="Times New Roman" w:eastAsia="方正仿宋_GBK" w:hAnsi="Times New Roman" w:hint="eastAsia"/>
          <w:sz w:val="32"/>
          <w:szCs w:val="32"/>
        </w:rPr>
        <w:t>：反映海关所属院校教学等方面的支出。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十六、教育支出（类）进修及培训（款）培训支出（项）</w:t>
      </w:r>
      <w:r>
        <w:rPr>
          <w:rFonts w:ascii="Times New Roman" w:eastAsia="方正仿宋_GBK" w:hAnsi="Times New Roman" w:hint="eastAsia"/>
          <w:sz w:val="32"/>
          <w:szCs w:val="32"/>
        </w:rPr>
        <w:t>：反映海关安排的用于培训的支出。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十七、社会保障和就业支出（类）行政事业单位养老支出（款）</w:t>
      </w:r>
      <w:r>
        <w:rPr>
          <w:rFonts w:ascii="Times New Roman" w:eastAsia="方正仿宋_GBK" w:hAnsi="Times New Roman" w:hint="eastAsia"/>
          <w:sz w:val="32"/>
          <w:szCs w:val="32"/>
        </w:rPr>
        <w:t>：反映用于海关行政事业单位养老方面的支出。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（一）行政单位离退休（项）</w:t>
      </w:r>
      <w:r>
        <w:rPr>
          <w:rFonts w:ascii="Times New Roman" w:eastAsia="方正仿宋_GBK" w:hAnsi="Times New Roman" w:hint="eastAsia"/>
          <w:sz w:val="32"/>
          <w:szCs w:val="32"/>
        </w:rPr>
        <w:t>：反映海关系统行政单位（包括实行公务员管理的事业单位）开支的离退休经费。</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（二）事业单位离退休（项）</w:t>
      </w:r>
      <w:r>
        <w:rPr>
          <w:rFonts w:ascii="Times New Roman" w:eastAsia="方正仿宋_GBK" w:hAnsi="Times New Roman" w:hint="eastAsia"/>
          <w:sz w:val="32"/>
          <w:szCs w:val="32"/>
        </w:rPr>
        <w:t>：反映海关系统事业单位开支的离退休经费。</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（三）离退休人员管理机构（项）</w:t>
      </w:r>
      <w:r>
        <w:rPr>
          <w:rFonts w:ascii="Times New Roman" w:eastAsia="方正仿宋_GBK" w:hAnsi="Times New Roman" w:hint="eastAsia"/>
          <w:sz w:val="32"/>
          <w:szCs w:val="32"/>
        </w:rPr>
        <w:t>：反映海关系统为离退休人员提供管理服务的离退休管理机构的支出。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（四）机关事业单位基本养老保险缴费支出（项）</w:t>
      </w:r>
      <w:r>
        <w:rPr>
          <w:rFonts w:ascii="Times New Roman" w:eastAsia="方正仿宋_GBK" w:hAnsi="Times New Roman" w:hint="eastAsia"/>
          <w:sz w:val="32"/>
          <w:szCs w:val="32"/>
        </w:rPr>
        <w:t>：反映已参加当地社保的在职人员的基本养老保险支出。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（五）机关事业单位职业年金缴费支出（项）</w:t>
      </w:r>
      <w:r>
        <w:rPr>
          <w:rFonts w:ascii="Times New Roman" w:eastAsia="方正仿宋_GBK" w:hAnsi="Times New Roman" w:hint="eastAsia"/>
          <w:sz w:val="32"/>
          <w:szCs w:val="32"/>
        </w:rPr>
        <w:t>：反映已参加当地社保的在职人员的职业年金支出。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十八、住房保障支出（类）住房改革支出（款）</w:t>
      </w:r>
      <w:r>
        <w:rPr>
          <w:rFonts w:ascii="Times New Roman" w:eastAsia="方正仿宋_GBK" w:hAnsi="Times New Roman" w:hint="eastAsia"/>
          <w:sz w:val="32"/>
          <w:szCs w:val="32"/>
        </w:rPr>
        <w:t>：反映海关系统按照国家政策规定为职工发放的住房公积金、提租补贴和购房补贴等支出。住房改革支出包括三项：</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（一）住房公积金（项）</w:t>
      </w:r>
      <w:r>
        <w:rPr>
          <w:rFonts w:ascii="Times New Roman" w:eastAsia="方正仿宋_GBK" w:hAnsi="Times New Roman" w:hint="eastAsia"/>
          <w:sz w:val="32"/>
          <w:szCs w:val="32"/>
        </w:rPr>
        <w:t>：住房公积金是按照《住房公积金管理条例》的规定，由单位及其在职职工缴存的长期住房储金。该项政策始于上世纪九十年代中期，在全国机关、企事业单位在职职工中普遍实施，缴存比例最低不低于5％，最高不超过12％，缴存基数为职工本人上年工资，目前已实施近20年时间。行政单位缴存基数包括国家统一规定的公务员职务工资、级别工资、机关工人岗位工资和技术等级（职务）工资、年终一次性奖金、特殊岗位津贴、艰苦边远地区津贴，规范后发放的工作性津贴、生活性补贴等；事业单位缴存基数包括国家统一规定的岗位工资、薪级工资、绩效工资、艰苦边远地区津贴、特殊岗位津贴等。</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（二）提租补贴（项）</w:t>
      </w:r>
      <w:r>
        <w:rPr>
          <w:rFonts w:ascii="Times New Roman" w:eastAsia="方正仿宋_GBK" w:hAnsi="Times New Roman" w:hint="eastAsia"/>
          <w:sz w:val="32"/>
          <w:szCs w:val="32"/>
        </w:rPr>
        <w:t>：提租补贴是经国务院批准，于2000年开始针对在京中央单位公有住房租金标准提高发放的补贴，中央在京单位按照在职在编职工人数和离退休人数以及相应职级的补贴标准确定，人均月补贴90元。</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（三）购房补贴（项）</w:t>
      </w:r>
      <w:r>
        <w:rPr>
          <w:rFonts w:ascii="Times New Roman" w:eastAsia="方正仿宋_GBK" w:hAnsi="Times New Roman" w:hint="eastAsia"/>
          <w:sz w:val="32"/>
          <w:szCs w:val="32"/>
        </w:rPr>
        <w:t>：购房补贴是根据《国务院关于进一步深化城镇住房制度改革加快住房建设的通知》（国发〔1998〕23号）的规定，从1998年下半年停止实物分房后，房价收入比超过4倍以上地区对无房和住房未达标职工发放的住房货币化改革补贴资金。中央行政事业单位从2000年开始发放购房补贴资金，地方行政事业单位从1999年陆续开始发放购房补贴资金，企业根据本单位情况自行确定。在京中央单位按照《中共中央办公厅国务院办公厅转发建设部等单位〈关于完善在京中央和国家机关住房制度的若干意见〉的通知》（厅字〔2005〕8号）规定的标准执行，京外中央单位按照所在地人民政府住房分配货币化改革的政策规定和标准执行。</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十九、卫生健康支出（类）行政事业单位医疗（款）</w:t>
      </w:r>
      <w:r>
        <w:rPr>
          <w:rFonts w:ascii="Times New Roman" w:eastAsia="方正仿宋_GBK" w:hAnsi="Times New Roman" w:hint="eastAsia"/>
          <w:sz w:val="32"/>
          <w:szCs w:val="32"/>
        </w:rPr>
        <w:t>：反映已参加当地医保的海关单位用于向地方社保部门缴纳的基本医疗保险和公务员医疗补助支出。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（一）行政单位医疗（项）</w:t>
      </w:r>
      <w:r>
        <w:rPr>
          <w:rFonts w:ascii="Times New Roman" w:eastAsia="方正仿宋_GBK" w:hAnsi="Times New Roman" w:hint="eastAsia"/>
          <w:sz w:val="32"/>
          <w:szCs w:val="32"/>
        </w:rPr>
        <w:t>：指中央财政集中安排的驻各地海关单位基本医疗保险缴费经费。</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（二）公务员医疗补助（项）</w:t>
      </w:r>
      <w:r>
        <w:rPr>
          <w:rFonts w:ascii="Times New Roman" w:eastAsia="方正仿宋_GBK" w:hAnsi="Times New Roman" w:hint="eastAsia"/>
          <w:sz w:val="32"/>
          <w:szCs w:val="32"/>
        </w:rPr>
        <w:t>：指中央财政集中安排的驻各地海关单位公务员医疗补助经费。</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二十、“三公”经费</w:t>
      </w:r>
      <w:r>
        <w:rPr>
          <w:rFonts w:ascii="Times New Roman" w:eastAsia="方正仿宋_GBK" w:hAnsi="Times New Roman" w:hint="eastAsia"/>
          <w:sz w:val="32"/>
          <w:szCs w:val="32"/>
        </w:rPr>
        <w:t>：纳入中央财政预决算管理的“三公”经费，是指中央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及燃料费、维修费、过路过桥费、保险费、安全奖励费用等支出；公务接待费反映单位按规定开支的各类公务接待（含外宾接待）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二十一、机关运行经费</w:t>
      </w:r>
      <w:r>
        <w:rPr>
          <w:rFonts w:ascii="Times New Roman" w:eastAsia="方正仿宋_GBK" w:hAnsi="Times New Roman" w:hint="eastAsia"/>
          <w:sz w:val="32"/>
          <w:szCs w:val="32"/>
        </w:rPr>
        <w:t>：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center"/>
        <w:rPr>
          <w:rFonts w:ascii="Times New Roman" w:hAnsi="Times New Roman"/>
          <w:b/>
          <w:sz w:val="84"/>
          <w:szCs w:val="84"/>
        </w:rPr>
      </w:pPr>
      <w:r>
        <w:rPr>
          <w:rFonts w:ascii="Times New Roman" w:hAnsi="Times New Roman" w:hint="eastAsia"/>
          <w:b/>
          <w:sz w:val="84"/>
          <w:szCs w:val="84"/>
        </w:rPr>
        <w:t>第五部分</w:t>
      </w:r>
    </w:p>
    <w:p>
      <w:pPr>
        <w:jc w:val="center"/>
        <w:rPr>
          <w:rFonts w:ascii="Times New Roman" w:hAnsi="Times New Roman"/>
          <w:b/>
          <w:sz w:val="84"/>
          <w:szCs w:val="84"/>
        </w:rPr>
      </w:pPr>
      <w:r>
        <w:rPr>
          <w:rFonts w:ascii="Times New Roman" w:hAnsi="Times New Roman" w:hint="eastAsia"/>
          <w:b/>
          <w:sz w:val="84"/>
          <w:szCs w:val="84"/>
        </w:rPr>
        <w:t>附件</w:t>
      </w: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096"/>
        <w:gridCol w:w="1900"/>
        <w:gridCol w:w="1669"/>
        <w:gridCol w:w="1359"/>
        <w:gridCol w:w="1063"/>
        <w:gridCol w:w="851"/>
        <w:gridCol w:w="583"/>
      </w:tblGrid>
      <w:tr>
        <w:trPr>
          <w:trHeight w:val="254"/>
        </w:trPr>
        <w:tc>
          <w:tcPr>
            <w:tcW w:w="4999" w:type="pct"/>
            <w:gridSpan w:val="7"/>
            <w:tcBorders>
              <w:top w:val="nil"/>
              <w:left w:val="nil"/>
              <w:bottom w:val="nil"/>
              <w:right w:val="nil"/>
              <w:tl2br w:val="nil"/>
              <w:tr2bl w:val="nil"/>
            </w:tcBorders>
            <w:noWrap/>
            <w:vAlign w:val="center"/>
          </w:tcPr>
          <w:p>
            <w:pPr>
              <w:jc w:val="center"/>
              <w:rPr>
                <w:rFonts w:ascii="黑体" w:eastAsia="黑体"/>
                <w:b w:val="0"/>
                <w:i w:val="0"/>
                <w:sz w:val="32"/>
              </w:rPr>
            </w:pPr>
            <w:r>
              <w:rPr>
                <w:rFonts w:ascii="黑体" w:eastAsia="黑体"/>
                <w:b w:val="0"/>
                <w:i w:val="0"/>
                <w:sz w:val="32"/>
              </w:rPr>
              <w:t>项目绩效目标表</w:t>
            </w:r>
          </w:p>
        </w:tc>
      </w:tr>
      <w:tr>
        <w:trPr>
          <w:trHeight w:val="254"/>
        </w:trPr>
        <w:tc>
          <w:tcPr>
            <w:tcW w:w="4999" w:type="pct"/>
            <w:gridSpan w:val="7"/>
            <w:tcBorders>
              <w:top w:val="nil"/>
              <w:left w:val="nil"/>
              <w:bottom w:val="nil"/>
              <w:right w:val="nil"/>
              <w:tl2br w:val="nil"/>
              <w:tr2bl w:val="nil"/>
            </w:tcBorders>
            <w:noWrap/>
          </w:tcPr>
          <w:p>
            <w:pPr>
              <w:jc w:val="center"/>
              <w:rPr>
                <w:rFonts w:ascii="宋体" w:eastAsia="宋体"/>
                <w:b w:val="0"/>
                <w:i w:val="0"/>
                <w:sz w:val="24"/>
              </w:rPr>
            </w:pPr>
            <w:r>
              <w:rPr>
                <w:rFonts w:ascii="宋体" w:eastAsia="宋体"/>
                <w:b w:val="0"/>
                <w:i w:val="0"/>
                <w:sz w:val="24"/>
              </w:rPr>
              <w:t>(2023年度)</w:t>
            </w:r>
          </w:p>
        </w:tc>
      </w:tr>
      <w:tr>
        <w:trPr>
          <w:trHeight w:val="254"/>
        </w:trPr>
        <w:tc>
          <w:tcPr>
            <w:tcW w:w="4999" w:type="pct"/>
            <w:gridSpan w:val="7"/>
            <w:tcBorders>
              <w:top w:val="nil"/>
              <w:left w:val="nil"/>
              <w:bottom w:val="nil"/>
              <w:right w:val="nil"/>
              <w:tl2br w:val="nil"/>
              <w:tr2bl w:val="nil"/>
            </w:tcBorders>
            <w:noWrap/>
            <w:vAlign w:val="center"/>
          </w:tcPr>
          <w:p>
            <w:pPr>
              <w:jc w:val="right"/>
              <w:rPr>
                <w:rFonts w:ascii="宋体" w:eastAsia="宋体"/>
                <w:b w:val="0"/>
                <w:i w:val="0"/>
                <w:sz w:val="22"/>
              </w:rPr>
            </w:pPr>
          </w:p>
        </w:tc>
      </w:tr>
      <w:tr>
        <w:trPr>
          <w:trHeight w:val="254"/>
        </w:trPr>
        <w:tc>
          <w:tcPr>
            <w:tcW w:w="2528"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项目名称</w:t>
            </w:r>
          </w:p>
        </w:tc>
        <w:tc>
          <w:tcPr>
            <w:tcW w:w="2471"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海关综合业务管理专项</w:t>
            </w:r>
          </w:p>
        </w:tc>
      </w:tr>
      <w:tr>
        <w:trPr>
          <w:trHeight w:val="254"/>
        </w:trPr>
        <w:tc>
          <w:tcPr>
            <w:tcW w:w="2528"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主管部门及代码</w:t>
            </w:r>
          </w:p>
        </w:tc>
        <w:tc>
          <w:tcPr>
            <w:tcW w:w="1573"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b w:val="0"/>
                <w:i w:val="0"/>
                <w:sz w:val="22"/>
              </w:rPr>
            </w:pPr>
            <w:r>
              <w:rPr>
                <w:rFonts w:ascii="宋体" w:eastAsia="宋体"/>
                <w:b w:val="0"/>
                <w:i w:val="0"/>
                <w:sz w:val="22"/>
              </w:rPr>
              <w:t>[167]海关总署</w:t>
            </w:r>
          </w:p>
        </w:tc>
        <w:tc>
          <w:tcPr>
            <w:tcW w:w="38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实施单位</w:t>
            </w:r>
          </w:p>
        </w:tc>
        <w:tc>
          <w:tcPr>
            <w:tcW w:w="51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中华人民共和国呼和浩特海关本级</w:t>
            </w:r>
          </w:p>
        </w:tc>
      </w:tr>
      <w:tr>
        <w:trPr>
          <w:trHeight w:val="254"/>
        </w:trPr>
        <w:tc>
          <w:tcPr>
            <w:tcW w:w="2528" w:type="pct"/>
            <w:gridSpan w:val="2"/>
            <w:vMerge w:val="restart"/>
            <w:tcBorders>
              <w:top w:val="single" w:sz="6" w:space="0" w:color="auto"/>
              <w:left w:val="single" w:sz="6" w:space="0" w:color="auto"/>
              <w:bottom w:val="single" w:sz="6" w:space="0" w:color="000000"/>
              <w:right w:val="single" w:sz="6" w:space="0" w:color="000000"/>
              <w:tl2br w:val="nil"/>
              <w:tr2bl w:val="nil"/>
            </w:tcBorders>
            <w:noWrap/>
            <w:vAlign w:val="center"/>
          </w:tcPr>
          <w:p>
            <w:pPr>
              <w:jc w:val="center"/>
              <w:rPr>
                <w:rFonts w:ascii="宋体" w:eastAsia="宋体"/>
                <w:b w:val="0"/>
                <w:i w:val="0"/>
                <w:strike w:val="0"/>
                <w:dstrike w:val="0"/>
                <w:color w:val="auto"/>
                <w:sz w:val="22"/>
              </w:rPr>
            </w:pPr>
            <w:r>
              <w:rPr>
                <w:rFonts w:ascii="宋体" w:eastAsia="宋体"/>
                <w:b w:val="0"/>
                <w:i w:val="0"/>
                <w:strike w:val="0"/>
                <w:dstrike w:val="0"/>
                <w:color w:val="auto"/>
                <w:sz w:val="22"/>
              </w:rPr>
              <w:t>项目资金</w:t>
              <w:br/>
              <w:t>（万元）</w:t>
            </w:r>
          </w:p>
        </w:tc>
        <w:tc>
          <w:tcPr>
            <w:tcW w:w="1573" w:type="pct"/>
            <w:gridSpan w:val="2"/>
            <w:tcBorders>
              <w:top w:val="single" w:sz="6" w:space="0" w:color="auto"/>
              <w:left w:val="single" w:sz="6" w:space="0" w:color="auto"/>
              <w:bottom w:val="single" w:sz="6" w:space="0" w:color="auto"/>
              <w:right w:val="nil"/>
              <w:tl2br w:val="nil"/>
              <w:tr2bl w:val="nil"/>
            </w:tcBorders>
            <w:noWrap/>
            <w:vAlign w:val="center"/>
          </w:tcPr>
          <w:p>
            <w:pPr>
              <w:rPr>
                <w:rFonts w:ascii="宋体" w:eastAsia="宋体"/>
                <w:b w:val="0"/>
                <w:i w:val="0"/>
                <w:strike w:val="0"/>
                <w:dstrike w:val="0"/>
                <w:color w:val="auto"/>
                <w:sz w:val="22"/>
              </w:rPr>
            </w:pPr>
            <w:r>
              <w:rPr>
                <w:rFonts w:ascii="宋体" w:eastAsia="宋体"/>
                <w:b w:val="0"/>
                <w:i w:val="0"/>
                <w:strike w:val="0"/>
                <w:dstrike w:val="0"/>
                <w:color w:val="auto"/>
                <w:sz w:val="22"/>
              </w:rPr>
              <w:t xml:space="preserve"> 年度资金总额：</w:t>
            </w:r>
          </w:p>
        </w:tc>
        <w:tc>
          <w:tcPr>
            <w:tcW w:w="68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b w:val="0"/>
                <w:i w:val="0"/>
                <w:strike w:val="0"/>
                <w:dstrike w:val="0"/>
                <w:color w:val="auto"/>
                <w:sz w:val="22"/>
              </w:rPr>
            </w:pPr>
            <w:r>
              <w:rPr>
                <w:rFonts w:ascii="宋体" w:eastAsia="宋体"/>
                <w:b w:val="0"/>
                <w:i w:val="0"/>
                <w:strike w:val="0"/>
                <w:dstrike w:val="0"/>
                <w:color w:val="auto"/>
                <w:sz w:val="22"/>
              </w:rPr>
              <w:t xml:space="preserve">                             5.00 </w:t>
            </w:r>
          </w:p>
        </w:tc>
        <w:tc>
          <w:tcPr>
            <w:tcW w:w="208" w:type="pct"/>
            <w:vMerge w:val="restart"/>
            <w:tcBorders>
              <w:top w:val="single" w:sz="6" w:space="0" w:color="auto"/>
              <w:left w:val="single" w:sz="6" w:space="0" w:color="auto"/>
              <w:bottom w:val="single" w:sz="6" w:space="0" w:color="000000"/>
              <w:right w:val="single" w:sz="6" w:space="0" w:color="auto"/>
              <w:tl2br w:val="nil"/>
              <w:tr2bl w:val="nil"/>
            </w:tcBorders>
            <w:noWrap/>
            <w:vAlign w:val="center"/>
          </w:tcPr>
          <w:p>
            <w:pPr>
              <w:jc w:val="center"/>
              <w:rPr>
                <w:rFonts w:ascii="宋体" w:eastAsia="宋体"/>
                <w:b w:val="0"/>
                <w:i w:val="0"/>
                <w:strike w:val="0"/>
                <w:dstrike w:val="0"/>
                <w:color w:val="auto"/>
                <w:sz w:val="22"/>
              </w:rPr>
            </w:pPr>
            <w:r>
              <w:rPr>
                <w:rFonts w:ascii="宋体" w:eastAsia="宋体"/>
                <w:b w:val="0"/>
                <w:i w:val="0"/>
                <w:strike w:val="0"/>
                <w:dstrike w:val="0"/>
                <w:color w:val="auto"/>
                <w:sz w:val="22"/>
              </w:rPr>
              <w:t>执行率</w:t>
              <w:br/>
              <w:t>分值（10）</w:t>
            </w:r>
          </w:p>
        </w:tc>
      </w:tr>
      <w:tr>
        <w:trPr>
          <w:trHeight w:val="254"/>
        </w:trPr>
        <w:tc>
          <w:tcPr>
            <w:tcW w:w="2528" w:type="pct"/>
            <w:gridSpan w:val="2"/>
            <w:vMerge/>
            <w:tcBorders>
              <w:top w:val="single" w:sz="6" w:space="0" w:color="auto"/>
              <w:left w:val="single" w:sz="6" w:space="0" w:color="auto"/>
              <w:bottom w:val="single" w:sz="6" w:space="0" w:color="000000"/>
              <w:right w:val="single" w:sz="6" w:space="0" w:color="000000"/>
              <w:tl2br w:val="nil"/>
              <w:tr2bl w:val="nil"/>
            </w:tcBorders>
            <w:noWrap/>
            <w:vAlign w:val="center"/>
          </w:tcPr>
          <w:p/>
        </w:tc>
        <w:tc>
          <w:tcPr>
            <w:tcW w:w="1573"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b w:val="0"/>
                <w:i w:val="0"/>
                <w:strike w:val="0"/>
                <w:dstrike w:val="0"/>
                <w:color w:val="auto"/>
                <w:sz w:val="22"/>
              </w:rPr>
            </w:pPr>
            <w:r>
              <w:rPr>
                <w:rFonts w:ascii="宋体" w:eastAsia="宋体"/>
                <w:b w:val="0"/>
                <w:i w:val="0"/>
                <w:strike w:val="0"/>
                <w:dstrike w:val="0"/>
                <w:color w:val="auto"/>
                <w:sz w:val="22"/>
              </w:rPr>
              <w:t xml:space="preserve">    其中：财政拨款</w:t>
            </w:r>
          </w:p>
        </w:tc>
        <w:tc>
          <w:tcPr>
            <w:tcW w:w="68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b w:val="0"/>
                <w:i w:val="0"/>
                <w:strike w:val="0"/>
                <w:dstrike w:val="0"/>
                <w:color w:val="auto"/>
                <w:sz w:val="22"/>
              </w:rPr>
            </w:pPr>
            <w:r>
              <w:rPr>
                <w:rFonts w:ascii="宋体" w:eastAsia="宋体"/>
                <w:b w:val="0"/>
                <w:i w:val="0"/>
                <w:strike w:val="0"/>
                <w:dstrike w:val="0"/>
                <w:color w:val="auto"/>
                <w:sz w:val="22"/>
              </w:rPr>
              <w:t xml:space="preserve">                             5.00 </w:t>
            </w:r>
          </w:p>
        </w:tc>
        <w:tc>
          <w:tcPr>
            <w:tcW w:w="208" w:type="pct"/>
            <w:vMerge/>
            <w:tcBorders>
              <w:top w:val="single" w:sz="6" w:space="0" w:color="auto"/>
              <w:left w:val="single" w:sz="6" w:space="0" w:color="auto"/>
              <w:bottom w:val="single" w:sz="6" w:space="0" w:color="000000"/>
              <w:right w:val="single" w:sz="6" w:space="0" w:color="auto"/>
              <w:tl2br w:val="nil"/>
              <w:tr2bl w:val="nil"/>
            </w:tcBorders>
            <w:noWrap/>
            <w:vAlign w:val="center"/>
          </w:tcPr>
          <w:p/>
        </w:tc>
      </w:tr>
      <w:tr>
        <w:trPr>
          <w:trHeight w:val="254"/>
        </w:trPr>
        <w:tc>
          <w:tcPr>
            <w:tcW w:w="2528" w:type="pct"/>
            <w:gridSpan w:val="2"/>
            <w:vMerge/>
            <w:tcBorders>
              <w:top w:val="single" w:sz="6" w:space="0" w:color="auto"/>
              <w:left w:val="single" w:sz="6" w:space="0" w:color="auto"/>
              <w:bottom w:val="single" w:sz="6" w:space="0" w:color="000000"/>
              <w:right w:val="single" w:sz="6" w:space="0" w:color="000000"/>
              <w:tl2br w:val="nil"/>
              <w:tr2bl w:val="nil"/>
            </w:tcBorders>
            <w:noWrap/>
            <w:vAlign w:val="center"/>
          </w:tcPr>
          <w:p/>
        </w:tc>
        <w:tc>
          <w:tcPr>
            <w:tcW w:w="1573"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b w:val="0"/>
                <w:i w:val="0"/>
                <w:strike w:val="0"/>
                <w:dstrike w:val="0"/>
                <w:color w:val="auto"/>
                <w:sz w:val="22"/>
              </w:rPr>
            </w:pPr>
            <w:r>
              <w:rPr>
                <w:rFonts w:ascii="宋体" w:eastAsia="宋体"/>
                <w:b w:val="0"/>
                <w:i w:val="0"/>
                <w:strike w:val="0"/>
                <w:dstrike w:val="0"/>
                <w:color w:val="auto"/>
                <w:sz w:val="22"/>
              </w:rPr>
              <w:t xml:space="preserve">          上年结转</w:t>
            </w:r>
          </w:p>
        </w:tc>
        <w:tc>
          <w:tcPr>
            <w:tcW w:w="68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b w:val="0"/>
                <w:i w:val="0"/>
                <w:strike w:val="0"/>
                <w:dstrike w:val="0"/>
                <w:color w:val="auto"/>
                <w:sz w:val="22"/>
              </w:rPr>
            </w:pPr>
            <w:r>
              <w:rPr>
                <w:rFonts w:ascii="宋体" w:eastAsia="宋体"/>
                <w:b w:val="0"/>
                <w:i w:val="0"/>
                <w:strike w:val="0"/>
                <w:dstrike w:val="0"/>
                <w:color w:val="auto"/>
                <w:sz w:val="22"/>
              </w:rPr>
              <w:t xml:space="preserve">                              -   </w:t>
            </w:r>
          </w:p>
        </w:tc>
        <w:tc>
          <w:tcPr>
            <w:tcW w:w="208" w:type="pct"/>
            <w:vMerge/>
            <w:tcBorders>
              <w:top w:val="single" w:sz="6" w:space="0" w:color="auto"/>
              <w:left w:val="single" w:sz="6" w:space="0" w:color="auto"/>
              <w:bottom w:val="single" w:sz="6" w:space="0" w:color="000000"/>
              <w:right w:val="single" w:sz="6" w:space="0" w:color="auto"/>
              <w:tl2br w:val="nil"/>
              <w:tr2bl w:val="nil"/>
            </w:tcBorders>
            <w:noWrap/>
            <w:vAlign w:val="center"/>
          </w:tcPr>
          <w:p/>
        </w:tc>
      </w:tr>
      <w:tr>
        <w:trPr>
          <w:trHeight w:val="254"/>
        </w:trPr>
        <w:tc>
          <w:tcPr>
            <w:tcW w:w="2528" w:type="pct"/>
            <w:gridSpan w:val="2"/>
            <w:vMerge/>
            <w:tcBorders>
              <w:top w:val="single" w:sz="6" w:space="0" w:color="auto"/>
              <w:left w:val="single" w:sz="6" w:space="0" w:color="auto"/>
              <w:bottom w:val="single" w:sz="6" w:space="0" w:color="000000"/>
              <w:right w:val="single" w:sz="6" w:space="0" w:color="000000"/>
              <w:tl2br w:val="nil"/>
              <w:tr2bl w:val="nil"/>
            </w:tcBorders>
            <w:noWrap/>
            <w:vAlign w:val="center"/>
          </w:tcPr>
          <w:p/>
        </w:tc>
        <w:tc>
          <w:tcPr>
            <w:tcW w:w="1573"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b w:val="0"/>
                <w:i w:val="0"/>
                <w:strike w:val="0"/>
                <w:dstrike w:val="0"/>
                <w:color w:val="auto"/>
                <w:sz w:val="22"/>
              </w:rPr>
            </w:pPr>
            <w:r>
              <w:rPr>
                <w:rFonts w:ascii="宋体" w:eastAsia="宋体"/>
                <w:b w:val="0"/>
                <w:i w:val="0"/>
                <w:strike w:val="0"/>
                <w:dstrike w:val="0"/>
                <w:color w:val="auto"/>
                <w:sz w:val="22"/>
              </w:rPr>
              <w:t xml:space="preserve">          其他资金</w:t>
            </w:r>
          </w:p>
        </w:tc>
        <w:tc>
          <w:tcPr>
            <w:tcW w:w="68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b w:val="0"/>
                <w:i w:val="0"/>
                <w:strike w:val="0"/>
                <w:dstrike w:val="0"/>
                <w:color w:val="auto"/>
                <w:sz w:val="22"/>
              </w:rPr>
            </w:pPr>
            <w:r>
              <w:rPr>
                <w:rFonts w:ascii="宋体" w:eastAsia="宋体"/>
                <w:b w:val="0"/>
                <w:i w:val="0"/>
                <w:strike w:val="0"/>
                <w:dstrike w:val="0"/>
                <w:color w:val="auto"/>
                <w:sz w:val="22"/>
              </w:rPr>
              <w:t xml:space="preserve">                              -   </w:t>
            </w:r>
          </w:p>
        </w:tc>
        <w:tc>
          <w:tcPr>
            <w:tcW w:w="208" w:type="pct"/>
            <w:vMerge/>
            <w:tcBorders>
              <w:top w:val="single" w:sz="6" w:space="0" w:color="auto"/>
              <w:left w:val="single" w:sz="6" w:space="0" w:color="auto"/>
              <w:bottom w:val="single" w:sz="6" w:space="0" w:color="000000"/>
              <w:right w:val="single" w:sz="6" w:space="0" w:color="auto"/>
              <w:tl2br w:val="nil"/>
              <w:tr2bl w:val="nil"/>
            </w:tcBorders>
            <w:noWrap/>
            <w:vAlign w:val="center"/>
          </w:tcPr>
          <w:p/>
        </w:tc>
      </w:tr>
      <w:tr>
        <w:trPr>
          <w:trHeight w:val="2078"/>
        </w:trPr>
        <w:tc>
          <w:tcPr>
            <w:tcW w:w="1296"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b w:val="0"/>
                <w:i w:val="0"/>
                <w:strike w:val="0"/>
                <w:dstrike w:val="0"/>
                <w:color w:val="auto"/>
                <w:sz w:val="22"/>
              </w:rPr>
            </w:pPr>
            <w:r>
              <w:rPr>
                <w:rFonts w:ascii="宋体" w:eastAsia="宋体"/>
                <w:b w:val="0"/>
                <w:i w:val="0"/>
                <w:strike w:val="0"/>
                <w:dstrike w:val="0"/>
                <w:color w:val="auto"/>
                <w:sz w:val="22"/>
              </w:rPr>
              <w:t>年</w:t>
              <w:br/>
              <w:t>度</w:t>
              <w:br/>
              <w:t>总</w:t>
              <w:br/>
              <w:t>体</w:t>
              <w:br/>
              <w:t>目</w:t>
              <w:br/>
              <w:t>标</w:t>
            </w:r>
          </w:p>
        </w:tc>
        <w:tc>
          <w:tcPr>
            <w:tcW w:w="3703"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b w:val="0"/>
                <w:i w:val="0"/>
                <w:strike w:val="0"/>
                <w:dstrike w:val="0"/>
                <w:color w:val="auto"/>
                <w:sz w:val="22"/>
              </w:rPr>
            </w:pPr>
            <w:r>
              <w:rPr>
                <w:rFonts w:ascii="宋体" w:eastAsia="宋体"/>
                <w:b w:val="0"/>
                <w:i w:val="0"/>
                <w:strike w:val="0"/>
                <w:dstrike w:val="0"/>
                <w:color w:val="auto"/>
                <w:sz w:val="22"/>
              </w:rPr>
              <w:t>目标1：报关单监控系统专项，保障报关单运行监控工作有效开展。</w:t>
              <w:br/>
              <w:t>目标2：海关制度规范制度修订，以贸易便利化和保障国家安全方向，继续推动海关技术规范从数量和覆盖领域上，全面支撑海关检验检疫业务工作的顺利开展；同时不断提升标准水平。</w:t>
              <w:br/>
              <w:t>目标3：开展全面深化海关业务改革的调查研究；全面推进智慧海关建设调研；开展全面深化海关业务改革的宣传及促进实施；统筹推进重大改革项目。</w:t>
            </w:r>
          </w:p>
        </w:tc>
      </w:tr>
      <w:tr>
        <w:trPr>
          <w:trHeight w:val="254"/>
        </w:trPr>
        <w:tc>
          <w:tcPr>
            <w:tcW w:w="1296" w:type="pct"/>
            <w:tcBorders>
              <w:top w:val="single" w:sz="6" w:space="0" w:color="auto"/>
              <w:left w:val="single" w:sz="6" w:space="0" w:color="auto"/>
              <w:bottom w:val="nil"/>
              <w:right w:val="single" w:sz="6" w:space="0" w:color="auto"/>
              <w:tl2br w:val="nil"/>
              <w:tr2bl w:val="nil"/>
            </w:tcBorders>
            <w:noWrap/>
            <w:vAlign w:val="center"/>
          </w:tcPr>
          <w:p>
            <w:pPr>
              <w:rPr>
                <w:rFonts w:ascii="宋体" w:eastAsia="宋体"/>
                <w:b w:val="0"/>
                <w:i w:val="0"/>
                <w:sz w:val="22"/>
              </w:rPr>
            </w:pPr>
          </w:p>
        </w:tc>
        <w:tc>
          <w:tcPr>
            <w:tcW w:w="123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一级指标</w:t>
            </w:r>
          </w:p>
        </w:tc>
        <w:tc>
          <w:tcPr>
            <w:tcW w:w="108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二级指标</w:t>
            </w:r>
          </w:p>
        </w:tc>
        <w:tc>
          <w:tcPr>
            <w:tcW w:w="875" w:type="pct"/>
            <w:gridSpan w:val="2"/>
            <w:tcBorders>
              <w:top w:val="single" w:sz="6" w:space="0" w:color="auto"/>
              <w:left w:val="nil"/>
              <w:bottom w:val="single" w:sz="6" w:space="0" w:color="auto"/>
              <w:right w:val="single" w:sz="6" w:space="0" w:color="000000"/>
              <w:tl2br w:val="nil"/>
              <w:tr2bl w:val="nil"/>
            </w:tcBorders>
            <w:noWrap/>
            <w:vAlign w:val="center"/>
          </w:tcPr>
          <w:p>
            <w:pPr>
              <w:jc w:val="center"/>
              <w:rPr>
                <w:rFonts w:ascii="宋体" w:eastAsia="宋体"/>
                <w:b w:val="0"/>
                <w:i w:val="0"/>
                <w:sz w:val="22"/>
              </w:rPr>
            </w:pPr>
            <w:r>
              <w:rPr>
                <w:rFonts w:ascii="宋体" w:eastAsia="宋体"/>
                <w:b w:val="0"/>
                <w:i w:val="0"/>
                <w:sz w:val="22"/>
              </w:rPr>
              <w:t>三级指标</w:t>
            </w:r>
          </w:p>
        </w:tc>
        <w:tc>
          <w:tcPr>
            <w:tcW w:w="30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指标值</w:t>
            </w:r>
          </w:p>
        </w:tc>
        <w:tc>
          <w:tcPr>
            <w:tcW w:w="208"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trike w:val="0"/>
                <w:dstrike w:val="0"/>
                <w:color w:val="auto"/>
                <w:sz w:val="22"/>
              </w:rPr>
            </w:pPr>
            <w:r>
              <w:rPr>
                <w:rFonts w:ascii="宋体" w:eastAsia="宋体"/>
                <w:b w:val="0"/>
                <w:i w:val="0"/>
                <w:strike w:val="0"/>
                <w:dstrike w:val="0"/>
                <w:color w:val="auto"/>
                <w:sz w:val="22"/>
              </w:rPr>
              <w:t>分值权重</w:t>
              <w:br/>
              <w:t>（90）</w:t>
            </w:r>
          </w:p>
        </w:tc>
      </w:tr>
      <w:tr>
        <w:trPr>
          <w:trHeight w:val="254"/>
        </w:trPr>
        <w:tc>
          <w:tcPr>
            <w:tcW w:w="1296" w:type="pct"/>
            <w:vMerge w:val="restart"/>
            <w:tcBorders>
              <w:top w:val="nil"/>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绩效指标</w:t>
            </w:r>
          </w:p>
        </w:tc>
        <w:tc>
          <w:tcPr>
            <w:tcW w:w="1232"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产出指标</w:t>
            </w:r>
          </w:p>
        </w:tc>
        <w:tc>
          <w:tcPr>
            <w:tcW w:w="108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数量指标</w:t>
            </w:r>
          </w:p>
        </w:tc>
        <w:tc>
          <w:tcPr>
            <w:tcW w:w="875" w:type="pct"/>
            <w:gridSpan w:val="2"/>
            <w:tcBorders>
              <w:top w:val="single" w:sz="6" w:space="0" w:color="auto"/>
              <w:left w:val="nil"/>
              <w:bottom w:val="single" w:sz="6" w:space="0" w:color="auto"/>
              <w:right w:val="nil"/>
              <w:tl2br w:val="nil"/>
              <w:tr2bl w:val="nil"/>
            </w:tcBorders>
            <w:noWrap/>
            <w:vAlign w:val="center"/>
          </w:tcPr>
          <w:p>
            <w:pPr>
              <w:rPr>
                <w:rFonts w:ascii="宋体" w:eastAsia="宋体"/>
                <w:b w:val="0"/>
                <w:i w:val="0"/>
                <w:sz w:val="22"/>
              </w:rPr>
            </w:pPr>
            <w:r>
              <w:rPr>
                <w:rFonts w:ascii="宋体" w:eastAsia="宋体"/>
                <w:b w:val="0"/>
                <w:i w:val="0"/>
                <w:sz w:val="22"/>
              </w:rPr>
              <w:t>完成海关技术规范制修订计划项目比例</w:t>
            </w:r>
          </w:p>
        </w:tc>
        <w:tc>
          <w:tcPr>
            <w:tcW w:w="30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1</w:t>
            </w:r>
          </w:p>
        </w:tc>
        <w:tc>
          <w:tcPr>
            <w:tcW w:w="208"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15</w:t>
            </w:r>
          </w:p>
        </w:tc>
      </w:tr>
      <w:tr>
        <w:trPr>
          <w:trHeight w:val="254"/>
        </w:trPr>
        <w:tc>
          <w:tcPr>
            <w:tcW w:w="1296" w:type="pct"/>
            <w:vMerge/>
            <w:tcBorders>
              <w:top w:val="nil"/>
              <w:left w:val="single" w:sz="6" w:space="0" w:color="auto"/>
              <w:bottom w:val="single" w:sz="6" w:space="0" w:color="auto"/>
              <w:right w:val="single" w:sz="6" w:space="0" w:color="auto"/>
              <w:tl2br w:val="nil"/>
              <w:tr2bl w:val="nil"/>
            </w:tcBorders>
            <w:noWrap/>
            <w:vAlign w:val="center"/>
          </w:tcPr>
          <w:p/>
        </w:tc>
        <w:tc>
          <w:tcPr>
            <w:tcW w:w="1232"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08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质量指标</w:t>
            </w:r>
          </w:p>
        </w:tc>
        <w:tc>
          <w:tcPr>
            <w:tcW w:w="875" w:type="pct"/>
            <w:gridSpan w:val="2"/>
            <w:tcBorders>
              <w:top w:val="single" w:sz="6" w:space="0" w:color="auto"/>
              <w:left w:val="nil"/>
              <w:bottom w:val="single" w:sz="6" w:space="0" w:color="auto"/>
              <w:right w:val="nil"/>
              <w:tl2br w:val="nil"/>
              <w:tr2bl w:val="nil"/>
            </w:tcBorders>
            <w:noWrap/>
            <w:vAlign w:val="center"/>
          </w:tcPr>
          <w:p>
            <w:pPr>
              <w:rPr>
                <w:rFonts w:ascii="宋体" w:eastAsia="宋体"/>
                <w:b w:val="0"/>
                <w:i w:val="0"/>
                <w:sz w:val="22"/>
              </w:rPr>
            </w:pPr>
            <w:r>
              <w:rPr>
                <w:rFonts w:ascii="宋体" w:eastAsia="宋体"/>
                <w:b w:val="0"/>
                <w:i w:val="0"/>
                <w:sz w:val="22"/>
              </w:rPr>
              <w:t>外出调研学习完成率</w:t>
            </w:r>
          </w:p>
        </w:tc>
        <w:tc>
          <w:tcPr>
            <w:tcW w:w="30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&gt;90%</w:t>
            </w:r>
          </w:p>
        </w:tc>
        <w:tc>
          <w:tcPr>
            <w:tcW w:w="208"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20</w:t>
            </w:r>
          </w:p>
        </w:tc>
      </w:tr>
      <w:tr>
        <w:trPr>
          <w:trHeight w:val="254"/>
        </w:trPr>
        <w:tc>
          <w:tcPr>
            <w:tcW w:w="1296" w:type="pct"/>
            <w:vMerge/>
            <w:tcBorders>
              <w:top w:val="nil"/>
              <w:left w:val="single" w:sz="6" w:space="0" w:color="auto"/>
              <w:bottom w:val="single" w:sz="6" w:space="0" w:color="auto"/>
              <w:right w:val="single" w:sz="6" w:space="0" w:color="auto"/>
              <w:tl2br w:val="nil"/>
              <w:tr2bl w:val="nil"/>
            </w:tcBorders>
            <w:noWrap/>
            <w:vAlign w:val="center"/>
          </w:tcPr>
          <w:p/>
        </w:tc>
        <w:tc>
          <w:tcPr>
            <w:tcW w:w="1232"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08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时效指标</w:t>
            </w:r>
          </w:p>
        </w:tc>
        <w:tc>
          <w:tcPr>
            <w:tcW w:w="875" w:type="pct"/>
            <w:gridSpan w:val="2"/>
            <w:tcBorders>
              <w:top w:val="single" w:sz="6" w:space="0" w:color="auto"/>
              <w:left w:val="nil"/>
              <w:bottom w:val="single" w:sz="6" w:space="0" w:color="auto"/>
              <w:right w:val="nil"/>
              <w:tl2br w:val="nil"/>
              <w:tr2bl w:val="nil"/>
            </w:tcBorders>
            <w:noWrap/>
            <w:vAlign w:val="center"/>
          </w:tcPr>
          <w:p>
            <w:pPr>
              <w:rPr>
                <w:rFonts w:ascii="宋体" w:eastAsia="宋体"/>
                <w:b w:val="0"/>
                <w:i w:val="0"/>
                <w:sz w:val="22"/>
              </w:rPr>
            </w:pPr>
            <w:r>
              <w:rPr>
                <w:rFonts w:ascii="宋体" w:eastAsia="宋体"/>
                <w:b w:val="0"/>
                <w:i w:val="0"/>
                <w:sz w:val="22"/>
              </w:rPr>
              <w:t>按照任务安排时限要求完成通关业务管理规范修订完善工作</w:t>
            </w:r>
          </w:p>
        </w:tc>
        <w:tc>
          <w:tcPr>
            <w:tcW w:w="30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1</w:t>
            </w:r>
          </w:p>
        </w:tc>
        <w:tc>
          <w:tcPr>
            <w:tcW w:w="208"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15</w:t>
            </w:r>
          </w:p>
        </w:tc>
      </w:tr>
      <w:tr>
        <w:trPr>
          <w:trHeight w:val="254"/>
        </w:trPr>
        <w:tc>
          <w:tcPr>
            <w:tcW w:w="1296" w:type="pct"/>
            <w:vMerge/>
            <w:tcBorders>
              <w:top w:val="nil"/>
              <w:left w:val="single" w:sz="6" w:space="0" w:color="auto"/>
              <w:bottom w:val="single" w:sz="6" w:space="0" w:color="auto"/>
              <w:right w:val="single" w:sz="6" w:space="0" w:color="auto"/>
              <w:tl2br w:val="nil"/>
              <w:tr2bl w:val="nil"/>
            </w:tcBorders>
            <w:noWrap/>
            <w:vAlign w:val="center"/>
          </w:tcPr>
          <w:p/>
        </w:tc>
        <w:tc>
          <w:tcPr>
            <w:tcW w:w="123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效益指标</w:t>
            </w:r>
          </w:p>
        </w:tc>
        <w:tc>
          <w:tcPr>
            <w:tcW w:w="108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社会效益指标</w:t>
            </w:r>
          </w:p>
        </w:tc>
        <w:tc>
          <w:tcPr>
            <w:tcW w:w="875" w:type="pct"/>
            <w:gridSpan w:val="2"/>
            <w:tcBorders>
              <w:top w:val="single" w:sz="6" w:space="0" w:color="auto"/>
              <w:left w:val="nil"/>
              <w:bottom w:val="single" w:sz="6" w:space="0" w:color="auto"/>
              <w:right w:val="nil"/>
              <w:tl2br w:val="nil"/>
              <w:tr2bl w:val="nil"/>
            </w:tcBorders>
            <w:noWrap/>
            <w:vAlign w:val="center"/>
          </w:tcPr>
          <w:p>
            <w:pPr>
              <w:rPr>
                <w:rFonts w:ascii="宋体" w:eastAsia="宋体"/>
                <w:b w:val="0"/>
                <w:i w:val="0"/>
                <w:sz w:val="22"/>
              </w:rPr>
            </w:pPr>
            <w:r>
              <w:rPr>
                <w:rFonts w:ascii="宋体" w:eastAsia="宋体"/>
                <w:b w:val="0"/>
                <w:i w:val="0"/>
                <w:sz w:val="22"/>
              </w:rPr>
              <w:t>对海关监管制度规范的影响</w:t>
            </w:r>
          </w:p>
        </w:tc>
        <w:tc>
          <w:tcPr>
            <w:tcW w:w="30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长期</w:t>
            </w:r>
          </w:p>
        </w:tc>
        <w:tc>
          <w:tcPr>
            <w:tcW w:w="208"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40</w:t>
            </w:r>
          </w:p>
        </w:tc>
      </w:tr>
    </w:tbl>
    <w:p>
      <w:pPr>
        <w:rPr>
          <w:rFonts w:ascii="黑体" w:eastAsia="黑体"/>
          <w:b w:val="0"/>
          <w:i w:val="0"/>
          <w:sz w:val="32"/>
        </w:rPr>
      </w:pPr>
    </w:p>
    <w:p>
      <w:pPr>
        <w:rPr>
          <w:rFonts w:ascii="黑体" w:eastAsia="黑体"/>
          <w:b w:val="0"/>
          <w:i w:val="0"/>
          <w:sz w:val="32"/>
        </w:rPr>
      </w:pPr>
    </w:p>
    <w:p/>
    <w:tbl>
      <w:tblPr>
        <w:jc w:val="left"/>
        <w:tblW w:w="4999" w:type="pct"/>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094"/>
        <w:gridCol w:w="1428"/>
        <w:gridCol w:w="1784"/>
        <w:gridCol w:w="1994"/>
        <w:gridCol w:w="1365"/>
        <w:gridCol w:w="855"/>
      </w:tblGrid>
      <w:tr>
        <w:trPr>
          <w:trHeight w:val="254"/>
        </w:trPr>
        <w:tc>
          <w:tcPr>
            <w:tcW w:w="5000" w:type="pct"/>
            <w:gridSpan w:val="6"/>
            <w:tcBorders>
              <w:top w:val="nil"/>
              <w:left w:val="nil"/>
              <w:bottom w:val="nil"/>
              <w:right w:val="nil"/>
              <w:tl2br w:val="nil"/>
              <w:tr2bl w:val="nil"/>
            </w:tcBorders>
            <w:noWrap/>
            <w:vAlign w:val="center"/>
          </w:tcPr>
          <w:p>
            <w:pPr>
              <w:jc w:val="center"/>
              <w:rPr>
                <w:rFonts w:ascii="黑体" w:eastAsia="黑体"/>
                <w:b w:val="0"/>
                <w:i w:val="0"/>
                <w:sz w:val="32"/>
              </w:rPr>
            </w:pPr>
          </w:p>
          <w:p>
            <w:pPr>
              <w:ind w:firstLineChars="950" w:firstLine="3040"/>
              <w:rPr>
                <w:rFonts w:ascii="黑体" w:eastAsia="黑体"/>
                <w:b w:val="0"/>
                <w:i w:val="0"/>
                <w:sz w:val="32"/>
              </w:rPr>
            </w:pPr>
            <w:r>
              <w:rPr>
                <w:rFonts w:ascii="黑体" w:eastAsia="黑体"/>
                <w:b w:val="0"/>
                <w:i w:val="0"/>
                <w:sz w:val="32"/>
              </w:rPr>
              <w:t>项目绩效目标表</w:t>
            </w:r>
          </w:p>
        </w:tc>
      </w:tr>
      <w:tr>
        <w:trPr>
          <w:trHeight w:val="254"/>
        </w:trPr>
        <w:tc>
          <w:tcPr>
            <w:tcW w:w="5000" w:type="pct"/>
            <w:gridSpan w:val="6"/>
            <w:tcBorders>
              <w:top w:val="nil"/>
              <w:left w:val="nil"/>
              <w:bottom w:val="nil"/>
              <w:right w:val="nil"/>
              <w:tl2br w:val="nil"/>
              <w:tr2bl w:val="nil"/>
            </w:tcBorders>
            <w:noWrap/>
          </w:tcPr>
          <w:p>
            <w:pPr>
              <w:jc w:val="center"/>
              <w:rPr>
                <w:rFonts w:ascii="宋体" w:eastAsia="宋体"/>
                <w:b w:val="0"/>
                <w:i w:val="0"/>
                <w:sz w:val="24"/>
              </w:rPr>
            </w:pPr>
            <w:r>
              <w:rPr>
                <w:rFonts w:ascii="宋体" w:eastAsia="宋体"/>
                <w:b w:val="0"/>
                <w:i w:val="0"/>
                <w:sz w:val="24"/>
              </w:rPr>
              <w:t>(2023年度)</w:t>
            </w:r>
          </w:p>
        </w:tc>
      </w:tr>
      <w:tr>
        <w:trPr>
          <w:trHeight w:val="254"/>
        </w:trPr>
        <w:tc>
          <w:tcPr>
            <w:tcW w:w="5000" w:type="pct"/>
            <w:gridSpan w:val="6"/>
            <w:tcBorders>
              <w:top w:val="nil"/>
              <w:left w:val="nil"/>
              <w:bottom w:val="nil"/>
              <w:right w:val="nil"/>
              <w:tl2br w:val="nil"/>
              <w:tr2bl w:val="nil"/>
            </w:tcBorders>
            <w:noWrap/>
            <w:vAlign w:val="center"/>
          </w:tcPr>
          <w:p>
            <w:pPr>
              <w:jc w:val="right"/>
              <w:rPr>
                <w:rFonts w:ascii="宋体" w:eastAsia="宋体"/>
                <w:b w:val="0"/>
                <w:i w:val="0"/>
                <w:sz w:val="22"/>
              </w:rPr>
            </w:pPr>
          </w:p>
        </w:tc>
      </w:tr>
      <w:tr>
        <w:trPr>
          <w:trHeight w:val="254"/>
        </w:trPr>
        <w:tc>
          <w:tcPr>
            <w:tcW w:w="148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项目名称</w:t>
            </w:r>
          </w:p>
        </w:tc>
        <w:tc>
          <w:tcPr>
            <w:tcW w:w="3519" w:type="pct"/>
            <w:gridSpan w:val="4"/>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海关业务保障及能力提升专项</w:t>
            </w:r>
          </w:p>
        </w:tc>
      </w:tr>
      <w:tr>
        <w:trPr>
          <w:trHeight w:val="254"/>
        </w:trPr>
        <w:tc>
          <w:tcPr>
            <w:tcW w:w="148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主管部门及代码</w:t>
            </w:r>
          </w:p>
        </w:tc>
        <w:tc>
          <w:tcPr>
            <w:tcW w:w="1047" w:type="pct"/>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b w:val="0"/>
                <w:i w:val="0"/>
                <w:sz w:val="22"/>
              </w:rPr>
            </w:pPr>
            <w:r>
              <w:rPr>
                <w:rFonts w:ascii="宋体" w:eastAsia="宋体"/>
                <w:b w:val="0"/>
                <w:i w:val="0"/>
                <w:sz w:val="22"/>
              </w:rPr>
              <w:t>[167]海关总署</w:t>
            </w:r>
          </w:p>
        </w:tc>
        <w:tc>
          <w:tcPr>
            <w:tcW w:w="117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实施单位</w:t>
            </w:r>
          </w:p>
        </w:tc>
        <w:tc>
          <w:tcPr>
            <w:tcW w:w="1301"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中华人民共和国呼和浩特海关本级</w:t>
            </w:r>
          </w:p>
        </w:tc>
      </w:tr>
      <w:tr>
        <w:trPr>
          <w:trHeight w:val="254"/>
        </w:trPr>
        <w:tc>
          <w:tcPr>
            <w:tcW w:w="1480" w:type="pct"/>
            <w:gridSpan w:val="2"/>
            <w:vMerge w:val="restart"/>
            <w:tcBorders>
              <w:top w:val="single" w:sz="6" w:space="0" w:color="auto"/>
              <w:left w:val="single" w:sz="6" w:space="0" w:color="auto"/>
              <w:bottom w:val="single" w:sz="6" w:space="0" w:color="000000"/>
              <w:right w:val="single" w:sz="6" w:space="0" w:color="000000"/>
              <w:tl2br w:val="nil"/>
              <w:tr2bl w:val="nil"/>
            </w:tcBorders>
            <w:noWrap/>
            <w:vAlign w:val="center"/>
          </w:tcPr>
          <w:p>
            <w:pPr>
              <w:jc w:val="center"/>
              <w:rPr>
                <w:rFonts w:ascii="宋体" w:eastAsia="宋体"/>
                <w:b w:val="0"/>
                <w:i w:val="0"/>
                <w:strike w:val="0"/>
                <w:dstrike w:val="0"/>
                <w:color w:val="auto"/>
                <w:sz w:val="22"/>
              </w:rPr>
            </w:pPr>
            <w:r>
              <w:rPr>
                <w:rFonts w:ascii="宋体" w:eastAsia="宋体"/>
                <w:b w:val="0"/>
                <w:i w:val="0"/>
                <w:strike w:val="0"/>
                <w:dstrike w:val="0"/>
                <w:color w:val="auto"/>
                <w:sz w:val="22"/>
              </w:rPr>
              <w:t>项目资金</w:t>
              <w:br/>
              <w:t>（万元）</w:t>
            </w:r>
          </w:p>
        </w:tc>
        <w:tc>
          <w:tcPr>
            <w:tcW w:w="1047" w:type="pct"/>
            <w:tcBorders>
              <w:top w:val="single" w:sz="6" w:space="0" w:color="auto"/>
              <w:left w:val="single" w:sz="6" w:space="0" w:color="auto"/>
              <w:bottom w:val="single" w:sz="6" w:space="0" w:color="auto"/>
              <w:right w:val="nil"/>
              <w:tl2br w:val="nil"/>
              <w:tr2bl w:val="nil"/>
            </w:tcBorders>
            <w:noWrap/>
            <w:vAlign w:val="center"/>
          </w:tcPr>
          <w:p>
            <w:pPr>
              <w:rPr>
                <w:rFonts w:ascii="宋体" w:eastAsia="宋体"/>
                <w:b w:val="0"/>
                <w:i w:val="0"/>
                <w:strike w:val="0"/>
                <w:dstrike w:val="0"/>
                <w:color w:val="auto"/>
                <w:sz w:val="22"/>
              </w:rPr>
            </w:pPr>
            <w:r>
              <w:rPr>
                <w:rFonts w:ascii="宋体" w:eastAsia="宋体"/>
                <w:b w:val="0"/>
                <w:i w:val="0"/>
                <w:strike w:val="0"/>
                <w:dstrike w:val="0"/>
                <w:color w:val="auto"/>
                <w:sz w:val="22"/>
              </w:rPr>
              <w:t xml:space="preserve"> 年度资金总额：</w:t>
            </w:r>
          </w:p>
        </w:tc>
        <w:tc>
          <w:tcPr>
            <w:tcW w:w="1170" w:type="pct"/>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b w:val="0"/>
                <w:i w:val="0"/>
                <w:strike w:val="0"/>
                <w:dstrike w:val="0"/>
                <w:color w:val="auto"/>
                <w:sz w:val="22"/>
              </w:rPr>
            </w:pPr>
            <w:r>
              <w:rPr>
                <w:rFonts w:ascii="宋体" w:eastAsia="宋体"/>
                <w:b w:val="0"/>
                <w:i w:val="0"/>
                <w:strike w:val="0"/>
                <w:dstrike w:val="0"/>
                <w:color w:val="auto"/>
                <w:sz w:val="22"/>
              </w:rPr>
              <w:t xml:space="preserve">                    726.99 </w:t>
            </w:r>
          </w:p>
        </w:tc>
        <w:tc>
          <w:tcPr>
            <w:tcW w:w="1301" w:type="pct"/>
            <w:gridSpan w:val="2"/>
            <w:vMerge w:val="restart"/>
            <w:tcBorders>
              <w:top w:val="single" w:sz="6" w:space="0" w:color="auto"/>
              <w:left w:val="single" w:sz="6" w:space="0" w:color="auto"/>
              <w:bottom w:val="single" w:sz="6" w:space="0" w:color="000000"/>
              <w:right w:val="single" w:sz="6" w:space="0" w:color="auto"/>
              <w:tl2br w:val="nil"/>
              <w:tr2bl w:val="nil"/>
            </w:tcBorders>
            <w:noWrap/>
            <w:vAlign w:val="center"/>
          </w:tcPr>
          <w:p>
            <w:pPr>
              <w:jc w:val="center"/>
              <w:rPr>
                <w:rFonts w:ascii="宋体" w:eastAsia="宋体"/>
                <w:b w:val="0"/>
                <w:i w:val="0"/>
                <w:strike w:val="0"/>
                <w:dstrike w:val="0"/>
                <w:color w:val="auto"/>
                <w:sz w:val="22"/>
              </w:rPr>
            </w:pPr>
            <w:r>
              <w:rPr>
                <w:rFonts w:ascii="宋体" w:eastAsia="宋体"/>
                <w:b w:val="0"/>
                <w:i w:val="0"/>
                <w:strike w:val="0"/>
                <w:dstrike w:val="0"/>
                <w:color w:val="auto"/>
                <w:sz w:val="22"/>
              </w:rPr>
              <w:t>执行率</w:t>
              <w:br/>
              <w:t>分值（10）</w:t>
            </w:r>
          </w:p>
        </w:tc>
      </w:tr>
      <w:tr>
        <w:trPr>
          <w:trHeight w:val="254"/>
        </w:trPr>
        <w:tc>
          <w:tcPr>
            <w:tcW w:w="2628" w:type="pct"/>
            <w:gridSpan w:val="2"/>
            <w:vMerge/>
            <w:tcBorders>
              <w:top w:val="single" w:sz="6" w:space="0" w:color="auto"/>
              <w:left w:val="single" w:sz="6" w:space="0" w:color="auto"/>
              <w:bottom w:val="single" w:sz="6" w:space="0" w:color="000000"/>
              <w:right w:val="single" w:sz="6" w:space="0" w:color="000000"/>
              <w:tl2br w:val="nil"/>
              <w:tr2bl w:val="nil"/>
            </w:tcBorders>
            <w:noWrap/>
            <w:vAlign w:val="center"/>
          </w:tcPr>
          <w:p/>
        </w:tc>
        <w:tc>
          <w:tcPr>
            <w:tcW w:w="1047" w:type="pct"/>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b w:val="0"/>
                <w:i w:val="0"/>
                <w:strike w:val="0"/>
                <w:dstrike w:val="0"/>
                <w:color w:val="auto"/>
                <w:sz w:val="22"/>
              </w:rPr>
            </w:pPr>
            <w:r>
              <w:rPr>
                <w:rFonts w:ascii="宋体" w:eastAsia="宋体"/>
                <w:b w:val="0"/>
                <w:i w:val="0"/>
                <w:strike w:val="0"/>
                <w:dstrike w:val="0"/>
                <w:color w:val="auto"/>
                <w:sz w:val="22"/>
              </w:rPr>
              <w:t xml:space="preserve">    其中：财政拨款</w:t>
            </w:r>
          </w:p>
        </w:tc>
        <w:tc>
          <w:tcPr>
            <w:tcW w:w="1170" w:type="pct"/>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b w:val="0"/>
                <w:i w:val="0"/>
                <w:strike w:val="0"/>
                <w:dstrike w:val="0"/>
                <w:color w:val="auto"/>
                <w:sz w:val="22"/>
              </w:rPr>
            </w:pPr>
            <w:r>
              <w:rPr>
                <w:rFonts w:ascii="宋体" w:eastAsia="宋体"/>
                <w:b w:val="0"/>
                <w:i w:val="0"/>
                <w:strike w:val="0"/>
                <w:dstrike w:val="0"/>
                <w:color w:val="auto"/>
                <w:sz w:val="22"/>
              </w:rPr>
              <w:t xml:space="preserve">                    726.99 </w:t>
            </w:r>
          </w:p>
        </w:tc>
        <w:tc>
          <w:tcPr>
            <w:tcW w:w="884" w:type="pct"/>
            <w:gridSpan w:val="2"/>
            <w:vMerge/>
            <w:tcBorders>
              <w:top w:val="single" w:sz="6" w:space="0" w:color="auto"/>
              <w:left w:val="single" w:sz="6" w:space="0" w:color="auto"/>
              <w:bottom w:val="single" w:sz="6" w:space="0" w:color="000000"/>
              <w:right w:val="single" w:sz="6" w:space="0" w:color="auto"/>
              <w:tl2br w:val="nil"/>
              <w:tr2bl w:val="nil"/>
            </w:tcBorders>
            <w:noWrap/>
            <w:vAlign w:val="center"/>
          </w:tcPr>
          <w:p/>
        </w:tc>
      </w:tr>
      <w:tr>
        <w:trPr>
          <w:trHeight w:val="254"/>
        </w:trPr>
        <w:tc>
          <w:tcPr>
            <w:tcW w:w="2628" w:type="pct"/>
            <w:gridSpan w:val="2"/>
            <w:vMerge/>
            <w:tcBorders>
              <w:top w:val="single" w:sz="6" w:space="0" w:color="auto"/>
              <w:left w:val="single" w:sz="6" w:space="0" w:color="auto"/>
              <w:bottom w:val="single" w:sz="6" w:space="0" w:color="000000"/>
              <w:right w:val="single" w:sz="6" w:space="0" w:color="000000"/>
              <w:tl2br w:val="nil"/>
              <w:tr2bl w:val="nil"/>
            </w:tcBorders>
            <w:noWrap/>
            <w:vAlign w:val="center"/>
          </w:tcPr>
          <w:p/>
        </w:tc>
        <w:tc>
          <w:tcPr>
            <w:tcW w:w="1047" w:type="pct"/>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b w:val="0"/>
                <w:i w:val="0"/>
                <w:strike w:val="0"/>
                <w:dstrike w:val="0"/>
                <w:color w:val="auto"/>
                <w:sz w:val="22"/>
              </w:rPr>
            </w:pPr>
            <w:r>
              <w:rPr>
                <w:rFonts w:ascii="宋体" w:eastAsia="宋体"/>
                <w:b w:val="0"/>
                <w:i w:val="0"/>
                <w:strike w:val="0"/>
                <w:dstrike w:val="0"/>
                <w:color w:val="auto"/>
                <w:sz w:val="22"/>
              </w:rPr>
              <w:t xml:space="preserve">          上年结转</w:t>
            </w:r>
          </w:p>
        </w:tc>
        <w:tc>
          <w:tcPr>
            <w:tcW w:w="1170" w:type="pct"/>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b w:val="0"/>
                <w:i w:val="0"/>
                <w:strike w:val="0"/>
                <w:dstrike w:val="0"/>
                <w:color w:val="auto"/>
                <w:sz w:val="22"/>
              </w:rPr>
            </w:pPr>
            <w:r>
              <w:rPr>
                <w:rFonts w:ascii="宋体" w:eastAsia="宋体"/>
                <w:b w:val="0"/>
                <w:i w:val="0"/>
                <w:strike w:val="0"/>
                <w:dstrike w:val="0"/>
                <w:color w:val="auto"/>
                <w:sz w:val="22"/>
              </w:rPr>
              <w:t xml:space="preserve">                       -   </w:t>
            </w:r>
          </w:p>
        </w:tc>
        <w:tc>
          <w:tcPr>
            <w:tcW w:w="884" w:type="pct"/>
            <w:gridSpan w:val="2"/>
            <w:vMerge/>
            <w:tcBorders>
              <w:top w:val="single" w:sz="6" w:space="0" w:color="auto"/>
              <w:left w:val="single" w:sz="6" w:space="0" w:color="auto"/>
              <w:bottom w:val="single" w:sz="6" w:space="0" w:color="000000"/>
              <w:right w:val="single" w:sz="6" w:space="0" w:color="auto"/>
              <w:tl2br w:val="nil"/>
              <w:tr2bl w:val="nil"/>
            </w:tcBorders>
            <w:noWrap/>
            <w:vAlign w:val="center"/>
          </w:tcPr>
          <w:p/>
        </w:tc>
      </w:tr>
      <w:tr>
        <w:trPr>
          <w:trHeight w:val="254"/>
        </w:trPr>
        <w:tc>
          <w:tcPr>
            <w:tcW w:w="2628" w:type="pct"/>
            <w:gridSpan w:val="2"/>
            <w:vMerge/>
            <w:tcBorders>
              <w:top w:val="single" w:sz="6" w:space="0" w:color="auto"/>
              <w:left w:val="single" w:sz="6" w:space="0" w:color="auto"/>
              <w:bottom w:val="single" w:sz="6" w:space="0" w:color="000000"/>
              <w:right w:val="single" w:sz="6" w:space="0" w:color="000000"/>
              <w:tl2br w:val="nil"/>
              <w:tr2bl w:val="nil"/>
            </w:tcBorders>
            <w:noWrap/>
            <w:vAlign w:val="center"/>
          </w:tcPr>
          <w:p/>
        </w:tc>
        <w:tc>
          <w:tcPr>
            <w:tcW w:w="1047" w:type="pct"/>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b w:val="0"/>
                <w:i w:val="0"/>
                <w:strike w:val="0"/>
                <w:dstrike w:val="0"/>
                <w:color w:val="auto"/>
                <w:sz w:val="22"/>
              </w:rPr>
            </w:pPr>
            <w:r>
              <w:rPr>
                <w:rFonts w:ascii="宋体" w:eastAsia="宋体"/>
                <w:b w:val="0"/>
                <w:i w:val="0"/>
                <w:strike w:val="0"/>
                <w:dstrike w:val="0"/>
                <w:color w:val="auto"/>
                <w:sz w:val="22"/>
              </w:rPr>
              <w:t xml:space="preserve">          其他资金</w:t>
            </w:r>
          </w:p>
        </w:tc>
        <w:tc>
          <w:tcPr>
            <w:tcW w:w="1170" w:type="pct"/>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b w:val="0"/>
                <w:i w:val="0"/>
                <w:strike w:val="0"/>
                <w:dstrike w:val="0"/>
                <w:color w:val="auto"/>
                <w:sz w:val="22"/>
              </w:rPr>
            </w:pPr>
            <w:r>
              <w:rPr>
                <w:rFonts w:ascii="宋体" w:eastAsia="宋体"/>
                <w:b w:val="0"/>
                <w:i w:val="0"/>
                <w:strike w:val="0"/>
                <w:dstrike w:val="0"/>
                <w:color w:val="auto"/>
                <w:sz w:val="22"/>
              </w:rPr>
              <w:t xml:space="preserve">                       -   </w:t>
            </w:r>
          </w:p>
        </w:tc>
        <w:tc>
          <w:tcPr>
            <w:tcW w:w="884" w:type="pct"/>
            <w:gridSpan w:val="2"/>
            <w:vMerge/>
            <w:tcBorders>
              <w:top w:val="single" w:sz="6" w:space="0" w:color="auto"/>
              <w:left w:val="single" w:sz="6" w:space="0" w:color="auto"/>
              <w:bottom w:val="single" w:sz="6" w:space="0" w:color="000000"/>
              <w:right w:val="single" w:sz="6" w:space="0" w:color="auto"/>
              <w:tl2br w:val="nil"/>
              <w:tr2bl w:val="nil"/>
            </w:tcBorders>
            <w:noWrap/>
            <w:vAlign w:val="center"/>
          </w:tcPr>
          <w:p/>
        </w:tc>
      </w:tr>
      <w:tr>
        <w:trPr>
          <w:trHeight w:val="254"/>
        </w:trPr>
        <w:tc>
          <w:tcPr>
            <w:tcW w:w="642"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b w:val="0"/>
                <w:i w:val="0"/>
                <w:strike w:val="0"/>
                <w:dstrike w:val="0"/>
                <w:color w:val="auto"/>
                <w:sz w:val="22"/>
              </w:rPr>
            </w:pPr>
            <w:r>
              <w:rPr>
                <w:rFonts w:ascii="宋体" w:eastAsia="宋体"/>
                <w:b w:val="0"/>
                <w:i w:val="0"/>
                <w:strike w:val="0"/>
                <w:dstrike w:val="0"/>
                <w:color w:val="auto"/>
                <w:sz w:val="22"/>
              </w:rPr>
              <w:t>年</w:t>
              <w:br/>
              <w:t>度</w:t>
              <w:br/>
              <w:t>总</w:t>
              <w:br/>
              <w:t>体</w:t>
              <w:br/>
              <w:t>目</w:t>
              <w:br/>
              <w:t>标</w:t>
            </w:r>
          </w:p>
        </w:tc>
        <w:tc>
          <w:tcPr>
            <w:tcW w:w="4357"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b w:val="0"/>
                <w:i w:val="0"/>
                <w:strike w:val="0"/>
                <w:dstrike w:val="0"/>
                <w:color w:val="auto"/>
                <w:sz w:val="22"/>
              </w:rPr>
            </w:pPr>
            <w:r>
              <w:rPr>
                <w:rFonts w:ascii="宋体" w:eastAsia="宋体"/>
                <w:b w:val="0"/>
                <w:i w:val="0"/>
                <w:strike w:val="0"/>
                <w:dstrike w:val="0"/>
                <w:color w:val="auto"/>
                <w:sz w:val="22"/>
              </w:rPr>
              <w:t>目标1：保障呼和浩特关区行政执法、法规制修订、风险管理等各项业务日常经费需求,提升呼和浩特关区行政执法能力和执法水平。</w:t>
              <w:br/>
              <w:t>目标2：保障行政执法技术支持的能力储备和其他支出需求，提升海关进出境商品检验、动植物检疫、卫生检疫和应对技术性贸易措施的检测能力和水平。</w:t>
              <w:br/>
              <w:t>目标3:  配备净水、应急照明等设备，保障关员日常工作及身体健康，保障恶劣气候下满足随时通关、查验需要。</w:t>
              <w:br/>
              <w:t>目标4:  配备应对突发事故所需的应急装备，更新换代不能满足现有安全保障要求的应急装备，及时予以补充、更新和维护，实现对应急工作的有效保障。</w:t>
              <w:br/>
              <w:t>目标5：运用大数据池技术，提升海关安全准入（出）风险、税收征管风险、卫生防疫风险的防控能力。</w:t>
              <w:br/>
              <w:t>目标6：保障关区耗材需求、保障临时工工资、保障关区制服购置、 保障关区单证印刷、保障关员劳动保护需求。</w:t>
              <w:br/>
              <w:t>目标7：保障呼和浩特关区行政执法技术支持的能力储备和其他支出需求，提升呼和浩特关区进出境商品检验、动植物检疫、卫生检疫和应对技术性贸易措施的检测能力和水平。</w:t>
            </w:r>
          </w:p>
        </w:tc>
      </w:tr>
      <w:tr>
        <w:trPr>
          <w:trHeight w:val="254"/>
        </w:trPr>
        <w:tc>
          <w:tcPr>
            <w:tcW w:w="642" w:type="pct"/>
            <w:tcBorders>
              <w:top w:val="single" w:sz="6" w:space="0" w:color="auto"/>
              <w:left w:val="single" w:sz="6" w:space="0" w:color="auto"/>
              <w:bottom w:val="nil"/>
              <w:right w:val="single" w:sz="6" w:space="0" w:color="auto"/>
              <w:tl2br w:val="nil"/>
              <w:tr2bl w:val="nil"/>
            </w:tcBorders>
            <w:noWrap/>
            <w:vAlign w:val="center"/>
          </w:tcPr>
          <w:p>
            <w:pPr>
              <w:rPr>
                <w:rFonts w:ascii="宋体" w:eastAsia="宋体"/>
                <w:b w:val="0"/>
                <w:i w:val="0"/>
                <w:sz w:val="22"/>
              </w:rPr>
            </w:pPr>
          </w:p>
        </w:tc>
        <w:tc>
          <w:tcPr>
            <w:tcW w:w="837"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一级指标</w:t>
            </w:r>
          </w:p>
        </w:tc>
        <w:tc>
          <w:tcPr>
            <w:tcW w:w="1047"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二级指标</w:t>
            </w:r>
          </w:p>
        </w:tc>
        <w:tc>
          <w:tcPr>
            <w:tcW w:w="1170" w:type="pct"/>
            <w:tcBorders>
              <w:top w:val="single" w:sz="6" w:space="0" w:color="auto"/>
              <w:left w:val="nil"/>
              <w:bottom w:val="single" w:sz="6" w:space="0" w:color="auto"/>
              <w:right w:val="single" w:sz="6" w:space="0" w:color="000000"/>
              <w:tl2br w:val="nil"/>
              <w:tr2bl w:val="nil"/>
            </w:tcBorders>
            <w:noWrap/>
            <w:vAlign w:val="center"/>
          </w:tcPr>
          <w:p>
            <w:pPr>
              <w:jc w:val="center"/>
              <w:rPr>
                <w:rFonts w:ascii="宋体" w:eastAsia="宋体"/>
                <w:b w:val="0"/>
                <w:i w:val="0"/>
                <w:sz w:val="22"/>
              </w:rPr>
            </w:pPr>
            <w:r>
              <w:rPr>
                <w:rFonts w:ascii="宋体" w:eastAsia="宋体"/>
                <w:b w:val="0"/>
                <w:i w:val="0"/>
                <w:sz w:val="22"/>
              </w:rPr>
              <w:t>三级指标</w:t>
            </w:r>
          </w:p>
        </w:tc>
        <w:tc>
          <w:tcPr>
            <w:tcW w:w="801"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指标值</w:t>
            </w:r>
          </w:p>
        </w:tc>
        <w:tc>
          <w:tcPr>
            <w:tcW w:w="50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trike w:val="0"/>
                <w:dstrike w:val="0"/>
                <w:color w:val="auto"/>
                <w:sz w:val="22"/>
              </w:rPr>
            </w:pPr>
            <w:r>
              <w:rPr>
                <w:rFonts w:ascii="宋体" w:eastAsia="宋体"/>
                <w:b w:val="0"/>
                <w:i w:val="0"/>
                <w:strike w:val="0"/>
                <w:dstrike w:val="0"/>
                <w:color w:val="auto"/>
                <w:sz w:val="22"/>
              </w:rPr>
              <w:t>分值权重</w:t>
              <w:br/>
              <w:t>（90）</w:t>
            </w:r>
          </w:p>
        </w:tc>
      </w:tr>
      <w:tr>
        <w:trPr>
          <w:trHeight w:val="254"/>
        </w:trPr>
        <w:tc>
          <w:tcPr>
            <w:tcW w:w="642" w:type="pct"/>
            <w:vMerge w:val="restart"/>
            <w:tcBorders>
              <w:top w:val="nil"/>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绩效指标</w:t>
            </w:r>
          </w:p>
        </w:tc>
        <w:tc>
          <w:tcPr>
            <w:tcW w:w="837"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产出指标</w:t>
            </w:r>
          </w:p>
        </w:tc>
        <w:tc>
          <w:tcPr>
            <w:tcW w:w="1047"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数量指标</w:t>
            </w:r>
          </w:p>
        </w:tc>
        <w:tc>
          <w:tcPr>
            <w:tcW w:w="1170" w:type="pct"/>
            <w:tcBorders>
              <w:top w:val="single" w:sz="6" w:space="0" w:color="auto"/>
              <w:left w:val="nil"/>
              <w:bottom w:val="single" w:sz="6" w:space="0" w:color="auto"/>
              <w:right w:val="nil"/>
              <w:tl2br w:val="nil"/>
              <w:tr2bl w:val="nil"/>
            </w:tcBorders>
            <w:noWrap/>
            <w:vAlign w:val="center"/>
          </w:tcPr>
          <w:p>
            <w:pPr>
              <w:rPr>
                <w:rFonts w:ascii="宋体" w:eastAsia="宋体"/>
                <w:b w:val="0"/>
                <w:i w:val="0"/>
                <w:sz w:val="22"/>
              </w:rPr>
            </w:pPr>
            <w:r>
              <w:rPr>
                <w:rFonts w:ascii="宋体" w:eastAsia="宋体"/>
                <w:b w:val="0"/>
                <w:i w:val="0"/>
                <w:sz w:val="22"/>
              </w:rPr>
              <w:t>培训次数</w:t>
            </w:r>
          </w:p>
        </w:tc>
        <w:tc>
          <w:tcPr>
            <w:tcW w:w="801"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≥50次/年</w:t>
            </w:r>
          </w:p>
        </w:tc>
        <w:tc>
          <w:tcPr>
            <w:tcW w:w="50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10</w:t>
            </w:r>
          </w:p>
        </w:tc>
      </w:tr>
      <w:tr>
        <w:trPr>
          <w:trHeight w:val="254"/>
        </w:trPr>
        <w:tc>
          <w:tcPr>
            <w:tcW w:w="1350" w:type="pct"/>
            <w:vMerge/>
            <w:tcBorders>
              <w:top w:val="nil"/>
              <w:left w:val="single" w:sz="6" w:space="0" w:color="auto"/>
              <w:bottom w:val="single" w:sz="6" w:space="0" w:color="auto"/>
              <w:right w:val="single" w:sz="6" w:space="0" w:color="auto"/>
              <w:tl2br w:val="nil"/>
              <w:tr2bl w:val="nil"/>
            </w:tcBorders>
            <w:noWrap/>
            <w:vAlign w:val="center"/>
          </w:tcPr>
          <w:p/>
        </w:tc>
        <w:tc>
          <w:tcPr>
            <w:tcW w:w="1278"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106"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170" w:type="pct"/>
            <w:tcBorders>
              <w:top w:val="single" w:sz="6" w:space="0" w:color="auto"/>
              <w:left w:val="nil"/>
              <w:bottom w:val="single" w:sz="6" w:space="0" w:color="auto"/>
              <w:right w:val="nil"/>
              <w:tl2br w:val="nil"/>
              <w:tr2bl w:val="nil"/>
            </w:tcBorders>
            <w:noWrap/>
            <w:vAlign w:val="center"/>
          </w:tcPr>
          <w:p>
            <w:pPr>
              <w:rPr>
                <w:rFonts w:ascii="宋体" w:eastAsia="宋体"/>
                <w:b w:val="0"/>
                <w:i w:val="0"/>
                <w:sz w:val="22"/>
              </w:rPr>
            </w:pPr>
            <w:r>
              <w:rPr>
                <w:rFonts w:ascii="宋体" w:eastAsia="宋体"/>
                <w:b w:val="0"/>
                <w:i w:val="0"/>
                <w:sz w:val="22"/>
              </w:rPr>
              <w:t>保障执法执勤用车</w:t>
            </w:r>
          </w:p>
        </w:tc>
        <w:tc>
          <w:tcPr>
            <w:tcW w:w="801"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≥33辆</w:t>
            </w:r>
          </w:p>
        </w:tc>
        <w:tc>
          <w:tcPr>
            <w:tcW w:w="50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10</w:t>
            </w:r>
          </w:p>
        </w:tc>
      </w:tr>
      <w:tr>
        <w:trPr>
          <w:trHeight w:val="254"/>
        </w:trPr>
        <w:tc>
          <w:tcPr>
            <w:tcW w:w="1350" w:type="pct"/>
            <w:vMerge/>
            <w:tcBorders>
              <w:top w:val="nil"/>
              <w:left w:val="single" w:sz="6" w:space="0" w:color="auto"/>
              <w:bottom w:val="single" w:sz="6" w:space="0" w:color="auto"/>
              <w:right w:val="single" w:sz="6" w:space="0" w:color="auto"/>
              <w:tl2br w:val="nil"/>
              <w:tr2bl w:val="nil"/>
            </w:tcBorders>
            <w:noWrap/>
            <w:vAlign w:val="center"/>
          </w:tcPr>
          <w:p/>
        </w:tc>
        <w:tc>
          <w:tcPr>
            <w:tcW w:w="1278"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106"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170" w:type="pct"/>
            <w:tcBorders>
              <w:top w:val="single" w:sz="6" w:space="0" w:color="auto"/>
              <w:left w:val="nil"/>
              <w:bottom w:val="single" w:sz="6" w:space="0" w:color="auto"/>
              <w:right w:val="nil"/>
              <w:tl2br w:val="nil"/>
              <w:tr2bl w:val="nil"/>
            </w:tcBorders>
            <w:noWrap/>
            <w:vAlign w:val="center"/>
          </w:tcPr>
          <w:p>
            <w:pPr>
              <w:rPr>
                <w:rFonts w:ascii="宋体" w:eastAsia="宋体"/>
                <w:b w:val="0"/>
                <w:i w:val="0"/>
                <w:sz w:val="22"/>
              </w:rPr>
            </w:pPr>
            <w:r>
              <w:rPr>
                <w:rFonts w:ascii="宋体" w:eastAsia="宋体"/>
                <w:b w:val="0"/>
                <w:i w:val="0"/>
                <w:sz w:val="22"/>
              </w:rPr>
              <w:t>完成制服购置</w:t>
            </w:r>
          </w:p>
        </w:tc>
        <w:tc>
          <w:tcPr>
            <w:tcW w:w="801"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≥1批次</w:t>
            </w:r>
          </w:p>
        </w:tc>
        <w:tc>
          <w:tcPr>
            <w:tcW w:w="50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10</w:t>
            </w:r>
          </w:p>
        </w:tc>
      </w:tr>
      <w:tr>
        <w:trPr>
          <w:trHeight w:val="254"/>
        </w:trPr>
        <w:tc>
          <w:tcPr>
            <w:tcW w:w="1350" w:type="pct"/>
            <w:vMerge/>
            <w:tcBorders>
              <w:top w:val="nil"/>
              <w:left w:val="single" w:sz="6" w:space="0" w:color="auto"/>
              <w:bottom w:val="single" w:sz="6" w:space="0" w:color="auto"/>
              <w:right w:val="single" w:sz="6" w:space="0" w:color="auto"/>
              <w:tl2br w:val="nil"/>
              <w:tr2bl w:val="nil"/>
            </w:tcBorders>
            <w:noWrap/>
            <w:vAlign w:val="center"/>
          </w:tcPr>
          <w:p/>
        </w:tc>
        <w:tc>
          <w:tcPr>
            <w:tcW w:w="1278"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106"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170" w:type="pct"/>
            <w:tcBorders>
              <w:top w:val="single" w:sz="6" w:space="0" w:color="auto"/>
              <w:left w:val="nil"/>
              <w:bottom w:val="single" w:sz="6" w:space="0" w:color="auto"/>
              <w:right w:val="nil"/>
              <w:tl2br w:val="nil"/>
              <w:tr2bl w:val="nil"/>
            </w:tcBorders>
            <w:noWrap/>
            <w:vAlign w:val="center"/>
          </w:tcPr>
          <w:p>
            <w:pPr>
              <w:rPr>
                <w:rFonts w:ascii="宋体" w:eastAsia="宋体"/>
                <w:b w:val="0"/>
                <w:i w:val="0"/>
                <w:sz w:val="22"/>
              </w:rPr>
            </w:pPr>
            <w:r>
              <w:rPr>
                <w:rFonts w:ascii="宋体" w:eastAsia="宋体"/>
                <w:b w:val="0"/>
                <w:i w:val="0"/>
                <w:sz w:val="22"/>
              </w:rPr>
              <w:t>完成单证印刷</w:t>
            </w:r>
          </w:p>
        </w:tc>
        <w:tc>
          <w:tcPr>
            <w:tcW w:w="801"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≥1批次</w:t>
            </w:r>
          </w:p>
        </w:tc>
        <w:tc>
          <w:tcPr>
            <w:tcW w:w="50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10</w:t>
            </w:r>
          </w:p>
        </w:tc>
      </w:tr>
      <w:tr>
        <w:trPr>
          <w:trHeight w:val="254"/>
        </w:trPr>
        <w:tc>
          <w:tcPr>
            <w:tcW w:w="1350" w:type="pct"/>
            <w:vMerge/>
            <w:tcBorders>
              <w:top w:val="nil"/>
              <w:left w:val="single" w:sz="6" w:space="0" w:color="auto"/>
              <w:bottom w:val="single" w:sz="6" w:space="0" w:color="auto"/>
              <w:right w:val="single" w:sz="6" w:space="0" w:color="auto"/>
              <w:tl2br w:val="nil"/>
              <w:tr2bl w:val="nil"/>
            </w:tcBorders>
            <w:noWrap/>
            <w:vAlign w:val="center"/>
          </w:tcPr>
          <w:p/>
        </w:tc>
        <w:tc>
          <w:tcPr>
            <w:tcW w:w="1278"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047"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质量指标</w:t>
            </w:r>
          </w:p>
        </w:tc>
        <w:tc>
          <w:tcPr>
            <w:tcW w:w="1170" w:type="pct"/>
            <w:tcBorders>
              <w:top w:val="single" w:sz="6" w:space="0" w:color="auto"/>
              <w:left w:val="nil"/>
              <w:bottom w:val="single" w:sz="6" w:space="0" w:color="auto"/>
              <w:right w:val="nil"/>
              <w:tl2br w:val="nil"/>
              <w:tr2bl w:val="nil"/>
            </w:tcBorders>
            <w:noWrap/>
            <w:vAlign w:val="center"/>
          </w:tcPr>
          <w:p>
            <w:pPr>
              <w:rPr>
                <w:rFonts w:ascii="宋体" w:eastAsia="宋体"/>
                <w:b w:val="0"/>
                <w:i w:val="0"/>
                <w:sz w:val="22"/>
              </w:rPr>
            </w:pPr>
            <w:r>
              <w:rPr>
                <w:rFonts w:ascii="宋体" w:eastAsia="宋体"/>
                <w:b w:val="0"/>
                <w:i w:val="0"/>
                <w:sz w:val="22"/>
              </w:rPr>
              <w:t>人员制服配发率</w:t>
            </w:r>
          </w:p>
        </w:tc>
        <w:tc>
          <w:tcPr>
            <w:tcW w:w="801"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≥99%</w:t>
            </w:r>
          </w:p>
        </w:tc>
        <w:tc>
          <w:tcPr>
            <w:tcW w:w="50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5</w:t>
            </w:r>
          </w:p>
        </w:tc>
      </w:tr>
      <w:tr>
        <w:trPr>
          <w:trHeight w:val="254"/>
        </w:trPr>
        <w:tc>
          <w:tcPr>
            <w:tcW w:w="1350" w:type="pct"/>
            <w:vMerge/>
            <w:tcBorders>
              <w:top w:val="nil"/>
              <w:left w:val="single" w:sz="6" w:space="0" w:color="auto"/>
              <w:bottom w:val="single" w:sz="6" w:space="0" w:color="auto"/>
              <w:right w:val="single" w:sz="6" w:space="0" w:color="auto"/>
              <w:tl2br w:val="nil"/>
              <w:tr2bl w:val="nil"/>
            </w:tcBorders>
            <w:noWrap/>
            <w:vAlign w:val="center"/>
          </w:tcPr>
          <w:p/>
        </w:tc>
        <w:tc>
          <w:tcPr>
            <w:tcW w:w="1278"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106"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170" w:type="pct"/>
            <w:tcBorders>
              <w:top w:val="single" w:sz="6" w:space="0" w:color="auto"/>
              <w:left w:val="nil"/>
              <w:bottom w:val="single" w:sz="6" w:space="0" w:color="auto"/>
              <w:right w:val="nil"/>
              <w:tl2br w:val="nil"/>
              <w:tr2bl w:val="nil"/>
            </w:tcBorders>
            <w:noWrap/>
            <w:vAlign w:val="center"/>
          </w:tcPr>
          <w:p>
            <w:pPr>
              <w:rPr>
                <w:rFonts w:ascii="宋体" w:eastAsia="宋体"/>
                <w:b w:val="0"/>
                <w:i w:val="0"/>
                <w:sz w:val="22"/>
              </w:rPr>
            </w:pPr>
            <w:r>
              <w:rPr>
                <w:rFonts w:ascii="宋体" w:eastAsia="宋体"/>
                <w:b w:val="0"/>
                <w:i w:val="0"/>
                <w:sz w:val="22"/>
              </w:rPr>
              <w:t>培训合格率</w:t>
            </w:r>
          </w:p>
        </w:tc>
        <w:tc>
          <w:tcPr>
            <w:tcW w:w="801"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≥95%</w:t>
            </w:r>
          </w:p>
        </w:tc>
        <w:tc>
          <w:tcPr>
            <w:tcW w:w="50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5</w:t>
            </w:r>
          </w:p>
        </w:tc>
      </w:tr>
      <w:tr>
        <w:trPr>
          <w:trHeight w:val="254"/>
        </w:trPr>
        <w:tc>
          <w:tcPr>
            <w:tcW w:w="1350" w:type="pct"/>
            <w:vMerge/>
            <w:tcBorders>
              <w:top w:val="nil"/>
              <w:left w:val="single" w:sz="6" w:space="0" w:color="auto"/>
              <w:bottom w:val="single" w:sz="6" w:space="0" w:color="auto"/>
              <w:right w:val="single" w:sz="6" w:space="0" w:color="auto"/>
              <w:tl2br w:val="nil"/>
              <w:tr2bl w:val="nil"/>
            </w:tcBorders>
            <w:noWrap/>
            <w:vAlign w:val="center"/>
          </w:tcPr>
          <w:p/>
        </w:tc>
        <w:tc>
          <w:tcPr>
            <w:tcW w:w="837"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效益指标</w:t>
            </w:r>
          </w:p>
        </w:tc>
        <w:tc>
          <w:tcPr>
            <w:tcW w:w="1047"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社会效益指标</w:t>
            </w:r>
          </w:p>
        </w:tc>
        <w:tc>
          <w:tcPr>
            <w:tcW w:w="1170" w:type="pct"/>
            <w:tcBorders>
              <w:top w:val="single" w:sz="6" w:space="0" w:color="auto"/>
              <w:left w:val="nil"/>
              <w:bottom w:val="single" w:sz="6" w:space="0" w:color="auto"/>
              <w:right w:val="nil"/>
              <w:tl2br w:val="nil"/>
              <w:tr2bl w:val="nil"/>
            </w:tcBorders>
            <w:noWrap/>
            <w:vAlign w:val="center"/>
          </w:tcPr>
          <w:p>
            <w:pPr>
              <w:rPr>
                <w:rFonts w:ascii="宋体" w:eastAsia="宋体"/>
                <w:b w:val="0"/>
                <w:i w:val="0"/>
                <w:sz w:val="22"/>
              </w:rPr>
            </w:pPr>
            <w:r>
              <w:rPr>
                <w:rFonts w:ascii="宋体" w:eastAsia="宋体"/>
                <w:b w:val="0"/>
                <w:i w:val="0"/>
                <w:sz w:val="22"/>
              </w:rPr>
              <w:t>关区执法能力</w:t>
            </w:r>
          </w:p>
        </w:tc>
        <w:tc>
          <w:tcPr>
            <w:tcW w:w="801"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稳定</w:t>
            </w:r>
          </w:p>
        </w:tc>
        <w:tc>
          <w:tcPr>
            <w:tcW w:w="50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40</w:t>
            </w:r>
          </w:p>
        </w:tc>
      </w:tr>
    </w:tbl>
    <w:p/>
    <w:p>
      <w:pPr>
        <w:rPr>
          <w:rFonts w:ascii="黑体" w:eastAsia="黑体" w:cs="黑体"/>
          <w:color w:val="000000"/>
          <w:kern w:val="0"/>
          <w:sz w:val="32"/>
          <w:szCs w:val="32"/>
        </w:rPr>
      </w:pPr>
    </w:p>
    <w:p>
      <w:pPr>
        <w:rPr>
          <w:rFonts w:ascii="黑体" w:eastAsia="黑体" w:cs="黑体"/>
          <w:color w:val="000000"/>
          <w:kern w:val="0"/>
          <w:sz w:val="32"/>
          <w:szCs w:val="32"/>
        </w:rPr>
      </w:pPr>
    </w:p>
    <w:p/>
    <w:tbl>
      <w:tblPr>
        <w:jc w:val="center"/>
        <w:tblW w:w="9548"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534"/>
        <w:gridCol w:w="1280"/>
        <w:gridCol w:w="2019"/>
        <w:gridCol w:w="675"/>
        <w:gridCol w:w="2098"/>
        <w:gridCol w:w="945"/>
        <w:gridCol w:w="1997"/>
      </w:tblGrid>
      <w:tr>
        <w:trPr>
          <w:trHeight w:val="702"/>
        </w:trPr>
        <w:tc>
          <w:tcPr>
            <w:tcW w:w="9548"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32"/>
                <w:szCs w:val="32"/>
              </w:rPr>
            </w:pPr>
            <w:r>
              <w:rPr>
                <w:rFonts w:ascii="黑体" w:eastAsia="黑体" w:cs="黑体" w:hint="eastAsia"/>
                <w:color w:val="000000"/>
                <w:kern w:val="0"/>
                <w:sz w:val="32"/>
                <w:szCs w:val="32"/>
              </w:rPr>
              <w:t>项目绩效目标表</w:t>
            </w:r>
          </w:p>
        </w:tc>
      </w:tr>
      <w:tr>
        <w:trPr>
          <w:trHeight w:val="499"/>
        </w:trPr>
        <w:tc>
          <w:tcPr>
            <w:tcW w:w="9548"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8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773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海关缉私办案费</w:t>
            </w:r>
          </w:p>
        </w:tc>
      </w:tr>
      <w:tr>
        <w:trPr>
          <w:trHeight w:val="439"/>
        </w:trPr>
        <w:tc>
          <w:tcPr>
            <w:tcW w:w="18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694"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9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294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中华人民共和国呼和浩特海关本级</w:t>
            </w:r>
          </w:p>
        </w:tc>
      </w:tr>
      <w:tr>
        <w:trPr>
          <w:trHeight w:val="439"/>
        </w:trPr>
        <w:tc>
          <w:tcPr>
            <w:tcW w:w="181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694"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209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color w:val="000000"/>
                <w:kern w:val="0"/>
                <w:sz w:val="22"/>
              </w:rPr>
              <w:t>8.00</w:t>
            </w:r>
            <w:r>
              <w:rPr>
                <w:rFonts w:ascii="宋体" w:cs="宋体" w:hint="eastAsia"/>
                <w:color w:val="000000"/>
                <w:kern w:val="0"/>
                <w:sz w:val="22"/>
              </w:rPr>
              <w:t xml:space="preserve"> </w:t>
            </w:r>
          </w:p>
        </w:tc>
        <w:tc>
          <w:tcPr>
            <w:tcW w:w="294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814"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694"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209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color w:val="000000"/>
                <w:kern w:val="0"/>
                <w:sz w:val="22"/>
              </w:rPr>
              <w:t>8.00</w:t>
            </w:r>
            <w:r>
              <w:rPr>
                <w:rFonts w:ascii="宋体" w:cs="宋体" w:hint="eastAsia"/>
                <w:color w:val="000000"/>
                <w:kern w:val="0"/>
                <w:sz w:val="22"/>
              </w:rPr>
              <w:t xml:space="preserve"> </w:t>
            </w:r>
          </w:p>
        </w:tc>
        <w:tc>
          <w:tcPr>
            <w:tcW w:w="318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814"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694"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209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318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814"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694"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209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   </w:t>
            </w:r>
          </w:p>
        </w:tc>
        <w:tc>
          <w:tcPr>
            <w:tcW w:w="318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618"/>
        </w:trPr>
        <w:tc>
          <w:tcPr>
            <w:tcW w:w="534" w:type="dxa"/>
            <w:tcBorders>
              <w:top w:val="single" w:sz="4" w:space="0" w:color="000000"/>
              <w:left w:val="single" w:sz="4" w:space="0" w:color="000000"/>
              <w:bottom w:val="nil"/>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01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目标1：积极开展打击走私活动，加强行政案件规范性。</w:t>
            </w:r>
          </w:p>
          <w:p>
            <w:pPr>
              <w:widowControl/>
              <w:textAlignment w:val="center"/>
              <w:rPr>
                <w:rFonts w:ascii="宋体" w:cs="宋体"/>
                <w:color w:val="000000"/>
                <w:sz w:val="22"/>
              </w:rPr>
            </w:pPr>
            <w:r>
              <w:rPr>
                <w:rFonts w:ascii="宋体" w:cs="宋体" w:hint="eastAsia"/>
                <w:color w:val="000000"/>
                <w:kern w:val="0"/>
                <w:sz w:val="22"/>
              </w:rPr>
              <w:t>目标2：保障外出执法人员经费支出。</w:t>
            </w:r>
          </w:p>
        </w:tc>
      </w:tr>
      <w:tr>
        <w:trPr>
          <w:trHeight w:val="600"/>
        </w:trPr>
        <w:tc>
          <w:tcPr>
            <w:tcW w:w="534" w:type="dxa"/>
            <w:vMerge w:val="restart"/>
            <w:tcBorders>
              <w:top w:val="single" w:sz="4" w:space="0" w:color="000000"/>
              <w:left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8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w:t>
              <w:br/>
              <w:t>指标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773"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94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997"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cs="宋体"/>
                <w:sz w:val="24"/>
                <w:szCs w:val="24"/>
              </w:rPr>
            </w:pPr>
            <w:r>
              <w:rPr>
                <w:rFonts w:hint="eastAsia"/>
              </w:rPr>
              <w:t>产出指标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773"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刑事、行政案件立案数</w:t>
            </w:r>
          </w:p>
        </w:tc>
        <w:tc>
          <w:tcPr>
            <w:tcW w:w="945"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≥5件</w:t>
            </w:r>
          </w:p>
        </w:tc>
        <w:tc>
          <w:tcPr>
            <w:tcW w:w="199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1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sz w:val="22"/>
              </w:rPr>
            </w:pPr>
            <w:r>
              <w:rPr>
                <w:rFonts w:hint="eastAsia"/>
              </w:rPr>
              <w:t>质量指标</w:t>
            </w:r>
          </w:p>
          <w:p>
            <w:pPr>
              <w:widowControl/>
              <w:jc w:val="center"/>
              <w:textAlignment w:val="center"/>
              <w:rPr>
                <w:rFonts w:ascii="宋体" w:cs="宋体"/>
                <w:color w:val="000000"/>
                <w:sz w:val="22"/>
              </w:rPr>
            </w:pPr>
          </w:p>
        </w:tc>
        <w:tc>
          <w:tcPr>
            <w:tcW w:w="2773" w:type="dxa"/>
            <w:gridSpan w:val="2"/>
            <w:tcBorders>
              <w:top w:val="single" w:sz="4" w:space="0" w:color="000000"/>
              <w:left w:val="nil"/>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hint="eastAsia"/>
              </w:rPr>
              <w:t>执法规范性</w:t>
            </w:r>
          </w:p>
        </w:tc>
        <w:tc>
          <w:tcPr>
            <w:tcW w:w="945"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≥99%</w:t>
            </w:r>
          </w:p>
        </w:tc>
        <w:tc>
          <w:tcPr>
            <w:tcW w:w="199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600"/>
        </w:trPr>
        <w:tc>
          <w:tcPr>
            <w:tcW w:w="534" w:type="dxa"/>
            <w:vMerge/>
            <w:tcBorders>
              <w:left w:val="single" w:sz="4" w:space="0" w:color="000000"/>
              <w:right w:val="single" w:sz="4" w:space="0" w:color="000000"/>
            </w:tcBorders>
            <w:shd w:val="clear" w:color="auto" w:fill="auto"/>
            <w:textDirection w:val="tbRlV"/>
            <w:vAlign w:val="center"/>
          </w:tcPr>
          <w:p/>
        </w:tc>
        <w:tc>
          <w:tcPr>
            <w:tcW w:w="12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773" w:type="dxa"/>
            <w:gridSpan w:val="2"/>
            <w:tcBorders>
              <w:top w:val="single" w:sz="4" w:space="0" w:color="000000"/>
              <w:left w:val="nil"/>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hint="eastAsia"/>
              </w:rPr>
              <w:t>结案率</w:t>
            </w:r>
          </w:p>
        </w:tc>
        <w:tc>
          <w:tcPr>
            <w:tcW w:w="945"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99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right w:val="single" w:sz="4" w:space="0" w:color="000000"/>
            </w:tcBorders>
            <w:shd w:val="clear" w:color="auto" w:fill="auto"/>
            <w:textDirection w:val="tbRlV"/>
            <w:vAlign w:val="center"/>
          </w:tcPr>
          <w:p/>
        </w:tc>
        <w:tc>
          <w:tcPr>
            <w:tcW w:w="1280" w:type="dxa"/>
            <w:vMerge w:val="restart"/>
            <w:tcBorders>
              <w:top w:val="single" w:sz="4" w:space="0" w:color="000000"/>
              <w:left w:val="single" w:sz="4" w:space="0" w:color="000000"/>
              <w:right w:val="single" w:sz="4" w:space="0" w:color="000000"/>
            </w:tcBorders>
            <w:shd w:val="clear" w:color="auto" w:fill="auto"/>
            <w:vAlign w:val="center"/>
          </w:tcPr>
          <w:p>
            <w:pPr>
              <w:jc w:val="center"/>
              <w:rPr>
                <w:rFonts w:ascii="宋体" w:cs="宋体"/>
                <w:sz w:val="24"/>
                <w:szCs w:val="24"/>
              </w:rPr>
            </w:pPr>
            <w:r>
              <w:rPr>
                <w:rFonts w:hint="eastAsia"/>
              </w:rPr>
              <w:t>效益指标</w:t>
            </w:r>
          </w:p>
        </w:tc>
        <w:tc>
          <w:tcPr>
            <w:tcW w:w="2019" w:type="dxa"/>
            <w:vMerge w:val="restart"/>
            <w:tcBorders>
              <w:top w:val="single" w:sz="4" w:space="0" w:color="000000"/>
              <w:left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773"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打击偷逃税款走私取得明显效果</w:t>
            </w:r>
          </w:p>
        </w:tc>
        <w:tc>
          <w:tcPr>
            <w:tcW w:w="945"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有效</w:t>
            </w:r>
          </w:p>
        </w:tc>
        <w:tc>
          <w:tcPr>
            <w:tcW w:w="199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600"/>
        </w:trPr>
        <w:tc>
          <w:tcPr>
            <w:tcW w:w="534" w:type="dxa"/>
            <w:vMerge/>
            <w:tcBorders>
              <w:left w:val="single" w:sz="4" w:space="0" w:color="000000"/>
              <w:right w:val="single" w:sz="4" w:space="0" w:color="000000"/>
            </w:tcBorders>
            <w:shd w:val="clear" w:color="auto" w:fill="auto"/>
            <w:textDirection w:val="tbRlV"/>
            <w:vAlign w:val="center"/>
          </w:tcPr>
          <w:p/>
        </w:tc>
        <w:tc>
          <w:tcPr>
            <w:tcW w:w="1280" w:type="dxa"/>
            <w:vMerge/>
            <w:tcBorders>
              <w:left w:val="single" w:sz="4" w:space="0" w:color="000000"/>
              <w:bottom w:val="single" w:sz="4" w:space="0" w:color="auto"/>
              <w:right w:val="single" w:sz="4" w:space="0" w:color="000000"/>
            </w:tcBorders>
            <w:shd w:val="clear" w:color="auto" w:fill="auto"/>
            <w:vAlign w:val="center"/>
          </w:tcPr>
          <w:p/>
        </w:tc>
        <w:tc>
          <w:tcPr>
            <w:tcW w:w="2019" w:type="dxa"/>
            <w:vMerge/>
            <w:tcBorders>
              <w:left w:val="single" w:sz="4" w:space="0" w:color="000000"/>
              <w:bottom w:val="single" w:sz="4" w:space="0" w:color="000000"/>
              <w:right w:val="single" w:sz="4" w:space="0" w:color="000000"/>
            </w:tcBorders>
            <w:shd w:val="clear" w:color="auto" w:fill="auto"/>
            <w:vAlign w:val="center"/>
          </w:tcPr>
          <w:p/>
        </w:tc>
        <w:tc>
          <w:tcPr>
            <w:tcW w:w="2773" w:type="dxa"/>
            <w:gridSpan w:val="2"/>
            <w:tcBorders>
              <w:top w:val="single" w:sz="4" w:space="0" w:color="000000"/>
              <w:left w:val="nil"/>
              <w:bottom w:val="single" w:sz="4" w:space="0" w:color="000000"/>
              <w:right w:val="nil"/>
            </w:tcBorders>
            <w:shd w:val="clear" w:color="auto" w:fill="auto"/>
            <w:vAlign w:val="center"/>
          </w:tcPr>
          <w:p>
            <w:pPr>
              <w:widowControl/>
              <w:jc w:val="left"/>
              <w:textAlignment w:val="center"/>
              <w:rPr>
                <w:rFonts w:ascii="宋体" w:cs="宋体"/>
                <w:color w:val="000000"/>
                <w:kern w:val="0"/>
                <w:sz w:val="22"/>
              </w:rPr>
            </w:pPr>
            <w:r>
              <w:rPr>
                <w:rFonts w:hint="eastAsia"/>
              </w:rPr>
              <w:t>打击毒品、武器、普通货物、固体废物等走私效果</w:t>
            </w:r>
          </w:p>
        </w:tc>
        <w:tc>
          <w:tcPr>
            <w:tcW w:w="945"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有效</w:t>
            </w:r>
          </w:p>
        </w:tc>
        <w:tc>
          <w:tcPr>
            <w:tcW w:w="199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600"/>
        </w:trPr>
        <w:tc>
          <w:tcPr>
            <w:tcW w:w="534" w:type="dxa"/>
            <w:vMerge/>
            <w:tcBorders>
              <w:left w:val="single" w:sz="4" w:space="0" w:color="000000"/>
              <w:bottom w:val="single" w:sz="4" w:space="0" w:color="000000"/>
              <w:right w:val="single" w:sz="4" w:space="0" w:color="auto"/>
            </w:tcBorders>
            <w:shd w:val="clear" w:color="auto" w:fill="auto"/>
            <w:textDirection w:val="tbRlV"/>
            <w:vAlign w:val="center"/>
          </w:tcP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pPr>
              <w:rPr>
                <w:rFonts w:ascii="宋体" w:cs="宋体"/>
                <w:sz w:val="24"/>
                <w:szCs w:val="24"/>
              </w:rPr>
            </w:pPr>
            <w:r>
              <w:rPr>
                <w:rFonts w:hint="eastAsia"/>
              </w:rPr>
              <w:t>满意度指标</w:t>
            </w:r>
          </w:p>
        </w:tc>
        <w:tc>
          <w:tcPr>
            <w:tcW w:w="2019"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773"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行风调查满意度指标</w:t>
            </w:r>
          </w:p>
        </w:tc>
        <w:tc>
          <w:tcPr>
            <w:tcW w:w="945"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≥99%</w:t>
            </w:r>
          </w:p>
        </w:tc>
        <w:tc>
          <w:tcPr>
            <w:tcW w:w="199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p>
        </w:tc>
      </w:tr>
    </w:tbl>
    <w:p>
      <w:pPr>
        <w:jc w:val="left"/>
        <w:rPr>
          <w:rFonts w:ascii="宋体" w:cs="宋体"/>
          <w:sz w:val="24"/>
          <w:szCs w:val="24"/>
        </w:rPr>
        <w:sectPr>
          <w:pgSz w:w="11906" w:h="16838"/>
          <w:pgMar w:top="1440" w:right="1800" w:bottom="1440" w:left="1800" w:header="851" w:footer="992" w:gutter="0"/>
          <w:docGrid w:type="lines" w:linePitch="312" w:charSpace="0"/>
        </w:sectPr>
      </w:pPr>
    </w:p>
    <w:p>
      <w:pPr>
        <w:pStyle w:val="40"/>
        <w:jc w:val="left"/>
        <w:rPr>
          <w:rFonts w:ascii="Times New Roman" w:eastAsia="方正仿宋_GBK" w:hAnsi="Times New Roman"/>
          <w:vanish/>
          <w:sz w:val="32"/>
          <w:szCs w:val="32"/>
        </w:rPr>
        <w:sectPr>
          <w:pgSz w:w="11906" w:h="16838"/>
          <w:pgMar w:top="1440" w:right="1800" w:bottom="1440" w:left="1800" w:header="851" w:footer="992" w:gutter="0"/>
          <w:docGrid w:type="lines" w:linePitch="312" w:charSpace="0"/>
        </w:sectPr>
      </w:pPr>
    </w:p>
    <w:p>
      <w:pPr>
        <w:rPr>
          <w:vanish/>
        </w:rPr>
      </w:pPr>
    </w:p>
    <w:tbl>
      <w:tblPr>
        <w:jc w:val="center"/>
        <w:tblW w:w="10056"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364"/>
        <w:gridCol w:w="2018"/>
        <w:gridCol w:w="942"/>
        <w:gridCol w:w="2019"/>
        <w:gridCol w:w="2019"/>
        <w:gridCol w:w="1160"/>
      </w:tblGrid>
      <w:tr>
        <w:trPr>
          <w:trHeight w:val="702"/>
        </w:trPr>
        <w:tc>
          <w:tcPr>
            <w:tcW w:w="10056"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32"/>
                <w:szCs w:val="32"/>
              </w:rPr>
            </w:pPr>
            <w:r>
              <w:rPr>
                <w:rFonts w:ascii="黑体" w:eastAsia="黑体" w:cs="黑体" w:hint="eastAsia"/>
                <w:color w:val="000000"/>
                <w:kern w:val="0"/>
                <w:sz w:val="32"/>
                <w:szCs w:val="32"/>
              </w:rPr>
              <w:t>项目绩效目标表</w:t>
            </w:r>
          </w:p>
        </w:tc>
      </w:tr>
      <w:tr>
        <w:trPr>
          <w:trHeight w:val="499"/>
        </w:trPr>
        <w:tc>
          <w:tcPr>
            <w:tcW w:w="10056"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8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158"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国门生物安全专项</w:t>
            </w:r>
          </w:p>
        </w:tc>
      </w:tr>
      <w:tr>
        <w:trPr>
          <w:trHeight w:val="439"/>
        </w:trPr>
        <w:tc>
          <w:tcPr>
            <w:tcW w:w="18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96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7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中华人民共和国呼和浩特海关本级本级</w:t>
            </w:r>
          </w:p>
        </w:tc>
      </w:tr>
      <w:tr>
        <w:trPr>
          <w:trHeight w:val="439"/>
        </w:trPr>
        <w:tc>
          <w:tcPr>
            <w:tcW w:w="189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96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2.00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89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6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2.00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89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6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89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6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3900"/>
        </w:trPr>
        <w:tc>
          <w:tcPr>
            <w:tcW w:w="534" w:type="dxa"/>
            <w:tcBorders>
              <w:top w:val="single" w:sz="4" w:space="0" w:color="000000"/>
              <w:left w:val="single" w:sz="4" w:space="0" w:color="000000"/>
              <w:bottom w:val="nil"/>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522"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sz w:val="22"/>
              </w:rPr>
            </w:pPr>
            <w:r>
              <w:rPr>
                <w:rFonts w:ascii="宋体" w:cs="宋体" w:hint="eastAsia"/>
                <w:color w:val="000000"/>
                <w:kern w:val="0"/>
                <w:sz w:val="22"/>
              </w:rPr>
              <w:t>目标1：进一步夯实国门生物安全保障能力基础，促进国门生物安全保障能力持续提升。完成年度进出境动植物检验检疫各项工作任务，稳步推进各项改革事项，有效控制重大动植物疫情疫病和有毒有害物质传入传出，有效保障农林牧渔业生产安全、人民群众生命健康安全和生态安全。</w:t>
            </w:r>
          </w:p>
        </w:tc>
      </w:tr>
      <w:tr>
        <w:trPr>
          <w:trHeight w:val="600"/>
        </w:trPr>
        <w:tc>
          <w:tcPr>
            <w:tcW w:w="53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36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w:t>
              <w:br/>
              <w:t>指标</w:t>
            </w:r>
          </w:p>
        </w:tc>
        <w:tc>
          <w:tcPr>
            <w:tcW w:w="201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1"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36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2018"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国门生物安全宣传册印刷</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≥200册/年</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36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18"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开展国门生物安全培训或宣传次数</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36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18"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动植检绩效考核指标保持全国海关前三分之一</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36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18"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外来有害生物监测计划完成率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36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18"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进出境动物疫病监测计划完成率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36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18"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培训合格率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36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2018"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提升国门安全保障能力</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有效提升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40</w:t>
            </w:r>
          </w:p>
        </w:tc>
      </w:tr>
    </w:tbl>
    <w:p>
      <w:pPr>
        <w:jc w:val="center"/>
        <w:rPr>
          <w:rFonts w:ascii="黑体" w:eastAsia="黑体"/>
          <w:b w:val="0"/>
          <w:i w:val="0"/>
          <w:sz w:val="32"/>
        </w:rPr>
      </w:pP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096"/>
        <w:gridCol w:w="1543"/>
        <w:gridCol w:w="1325"/>
        <w:gridCol w:w="1617"/>
        <w:gridCol w:w="1163"/>
        <w:gridCol w:w="960"/>
        <w:gridCol w:w="819"/>
      </w:tblGrid>
      <w:tr>
        <w:trPr>
          <w:trHeight w:val="254"/>
        </w:trPr>
        <w:tc>
          <w:tcPr>
            <w:tcW w:w="5000" w:type="pct"/>
            <w:gridSpan w:val="7"/>
            <w:tcBorders>
              <w:top w:val="nil"/>
              <w:left w:val="nil"/>
              <w:bottom w:val="nil"/>
              <w:right w:val="nil"/>
              <w:tl2br w:val="nil"/>
              <w:tr2bl w:val="nil"/>
            </w:tcBorders>
            <w:noWrap/>
            <w:vAlign w:val="center"/>
          </w:tcPr>
          <w:p>
            <w:pPr>
              <w:jc w:val="center"/>
              <w:rPr>
                <w:rFonts w:ascii="黑体" w:eastAsia="黑体"/>
                <w:b w:val="0"/>
                <w:i w:val="0"/>
                <w:sz w:val="32"/>
              </w:rPr>
            </w:pPr>
          </w:p>
          <w:p>
            <w:pPr>
              <w:jc w:val="center"/>
              <w:rPr>
                <w:rFonts w:ascii="黑体" w:eastAsia="黑体"/>
                <w:b w:val="0"/>
                <w:i w:val="0"/>
                <w:sz w:val="32"/>
              </w:rPr>
            </w:pPr>
            <w:r>
              <w:rPr>
                <w:rFonts w:ascii="黑体" w:eastAsia="黑体"/>
                <w:b w:val="0"/>
                <w:i w:val="0"/>
                <w:sz w:val="32"/>
              </w:rPr>
              <w:t>项目绩效目标表</w:t>
            </w:r>
          </w:p>
        </w:tc>
      </w:tr>
      <w:tr>
        <w:trPr>
          <w:trHeight w:val="254"/>
        </w:trPr>
        <w:tc>
          <w:tcPr>
            <w:tcW w:w="5000" w:type="pct"/>
            <w:gridSpan w:val="7"/>
            <w:tcBorders>
              <w:top w:val="nil"/>
              <w:left w:val="nil"/>
              <w:bottom w:val="nil"/>
              <w:right w:val="nil"/>
              <w:tl2br w:val="nil"/>
              <w:tr2bl w:val="nil"/>
            </w:tcBorders>
            <w:noWrap/>
          </w:tcPr>
          <w:p>
            <w:pPr>
              <w:jc w:val="center"/>
              <w:rPr>
                <w:rFonts w:ascii="宋体" w:eastAsia="宋体"/>
                <w:b w:val="0"/>
                <w:i w:val="0"/>
                <w:sz w:val="24"/>
              </w:rPr>
            </w:pPr>
            <w:r>
              <w:rPr>
                <w:rFonts w:ascii="宋体" w:eastAsia="宋体"/>
                <w:b w:val="0"/>
                <w:i w:val="0"/>
                <w:sz w:val="24"/>
              </w:rPr>
              <w:t>(2023年度)</w:t>
            </w:r>
          </w:p>
        </w:tc>
      </w:tr>
      <w:tr>
        <w:trPr>
          <w:trHeight w:val="254"/>
        </w:trPr>
        <w:tc>
          <w:tcPr>
            <w:tcW w:w="5000" w:type="pct"/>
            <w:gridSpan w:val="7"/>
            <w:tcBorders>
              <w:top w:val="nil"/>
              <w:left w:val="nil"/>
              <w:bottom w:val="nil"/>
              <w:right w:val="nil"/>
              <w:tl2br w:val="nil"/>
              <w:tr2bl w:val="nil"/>
            </w:tcBorders>
            <w:noWrap/>
            <w:vAlign w:val="center"/>
          </w:tcPr>
          <w:p>
            <w:pPr>
              <w:jc w:val="right"/>
              <w:rPr>
                <w:rFonts w:ascii="宋体" w:eastAsia="宋体"/>
                <w:b w:val="0"/>
                <w:i w:val="0"/>
                <w:sz w:val="22"/>
              </w:rPr>
            </w:pPr>
          </w:p>
        </w:tc>
      </w:tr>
      <w:tr>
        <w:trPr>
          <w:trHeight w:val="254"/>
        </w:trPr>
        <w:tc>
          <w:tcPr>
            <w:tcW w:w="2596"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项目名称</w:t>
            </w:r>
          </w:p>
        </w:tc>
        <w:tc>
          <w:tcPr>
            <w:tcW w:w="2403"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口岸公共卫生安全专项</w:t>
            </w:r>
          </w:p>
        </w:tc>
      </w:tr>
      <w:tr>
        <w:trPr>
          <w:trHeight w:val="254"/>
        </w:trPr>
        <w:tc>
          <w:tcPr>
            <w:tcW w:w="2596"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主管部门及代码</w:t>
            </w:r>
          </w:p>
        </w:tc>
        <w:tc>
          <w:tcPr>
            <w:tcW w:w="1528"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b w:val="0"/>
                <w:i w:val="0"/>
                <w:sz w:val="22"/>
              </w:rPr>
            </w:pPr>
            <w:r>
              <w:rPr>
                <w:rFonts w:ascii="宋体" w:eastAsia="宋体"/>
                <w:b w:val="0"/>
                <w:i w:val="0"/>
                <w:sz w:val="22"/>
              </w:rPr>
              <w:t>[167]海关总署</w:t>
            </w:r>
          </w:p>
        </w:tc>
        <w:tc>
          <w:tcPr>
            <w:tcW w:w="32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实施单位</w:t>
            </w:r>
          </w:p>
        </w:tc>
        <w:tc>
          <w:tcPr>
            <w:tcW w:w="554"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中华人民共和国呼和浩特海关本级</w:t>
            </w:r>
          </w:p>
        </w:tc>
      </w:tr>
      <w:tr>
        <w:trPr>
          <w:trHeight w:val="254"/>
        </w:trPr>
        <w:tc>
          <w:tcPr>
            <w:tcW w:w="2596" w:type="pct"/>
            <w:gridSpan w:val="2"/>
            <w:vMerge w:val="restart"/>
            <w:tcBorders>
              <w:top w:val="single" w:sz="6" w:space="0" w:color="auto"/>
              <w:left w:val="single" w:sz="6" w:space="0" w:color="auto"/>
              <w:bottom w:val="single" w:sz="6" w:space="0" w:color="000000"/>
              <w:right w:val="single" w:sz="6" w:space="0" w:color="000000"/>
              <w:tl2br w:val="nil"/>
              <w:tr2bl w:val="nil"/>
            </w:tcBorders>
            <w:noWrap/>
            <w:vAlign w:val="center"/>
          </w:tcPr>
          <w:p>
            <w:pPr>
              <w:jc w:val="center"/>
              <w:rPr>
                <w:rFonts w:ascii="宋体" w:eastAsia="宋体"/>
                <w:b w:val="0"/>
                <w:i w:val="0"/>
                <w:strike w:val="0"/>
                <w:dstrike w:val="0"/>
                <w:color w:val="auto"/>
                <w:sz w:val="22"/>
              </w:rPr>
            </w:pPr>
            <w:r>
              <w:rPr>
                <w:rFonts w:ascii="宋体" w:eastAsia="宋体"/>
                <w:b w:val="0"/>
                <w:i w:val="0"/>
                <w:strike w:val="0"/>
                <w:dstrike w:val="0"/>
                <w:color w:val="auto"/>
                <w:sz w:val="22"/>
              </w:rPr>
              <w:t>项目资金</w:t>
              <w:br/>
              <w:t>（万元）</w:t>
            </w:r>
          </w:p>
        </w:tc>
        <w:tc>
          <w:tcPr>
            <w:tcW w:w="1528" w:type="pct"/>
            <w:gridSpan w:val="2"/>
            <w:tcBorders>
              <w:top w:val="single" w:sz="6" w:space="0" w:color="auto"/>
              <w:left w:val="single" w:sz="6" w:space="0" w:color="auto"/>
              <w:bottom w:val="single" w:sz="6" w:space="0" w:color="auto"/>
              <w:right w:val="nil"/>
              <w:tl2br w:val="nil"/>
              <w:tr2bl w:val="nil"/>
            </w:tcBorders>
            <w:noWrap/>
            <w:vAlign w:val="center"/>
          </w:tcPr>
          <w:p>
            <w:pPr>
              <w:rPr>
                <w:rFonts w:ascii="宋体" w:eastAsia="宋体"/>
                <w:b w:val="0"/>
                <w:i w:val="0"/>
                <w:strike w:val="0"/>
                <w:dstrike w:val="0"/>
                <w:color w:val="auto"/>
                <w:sz w:val="22"/>
              </w:rPr>
            </w:pPr>
            <w:r>
              <w:rPr>
                <w:rFonts w:ascii="宋体" w:eastAsia="宋体"/>
                <w:b w:val="0"/>
                <w:i w:val="0"/>
                <w:strike w:val="0"/>
                <w:dstrike w:val="0"/>
                <w:color w:val="auto"/>
                <w:sz w:val="22"/>
              </w:rPr>
              <w:t xml:space="preserve"> 年度资金总额：</w:t>
            </w:r>
          </w:p>
        </w:tc>
        <w:tc>
          <w:tcPr>
            <w:tcW w:w="62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b w:val="0"/>
                <w:i w:val="0"/>
                <w:strike w:val="0"/>
                <w:dstrike w:val="0"/>
                <w:color w:val="auto"/>
                <w:sz w:val="22"/>
              </w:rPr>
            </w:pPr>
            <w:r>
              <w:rPr>
                <w:rFonts w:ascii="宋体" w:eastAsia="宋体"/>
                <w:b w:val="0"/>
                <w:i w:val="0"/>
                <w:strike w:val="0"/>
                <w:dstrike w:val="0"/>
                <w:color w:val="auto"/>
                <w:sz w:val="22"/>
              </w:rPr>
              <w:t xml:space="preserve">               20.00 </w:t>
            </w:r>
          </w:p>
        </w:tc>
        <w:tc>
          <w:tcPr>
            <w:tcW w:w="254" w:type="pct"/>
            <w:vMerge w:val="restart"/>
            <w:tcBorders>
              <w:top w:val="single" w:sz="6" w:space="0" w:color="auto"/>
              <w:left w:val="single" w:sz="6" w:space="0" w:color="auto"/>
              <w:bottom w:val="single" w:sz="6" w:space="0" w:color="000000"/>
              <w:right w:val="single" w:sz="6" w:space="0" w:color="auto"/>
              <w:tl2br w:val="nil"/>
              <w:tr2bl w:val="nil"/>
            </w:tcBorders>
            <w:noWrap/>
            <w:vAlign w:val="center"/>
          </w:tcPr>
          <w:p>
            <w:pPr>
              <w:jc w:val="center"/>
              <w:rPr>
                <w:rFonts w:ascii="宋体" w:eastAsia="宋体"/>
                <w:b w:val="0"/>
                <w:i w:val="0"/>
                <w:strike w:val="0"/>
                <w:dstrike w:val="0"/>
                <w:color w:val="auto"/>
                <w:sz w:val="22"/>
              </w:rPr>
            </w:pPr>
            <w:r>
              <w:rPr>
                <w:rFonts w:ascii="宋体" w:eastAsia="宋体"/>
                <w:b w:val="0"/>
                <w:i w:val="0"/>
                <w:strike w:val="0"/>
                <w:dstrike w:val="0"/>
                <w:color w:val="auto"/>
                <w:sz w:val="22"/>
              </w:rPr>
              <w:t>执行率</w:t>
              <w:br/>
              <w:t>分值（10）</w:t>
            </w:r>
          </w:p>
        </w:tc>
      </w:tr>
      <w:tr>
        <w:trPr>
          <w:trHeight w:val="254"/>
        </w:trPr>
        <w:tc>
          <w:tcPr>
            <w:tcW w:w="2596" w:type="pct"/>
            <w:gridSpan w:val="2"/>
            <w:vMerge/>
            <w:tcBorders>
              <w:top w:val="single" w:sz="6" w:space="0" w:color="auto"/>
              <w:left w:val="single" w:sz="6" w:space="0" w:color="auto"/>
              <w:bottom w:val="single" w:sz="6" w:space="0" w:color="000000"/>
              <w:right w:val="single" w:sz="6" w:space="0" w:color="000000"/>
              <w:tl2br w:val="nil"/>
              <w:tr2bl w:val="nil"/>
            </w:tcBorders>
            <w:noWrap/>
            <w:vAlign w:val="center"/>
          </w:tcPr>
          <w:p/>
        </w:tc>
        <w:tc>
          <w:tcPr>
            <w:tcW w:w="1528"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b w:val="0"/>
                <w:i w:val="0"/>
                <w:strike w:val="0"/>
                <w:dstrike w:val="0"/>
                <w:color w:val="auto"/>
                <w:sz w:val="22"/>
              </w:rPr>
            </w:pPr>
            <w:r>
              <w:rPr>
                <w:rFonts w:ascii="宋体" w:eastAsia="宋体"/>
                <w:b w:val="0"/>
                <w:i w:val="0"/>
                <w:strike w:val="0"/>
                <w:dstrike w:val="0"/>
                <w:color w:val="auto"/>
                <w:sz w:val="22"/>
              </w:rPr>
              <w:t xml:space="preserve">    其中：财政拨款</w:t>
            </w:r>
          </w:p>
        </w:tc>
        <w:tc>
          <w:tcPr>
            <w:tcW w:w="62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b w:val="0"/>
                <w:i w:val="0"/>
                <w:strike w:val="0"/>
                <w:dstrike w:val="0"/>
                <w:color w:val="auto"/>
                <w:sz w:val="22"/>
              </w:rPr>
            </w:pPr>
            <w:r>
              <w:rPr>
                <w:rFonts w:ascii="宋体" w:eastAsia="宋体"/>
                <w:b w:val="0"/>
                <w:i w:val="0"/>
                <w:strike w:val="0"/>
                <w:dstrike w:val="0"/>
                <w:color w:val="auto"/>
                <w:sz w:val="22"/>
              </w:rPr>
              <w:t xml:space="preserve">               20.00 </w:t>
            </w:r>
          </w:p>
        </w:tc>
        <w:tc>
          <w:tcPr>
            <w:tcW w:w="254" w:type="pct"/>
            <w:vMerge/>
            <w:tcBorders>
              <w:top w:val="single" w:sz="6" w:space="0" w:color="auto"/>
              <w:left w:val="single" w:sz="6" w:space="0" w:color="auto"/>
              <w:bottom w:val="single" w:sz="6" w:space="0" w:color="000000"/>
              <w:right w:val="single" w:sz="6" w:space="0" w:color="auto"/>
              <w:tl2br w:val="nil"/>
              <w:tr2bl w:val="nil"/>
            </w:tcBorders>
            <w:noWrap/>
            <w:vAlign w:val="center"/>
          </w:tcPr>
          <w:p/>
        </w:tc>
      </w:tr>
      <w:tr>
        <w:trPr>
          <w:trHeight w:val="254"/>
        </w:trPr>
        <w:tc>
          <w:tcPr>
            <w:tcW w:w="2596" w:type="pct"/>
            <w:gridSpan w:val="2"/>
            <w:vMerge/>
            <w:tcBorders>
              <w:top w:val="single" w:sz="6" w:space="0" w:color="auto"/>
              <w:left w:val="single" w:sz="6" w:space="0" w:color="auto"/>
              <w:bottom w:val="single" w:sz="6" w:space="0" w:color="000000"/>
              <w:right w:val="single" w:sz="6" w:space="0" w:color="000000"/>
              <w:tl2br w:val="nil"/>
              <w:tr2bl w:val="nil"/>
            </w:tcBorders>
            <w:noWrap/>
            <w:vAlign w:val="center"/>
          </w:tcPr>
          <w:p/>
        </w:tc>
        <w:tc>
          <w:tcPr>
            <w:tcW w:w="1528"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b w:val="0"/>
                <w:i w:val="0"/>
                <w:strike w:val="0"/>
                <w:dstrike w:val="0"/>
                <w:color w:val="auto"/>
                <w:sz w:val="22"/>
              </w:rPr>
            </w:pPr>
            <w:r>
              <w:rPr>
                <w:rFonts w:ascii="宋体" w:eastAsia="宋体"/>
                <w:b w:val="0"/>
                <w:i w:val="0"/>
                <w:strike w:val="0"/>
                <w:dstrike w:val="0"/>
                <w:color w:val="auto"/>
                <w:sz w:val="22"/>
              </w:rPr>
              <w:t xml:space="preserve">          上年结转</w:t>
            </w:r>
          </w:p>
        </w:tc>
        <w:tc>
          <w:tcPr>
            <w:tcW w:w="62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b w:val="0"/>
                <w:i w:val="0"/>
                <w:strike w:val="0"/>
                <w:dstrike w:val="0"/>
                <w:color w:val="auto"/>
                <w:sz w:val="22"/>
              </w:rPr>
            </w:pPr>
            <w:r>
              <w:rPr>
                <w:rFonts w:ascii="宋体" w:eastAsia="宋体"/>
                <w:b w:val="0"/>
                <w:i w:val="0"/>
                <w:strike w:val="0"/>
                <w:dstrike w:val="0"/>
                <w:color w:val="auto"/>
                <w:sz w:val="22"/>
              </w:rPr>
              <w:t xml:space="preserve">                 -   </w:t>
            </w:r>
          </w:p>
        </w:tc>
        <w:tc>
          <w:tcPr>
            <w:tcW w:w="254" w:type="pct"/>
            <w:vMerge/>
            <w:tcBorders>
              <w:top w:val="single" w:sz="6" w:space="0" w:color="auto"/>
              <w:left w:val="single" w:sz="6" w:space="0" w:color="auto"/>
              <w:bottom w:val="single" w:sz="6" w:space="0" w:color="000000"/>
              <w:right w:val="single" w:sz="6" w:space="0" w:color="auto"/>
              <w:tl2br w:val="nil"/>
              <w:tr2bl w:val="nil"/>
            </w:tcBorders>
            <w:noWrap/>
            <w:vAlign w:val="center"/>
          </w:tcPr>
          <w:p/>
        </w:tc>
      </w:tr>
      <w:tr>
        <w:trPr>
          <w:trHeight w:val="254"/>
        </w:trPr>
        <w:tc>
          <w:tcPr>
            <w:tcW w:w="2596" w:type="pct"/>
            <w:gridSpan w:val="2"/>
            <w:vMerge/>
            <w:tcBorders>
              <w:top w:val="single" w:sz="6" w:space="0" w:color="auto"/>
              <w:left w:val="single" w:sz="6" w:space="0" w:color="auto"/>
              <w:bottom w:val="single" w:sz="6" w:space="0" w:color="000000"/>
              <w:right w:val="single" w:sz="6" w:space="0" w:color="000000"/>
              <w:tl2br w:val="nil"/>
              <w:tr2bl w:val="nil"/>
            </w:tcBorders>
            <w:noWrap/>
            <w:vAlign w:val="center"/>
          </w:tcPr>
          <w:p/>
        </w:tc>
        <w:tc>
          <w:tcPr>
            <w:tcW w:w="1528"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b w:val="0"/>
                <w:i w:val="0"/>
                <w:strike w:val="0"/>
                <w:dstrike w:val="0"/>
                <w:color w:val="auto"/>
                <w:sz w:val="22"/>
              </w:rPr>
            </w:pPr>
            <w:r>
              <w:rPr>
                <w:rFonts w:ascii="宋体" w:eastAsia="宋体"/>
                <w:b w:val="0"/>
                <w:i w:val="0"/>
                <w:strike w:val="0"/>
                <w:dstrike w:val="0"/>
                <w:color w:val="auto"/>
                <w:sz w:val="22"/>
              </w:rPr>
              <w:t xml:space="preserve">          其他资金</w:t>
            </w:r>
          </w:p>
        </w:tc>
        <w:tc>
          <w:tcPr>
            <w:tcW w:w="62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b w:val="0"/>
                <w:i w:val="0"/>
                <w:strike w:val="0"/>
                <w:dstrike w:val="0"/>
                <w:color w:val="auto"/>
                <w:sz w:val="22"/>
              </w:rPr>
            </w:pPr>
            <w:r>
              <w:rPr>
                <w:rFonts w:ascii="宋体" w:eastAsia="宋体"/>
                <w:b w:val="0"/>
                <w:i w:val="0"/>
                <w:strike w:val="0"/>
                <w:dstrike w:val="0"/>
                <w:color w:val="auto"/>
                <w:sz w:val="22"/>
              </w:rPr>
              <w:t xml:space="preserve">                 -   </w:t>
            </w:r>
          </w:p>
        </w:tc>
        <w:tc>
          <w:tcPr>
            <w:tcW w:w="254" w:type="pct"/>
            <w:vMerge/>
            <w:tcBorders>
              <w:top w:val="single" w:sz="6" w:space="0" w:color="auto"/>
              <w:left w:val="single" w:sz="6" w:space="0" w:color="auto"/>
              <w:bottom w:val="single" w:sz="6" w:space="0" w:color="000000"/>
              <w:right w:val="single" w:sz="6" w:space="0" w:color="auto"/>
              <w:tl2br w:val="nil"/>
              <w:tr2bl w:val="nil"/>
            </w:tcBorders>
            <w:noWrap/>
            <w:vAlign w:val="center"/>
          </w:tcPr>
          <w:p/>
        </w:tc>
      </w:tr>
      <w:tr>
        <w:trPr>
          <w:trHeight w:val="254"/>
        </w:trPr>
        <w:tc>
          <w:tcPr>
            <w:tcW w:w="1335"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b w:val="0"/>
                <w:i w:val="0"/>
                <w:strike w:val="0"/>
                <w:dstrike w:val="0"/>
                <w:color w:val="auto"/>
                <w:sz w:val="22"/>
              </w:rPr>
            </w:pPr>
            <w:r>
              <w:rPr>
                <w:rFonts w:ascii="宋体" w:eastAsia="宋体"/>
                <w:b w:val="0"/>
                <w:i w:val="0"/>
                <w:strike w:val="0"/>
                <w:dstrike w:val="0"/>
                <w:color w:val="auto"/>
                <w:sz w:val="22"/>
              </w:rPr>
              <w:t>年</w:t>
              <w:br/>
              <w:t>度</w:t>
              <w:br/>
              <w:t>总</w:t>
              <w:br/>
              <w:t>体</w:t>
              <w:br/>
              <w:t>目</w:t>
              <w:br/>
              <w:t>标</w:t>
            </w:r>
          </w:p>
        </w:tc>
        <w:tc>
          <w:tcPr>
            <w:tcW w:w="3664"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b w:val="0"/>
                <w:i w:val="0"/>
                <w:strike w:val="0"/>
                <w:dstrike w:val="0"/>
                <w:color w:val="auto"/>
                <w:sz w:val="22"/>
              </w:rPr>
            </w:pPr>
            <w:r>
              <w:rPr>
                <w:rFonts w:ascii="宋体" w:eastAsia="宋体"/>
                <w:b w:val="0"/>
                <w:i w:val="0"/>
                <w:strike w:val="0"/>
                <w:dstrike w:val="0"/>
                <w:color w:val="auto"/>
                <w:sz w:val="22"/>
              </w:rPr>
              <w:t>目标1．开展传染病跨境传播风险专题评估、快速评估、季度评估等。</w:t>
              <w:br/>
              <w:t>目标2．依法依规履行卫生检疫职责，提高出入境检疫查验、传染病监测、国际旅行健康宣教和健康促进卫生监督以及卫生处理技术水平。</w:t>
              <w:br/>
              <w:t>目标3．持续巩固和提升已达标口岸的公共卫生核心能力水平，做好《国际卫生条例（2005）》要求的口岸公共卫生核心能力保持和提高等各项工作。</w:t>
              <w:br/>
            </w:r>
          </w:p>
        </w:tc>
      </w:tr>
      <w:tr>
        <w:trPr>
          <w:trHeight w:val="254"/>
        </w:trPr>
        <w:tc>
          <w:tcPr>
            <w:tcW w:w="1335" w:type="pct"/>
            <w:tcBorders>
              <w:top w:val="single" w:sz="6" w:space="0" w:color="auto"/>
              <w:left w:val="single" w:sz="6" w:space="0" w:color="auto"/>
              <w:bottom w:val="nil"/>
              <w:right w:val="single" w:sz="6" w:space="0" w:color="auto"/>
              <w:tl2br w:val="nil"/>
              <w:tr2bl w:val="nil"/>
            </w:tcBorders>
            <w:noWrap/>
            <w:vAlign w:val="center"/>
          </w:tcPr>
          <w:p>
            <w:pPr>
              <w:rPr>
                <w:rFonts w:ascii="宋体" w:eastAsia="宋体"/>
                <w:b w:val="0"/>
                <w:i w:val="0"/>
                <w:sz w:val="22"/>
              </w:rPr>
            </w:pPr>
          </w:p>
        </w:tc>
        <w:tc>
          <w:tcPr>
            <w:tcW w:w="126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一级指标</w:t>
            </w:r>
          </w:p>
        </w:tc>
        <w:tc>
          <w:tcPr>
            <w:tcW w:w="108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二级指标</w:t>
            </w:r>
          </w:p>
        </w:tc>
        <w:tc>
          <w:tcPr>
            <w:tcW w:w="765" w:type="pct"/>
            <w:gridSpan w:val="2"/>
            <w:tcBorders>
              <w:top w:val="single" w:sz="6" w:space="0" w:color="auto"/>
              <w:left w:val="nil"/>
              <w:bottom w:val="single" w:sz="6" w:space="0" w:color="auto"/>
              <w:right w:val="single" w:sz="6" w:space="0" w:color="000000"/>
              <w:tl2br w:val="nil"/>
              <w:tr2bl w:val="nil"/>
            </w:tcBorders>
            <w:noWrap/>
            <w:vAlign w:val="center"/>
          </w:tcPr>
          <w:p>
            <w:pPr>
              <w:jc w:val="center"/>
              <w:rPr>
                <w:rFonts w:ascii="宋体" w:eastAsia="宋体"/>
                <w:b w:val="0"/>
                <w:i w:val="0"/>
                <w:sz w:val="22"/>
              </w:rPr>
            </w:pPr>
            <w:r>
              <w:rPr>
                <w:rFonts w:ascii="宋体" w:eastAsia="宋体"/>
                <w:b w:val="0"/>
                <w:i w:val="0"/>
                <w:sz w:val="22"/>
              </w:rPr>
              <w:t>三级指标</w:t>
            </w:r>
          </w:p>
        </w:tc>
        <w:tc>
          <w:tcPr>
            <w:tcW w:w="30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指标值</w:t>
            </w:r>
          </w:p>
        </w:tc>
        <w:tc>
          <w:tcPr>
            <w:tcW w:w="25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trike w:val="0"/>
                <w:dstrike w:val="0"/>
                <w:color w:val="auto"/>
                <w:sz w:val="22"/>
              </w:rPr>
            </w:pPr>
            <w:r>
              <w:rPr>
                <w:rFonts w:ascii="宋体" w:eastAsia="宋体"/>
                <w:b w:val="0"/>
                <w:i w:val="0"/>
                <w:strike w:val="0"/>
                <w:dstrike w:val="0"/>
                <w:color w:val="auto"/>
                <w:sz w:val="22"/>
              </w:rPr>
              <w:t>分值权重</w:t>
              <w:br/>
              <w:t>（90）</w:t>
            </w:r>
          </w:p>
        </w:tc>
      </w:tr>
      <w:tr>
        <w:trPr>
          <w:trHeight w:val="254"/>
        </w:trPr>
        <w:tc>
          <w:tcPr>
            <w:tcW w:w="1335" w:type="pct"/>
            <w:vMerge w:val="restart"/>
            <w:tcBorders>
              <w:top w:val="nil"/>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绩效指标</w:t>
            </w:r>
          </w:p>
        </w:tc>
        <w:tc>
          <w:tcPr>
            <w:tcW w:w="1260"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产出指标</w:t>
            </w:r>
          </w:p>
        </w:tc>
        <w:tc>
          <w:tcPr>
            <w:tcW w:w="1083"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数量指标</w:t>
            </w:r>
          </w:p>
        </w:tc>
        <w:tc>
          <w:tcPr>
            <w:tcW w:w="765" w:type="pct"/>
            <w:gridSpan w:val="2"/>
            <w:tcBorders>
              <w:top w:val="single" w:sz="6" w:space="0" w:color="auto"/>
              <w:left w:val="nil"/>
              <w:bottom w:val="single" w:sz="6" w:space="0" w:color="auto"/>
              <w:right w:val="nil"/>
              <w:tl2br w:val="nil"/>
              <w:tr2bl w:val="nil"/>
            </w:tcBorders>
            <w:noWrap/>
            <w:vAlign w:val="center"/>
          </w:tcPr>
          <w:p>
            <w:pPr>
              <w:rPr>
                <w:rFonts w:ascii="宋体" w:eastAsia="宋体"/>
                <w:b w:val="0"/>
                <w:i w:val="0"/>
                <w:sz w:val="22"/>
              </w:rPr>
            </w:pPr>
            <w:r>
              <w:rPr>
                <w:rFonts w:ascii="宋体" w:eastAsia="宋体"/>
                <w:b w:val="0"/>
                <w:i w:val="0"/>
                <w:sz w:val="22"/>
              </w:rPr>
              <w:t>口岸传染病疫情风险评估</w:t>
            </w:r>
          </w:p>
        </w:tc>
        <w:tc>
          <w:tcPr>
            <w:tcW w:w="30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≥1次</w:t>
            </w:r>
          </w:p>
        </w:tc>
        <w:tc>
          <w:tcPr>
            <w:tcW w:w="25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10</w:t>
            </w:r>
          </w:p>
        </w:tc>
      </w:tr>
      <w:tr>
        <w:trPr>
          <w:trHeight w:val="254"/>
        </w:trPr>
        <w:tc>
          <w:tcPr>
            <w:tcW w:w="1335" w:type="pct"/>
            <w:vMerge/>
            <w:tcBorders>
              <w:top w:val="nil"/>
              <w:left w:val="single" w:sz="6" w:space="0" w:color="auto"/>
              <w:bottom w:val="single" w:sz="6" w:space="0" w:color="auto"/>
              <w:right w:val="single" w:sz="6" w:space="0" w:color="auto"/>
              <w:tl2br w:val="nil"/>
              <w:tr2bl w:val="nil"/>
            </w:tcBorders>
            <w:noWrap/>
            <w:vAlign w:val="center"/>
          </w:tcPr>
          <w:p/>
        </w:tc>
        <w:tc>
          <w:tcPr>
            <w:tcW w:w="1260"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083"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765" w:type="pct"/>
            <w:gridSpan w:val="2"/>
            <w:tcBorders>
              <w:top w:val="single" w:sz="6" w:space="0" w:color="auto"/>
              <w:left w:val="nil"/>
              <w:bottom w:val="single" w:sz="6" w:space="0" w:color="auto"/>
              <w:right w:val="nil"/>
              <w:tl2br w:val="nil"/>
              <w:tr2bl w:val="nil"/>
            </w:tcBorders>
            <w:noWrap/>
            <w:vAlign w:val="center"/>
          </w:tcPr>
          <w:p>
            <w:pPr>
              <w:rPr>
                <w:rFonts w:ascii="宋体" w:eastAsia="宋体"/>
                <w:b w:val="0"/>
                <w:i w:val="0"/>
                <w:sz w:val="22"/>
              </w:rPr>
            </w:pPr>
            <w:r>
              <w:rPr>
                <w:rFonts w:ascii="宋体" w:eastAsia="宋体"/>
                <w:b w:val="0"/>
                <w:i w:val="0"/>
                <w:sz w:val="22"/>
              </w:rPr>
              <w:t>传染病防控知识宣传次数</w:t>
            </w:r>
          </w:p>
        </w:tc>
        <w:tc>
          <w:tcPr>
            <w:tcW w:w="30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≥3次</w:t>
            </w:r>
          </w:p>
        </w:tc>
        <w:tc>
          <w:tcPr>
            <w:tcW w:w="25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20</w:t>
            </w:r>
          </w:p>
        </w:tc>
      </w:tr>
      <w:tr>
        <w:trPr>
          <w:trHeight w:val="254"/>
        </w:trPr>
        <w:tc>
          <w:tcPr>
            <w:tcW w:w="1335" w:type="pct"/>
            <w:vMerge/>
            <w:tcBorders>
              <w:top w:val="nil"/>
              <w:left w:val="single" w:sz="6" w:space="0" w:color="auto"/>
              <w:bottom w:val="single" w:sz="6" w:space="0" w:color="auto"/>
              <w:right w:val="single" w:sz="6" w:space="0" w:color="auto"/>
              <w:tl2br w:val="nil"/>
              <w:tr2bl w:val="nil"/>
            </w:tcBorders>
            <w:noWrap/>
            <w:vAlign w:val="center"/>
          </w:tcPr>
          <w:p/>
        </w:tc>
        <w:tc>
          <w:tcPr>
            <w:tcW w:w="1260"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08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质量指标</w:t>
            </w:r>
          </w:p>
        </w:tc>
        <w:tc>
          <w:tcPr>
            <w:tcW w:w="765" w:type="pct"/>
            <w:gridSpan w:val="2"/>
            <w:tcBorders>
              <w:top w:val="single" w:sz="6" w:space="0" w:color="auto"/>
              <w:left w:val="nil"/>
              <w:bottom w:val="single" w:sz="6" w:space="0" w:color="auto"/>
              <w:right w:val="nil"/>
              <w:tl2br w:val="nil"/>
              <w:tr2bl w:val="nil"/>
            </w:tcBorders>
            <w:noWrap/>
            <w:vAlign w:val="center"/>
          </w:tcPr>
          <w:p>
            <w:pPr>
              <w:rPr>
                <w:rFonts w:ascii="宋体" w:eastAsia="宋体"/>
                <w:b w:val="0"/>
                <w:i w:val="0"/>
                <w:sz w:val="22"/>
              </w:rPr>
            </w:pPr>
            <w:r>
              <w:rPr>
                <w:rFonts w:ascii="宋体" w:eastAsia="宋体"/>
                <w:b w:val="0"/>
                <w:i w:val="0"/>
                <w:sz w:val="22"/>
              </w:rPr>
              <w:t>完成年度计划安排的口岸核心能力动态考核任务完成率</w:t>
            </w:r>
          </w:p>
        </w:tc>
        <w:tc>
          <w:tcPr>
            <w:tcW w:w="30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≥90%</w:t>
            </w:r>
          </w:p>
        </w:tc>
        <w:tc>
          <w:tcPr>
            <w:tcW w:w="25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10</w:t>
            </w:r>
          </w:p>
        </w:tc>
      </w:tr>
      <w:tr>
        <w:trPr>
          <w:trHeight w:val="254"/>
        </w:trPr>
        <w:tc>
          <w:tcPr>
            <w:tcW w:w="1335" w:type="pct"/>
            <w:vMerge/>
            <w:tcBorders>
              <w:top w:val="nil"/>
              <w:left w:val="single" w:sz="6" w:space="0" w:color="auto"/>
              <w:bottom w:val="single" w:sz="6" w:space="0" w:color="auto"/>
              <w:right w:val="single" w:sz="6" w:space="0" w:color="auto"/>
              <w:tl2br w:val="nil"/>
              <w:tr2bl w:val="nil"/>
            </w:tcBorders>
            <w:noWrap/>
            <w:vAlign w:val="center"/>
          </w:tcPr>
          <w:p/>
        </w:tc>
        <w:tc>
          <w:tcPr>
            <w:tcW w:w="1260"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08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时效指标</w:t>
            </w:r>
          </w:p>
        </w:tc>
        <w:tc>
          <w:tcPr>
            <w:tcW w:w="765" w:type="pct"/>
            <w:gridSpan w:val="2"/>
            <w:tcBorders>
              <w:top w:val="single" w:sz="6" w:space="0" w:color="auto"/>
              <w:left w:val="nil"/>
              <w:bottom w:val="single" w:sz="6" w:space="0" w:color="auto"/>
              <w:right w:val="nil"/>
              <w:tl2br w:val="nil"/>
              <w:tr2bl w:val="nil"/>
            </w:tcBorders>
            <w:noWrap/>
            <w:vAlign w:val="center"/>
          </w:tcPr>
          <w:p>
            <w:pPr>
              <w:rPr>
                <w:rFonts w:ascii="宋体" w:eastAsia="宋体"/>
                <w:b w:val="0"/>
                <w:i w:val="0"/>
                <w:sz w:val="22"/>
              </w:rPr>
            </w:pPr>
            <w:r>
              <w:rPr>
                <w:rFonts w:ascii="宋体" w:eastAsia="宋体"/>
                <w:b w:val="0"/>
                <w:i w:val="0"/>
                <w:sz w:val="22"/>
              </w:rPr>
              <w:t>《全国口岸食品安全抽检计划》年度完成率</w:t>
            </w:r>
          </w:p>
        </w:tc>
        <w:tc>
          <w:tcPr>
            <w:tcW w:w="30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≥90%</w:t>
            </w:r>
          </w:p>
        </w:tc>
        <w:tc>
          <w:tcPr>
            <w:tcW w:w="25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10</w:t>
            </w:r>
          </w:p>
        </w:tc>
      </w:tr>
      <w:tr>
        <w:trPr>
          <w:trHeight w:val="254"/>
        </w:trPr>
        <w:tc>
          <w:tcPr>
            <w:tcW w:w="1335" w:type="pct"/>
            <w:vMerge/>
            <w:tcBorders>
              <w:top w:val="nil"/>
              <w:left w:val="single" w:sz="6" w:space="0" w:color="auto"/>
              <w:bottom w:val="single" w:sz="6" w:space="0" w:color="auto"/>
              <w:right w:val="single" w:sz="6" w:space="0" w:color="auto"/>
              <w:tl2br w:val="nil"/>
              <w:tr2bl w:val="nil"/>
            </w:tcBorders>
            <w:noWrap/>
            <w:vAlign w:val="center"/>
          </w:tcPr>
          <w:p/>
        </w:tc>
        <w:tc>
          <w:tcPr>
            <w:tcW w:w="126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效益指标</w:t>
            </w:r>
          </w:p>
        </w:tc>
        <w:tc>
          <w:tcPr>
            <w:tcW w:w="108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社会效益指标</w:t>
            </w:r>
          </w:p>
        </w:tc>
        <w:tc>
          <w:tcPr>
            <w:tcW w:w="765" w:type="pct"/>
            <w:gridSpan w:val="2"/>
            <w:tcBorders>
              <w:top w:val="single" w:sz="6" w:space="0" w:color="auto"/>
              <w:left w:val="nil"/>
              <w:bottom w:val="single" w:sz="6" w:space="0" w:color="auto"/>
              <w:right w:val="nil"/>
              <w:tl2br w:val="nil"/>
              <w:tr2bl w:val="nil"/>
            </w:tcBorders>
            <w:noWrap/>
            <w:vAlign w:val="center"/>
          </w:tcPr>
          <w:p>
            <w:pPr>
              <w:rPr>
                <w:rFonts w:ascii="宋体" w:eastAsia="宋体"/>
                <w:b w:val="0"/>
                <w:i w:val="0"/>
                <w:sz w:val="22"/>
              </w:rPr>
            </w:pPr>
            <w:r>
              <w:rPr>
                <w:rFonts w:ascii="宋体" w:eastAsia="宋体"/>
                <w:b w:val="0"/>
                <w:i w:val="0"/>
                <w:sz w:val="22"/>
              </w:rPr>
              <w:t>重大输入性传染病疫情防控</w:t>
            </w:r>
          </w:p>
        </w:tc>
        <w:tc>
          <w:tcPr>
            <w:tcW w:w="30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有效</w:t>
            </w:r>
          </w:p>
        </w:tc>
        <w:tc>
          <w:tcPr>
            <w:tcW w:w="25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2"/>
              </w:rPr>
            </w:pPr>
            <w:r>
              <w:rPr>
                <w:rFonts w:ascii="宋体" w:eastAsia="宋体"/>
                <w:b w:val="0"/>
                <w:i w:val="0"/>
                <w:sz w:val="22"/>
              </w:rPr>
              <w:t>40</w:t>
            </w:r>
          </w:p>
        </w:tc>
      </w:tr>
    </w:tbl>
    <w:p>
      <w:pPr>
        <w:widowControl/>
        <w:jc w:val="center"/>
        <w:textAlignment w:val="center"/>
        <w:rPr>
          <w:rFonts w:ascii="黑体" w:eastAsia="黑体" w:cs="黑体"/>
          <w:color w:val="000000"/>
          <w:kern w:val="0"/>
          <w:sz w:val="32"/>
          <w:szCs w:val="32"/>
        </w:rPr>
      </w:pPr>
    </w:p>
    <w:tbl>
      <w:tblPr>
        <w:jc w:val="center"/>
        <w:tblW w:w="1003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337"/>
        <w:gridCol w:w="2020"/>
        <w:gridCol w:w="942"/>
        <w:gridCol w:w="2020"/>
        <w:gridCol w:w="2020"/>
        <w:gridCol w:w="1160"/>
      </w:tblGrid>
      <w:tr>
        <w:trPr>
          <w:trHeight w:val="702"/>
        </w:trPr>
        <w:tc>
          <w:tcPr>
            <w:tcW w:w="1003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kern w:val="0"/>
                <w:sz w:val="32"/>
                <w:szCs w:val="32"/>
              </w:rPr>
            </w:pPr>
          </w:p>
          <w:p>
            <w:pPr>
              <w:widowControl/>
              <w:jc w:val="center"/>
              <w:textAlignment w:val="center"/>
              <w:rPr>
                <w:rFonts w:ascii="黑体" w:eastAsia="黑体" w:cs="黑体"/>
                <w:color w:val="000000"/>
                <w:kern w:val="0"/>
                <w:sz w:val="32"/>
                <w:szCs w:val="32"/>
              </w:rPr>
            </w:pPr>
          </w:p>
          <w:p>
            <w:pPr>
              <w:widowControl/>
              <w:jc w:val="center"/>
              <w:textAlignment w:val="center"/>
              <w:rPr>
                <w:rFonts w:ascii="黑体" w:eastAsia="黑体" w:cs="黑体"/>
                <w:color w:val="000000"/>
                <w:kern w:val="0"/>
                <w:sz w:val="32"/>
                <w:szCs w:val="32"/>
              </w:rPr>
            </w:pPr>
          </w:p>
          <w:p>
            <w:pPr>
              <w:widowControl/>
              <w:jc w:val="center"/>
              <w:textAlignment w:val="center"/>
              <w:rPr>
                <w:rFonts w:ascii="黑体" w:eastAsia="黑体" w:cs="黑体"/>
                <w:color w:val="000000"/>
                <w:sz w:val="32"/>
                <w:szCs w:val="32"/>
              </w:rPr>
            </w:pPr>
            <w:r>
              <w:rPr>
                <w:rFonts w:ascii="黑体" w:eastAsia="黑体" w:cs="黑体" w:hint="eastAsia"/>
                <w:color w:val="000000"/>
                <w:kern w:val="0"/>
                <w:sz w:val="32"/>
                <w:szCs w:val="32"/>
              </w:rPr>
              <w:t>项目绩效目标表</w:t>
            </w:r>
          </w:p>
        </w:tc>
      </w:tr>
      <w:tr>
        <w:trPr>
          <w:trHeight w:val="499"/>
        </w:trPr>
        <w:tc>
          <w:tcPr>
            <w:tcW w:w="1003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8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162"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进出口商品质量安全检验监管专项</w:t>
            </w:r>
          </w:p>
        </w:tc>
      </w:tr>
      <w:tr>
        <w:trPr>
          <w:trHeight w:val="439"/>
        </w:trPr>
        <w:tc>
          <w:tcPr>
            <w:tcW w:w="18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962"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中华人民共和国呼和浩特海关本级本级</w:t>
            </w:r>
          </w:p>
        </w:tc>
      </w:tr>
      <w:tr>
        <w:trPr>
          <w:trHeight w:val="439"/>
        </w:trPr>
        <w:tc>
          <w:tcPr>
            <w:tcW w:w="187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962"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2.26</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8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62"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2.26</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8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62"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8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62"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3319"/>
        </w:trPr>
        <w:tc>
          <w:tcPr>
            <w:tcW w:w="534" w:type="dxa"/>
            <w:tcBorders>
              <w:top w:val="single" w:sz="4" w:space="0" w:color="000000"/>
              <w:left w:val="single" w:sz="4" w:space="0" w:color="000000"/>
              <w:bottom w:val="nil"/>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49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sz w:val="22"/>
              </w:rPr>
            </w:pPr>
            <w:r>
              <w:rPr>
                <w:rFonts w:ascii="宋体" w:cs="宋体" w:hint="eastAsia"/>
                <w:color w:val="000000"/>
                <w:kern w:val="0"/>
                <w:sz w:val="22"/>
              </w:rPr>
              <w:t>依据《中华人民共和国进出口商</w:t>
            </w:r>
            <w:r>
              <w:rPr>
                <w:rFonts w:ascii="宋体" w:cs="宋体"/>
                <w:color w:val="000000"/>
                <w:kern w:val="0"/>
                <w:sz w:val="22"/>
              </w:rPr>
              <w:t>品</w:t>
            </w:r>
            <w:r>
              <w:rPr>
                <w:rFonts w:ascii="宋体" w:cs="宋体" w:hint="eastAsia"/>
                <w:color w:val="000000"/>
                <w:kern w:val="0"/>
                <w:sz w:val="22"/>
              </w:rPr>
              <w:t>检</w:t>
            </w:r>
            <w:r>
              <w:rPr>
                <w:rFonts w:ascii="宋体" w:cs="宋体"/>
                <w:color w:val="000000"/>
                <w:kern w:val="0"/>
                <w:sz w:val="22"/>
              </w:rPr>
              <w:t>验</w:t>
            </w:r>
            <w:bookmarkStart w:id="1" w:name="_GoBack"/>
            <w:bookmarkEnd w:id="1"/>
            <w:r>
              <w:rPr>
                <w:rFonts w:ascii="宋体" w:cs="宋体" w:hint="eastAsia"/>
                <w:color w:val="000000"/>
                <w:kern w:val="0"/>
                <w:sz w:val="22"/>
              </w:rPr>
              <w:t>法》及其实施条例等法律法规，保障呼和浩特海关本级履行进出口商品检验监管职能，有效开展进出口商品质量安全检验监管工作，严守质量安全底线，维护国门安全，促进跨境贸易便利化。</w:t>
            </w:r>
          </w:p>
        </w:tc>
      </w:tr>
      <w:tr>
        <w:trPr>
          <w:trHeight w:val="600"/>
        </w:trPr>
        <w:tc>
          <w:tcPr>
            <w:tcW w:w="53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337"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w:t>
              <w:br/>
              <w:t>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33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优化进出口商品检验模式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3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实施进出口商品法定检验批次数量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≥1万批次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3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风险监测获取的有效信息数量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≥100条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3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本年度通过危化品检验监管资质考核的人员数量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≥30人</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3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因海关商检职能管理原因导致的系统性、区域性进出口商品质量安全事故发生率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33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进出口商品检验模式改革为企业节约成本</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3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保障人民生命健康安全有力有效</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337"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满意度</w:t>
              <w:br/>
              <w:t>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企业对监测结果的满意度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71"/>
        <w:gridCol w:w="1906"/>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textAlignment w:val="center"/>
              <w:rPr>
                <w:rFonts w:ascii="黑体" w:eastAsia="黑体" w:cs="黑体"/>
                <w:color w:val="000000"/>
                <w:kern w:val="0"/>
                <w:sz w:val="32"/>
                <w:szCs w:val="32"/>
              </w:rPr>
            </w:pPr>
          </w:p>
          <w:p>
            <w:pPr>
              <w:widowControl/>
              <w:jc w:val="center"/>
              <w:textAlignment w:val="center"/>
              <w:rPr>
                <w:rFonts w:ascii="黑体" w:eastAsia="黑体" w:cs="黑体"/>
                <w:color w:val="000000"/>
                <w:sz w:val="32"/>
                <w:szCs w:val="32"/>
              </w:rPr>
            </w:pPr>
            <w:r>
              <w:rPr>
                <w:rFonts w:ascii="黑体" w:eastAsia="黑体" w:cs="黑体" w:hint="eastAsia"/>
                <w:color w:val="000000"/>
                <w:kern w:val="0"/>
                <w:sz w:val="32"/>
                <w:szCs w:val="32"/>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80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48"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智慧海关建设与科技赋能保障专项</w:t>
            </w:r>
          </w:p>
        </w:tc>
      </w:tr>
      <w:tr>
        <w:trPr>
          <w:trHeight w:val="439"/>
        </w:trPr>
        <w:tc>
          <w:tcPr>
            <w:tcW w:w="180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48"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中华人民共和国呼和浩特海关本级本级</w:t>
            </w:r>
          </w:p>
        </w:tc>
      </w:tr>
      <w:tr>
        <w:trPr>
          <w:trHeight w:val="439"/>
        </w:trPr>
        <w:tc>
          <w:tcPr>
            <w:tcW w:w="180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48"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7</w:t>
            </w:r>
            <w:r>
              <w:rPr>
                <w:rFonts w:ascii="宋体" w:cs="宋体" w:hint="eastAsia"/>
                <w:color w:val="000000"/>
                <w:kern w:val="0"/>
                <w:sz w:val="22"/>
              </w:rPr>
              <w:t xml:space="preserve">.00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805"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48"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7</w:t>
            </w:r>
            <w:r>
              <w:rPr>
                <w:rFonts w:ascii="宋体" w:cs="宋体" w:hint="eastAsia"/>
                <w:color w:val="000000"/>
                <w:kern w:val="0"/>
                <w:sz w:val="22"/>
              </w:rPr>
              <w:t xml:space="preserve">.00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805"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48"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805"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48"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1862"/>
        </w:trPr>
        <w:tc>
          <w:tcPr>
            <w:tcW w:w="534" w:type="dxa"/>
            <w:tcBorders>
              <w:top w:val="single" w:sz="4" w:space="0" w:color="000000"/>
              <w:left w:val="single" w:sz="4" w:space="0" w:color="000000"/>
              <w:bottom w:val="nil"/>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sz w:val="22"/>
              </w:rPr>
            </w:pPr>
            <w:r>
              <w:rPr>
                <w:rFonts w:ascii="宋体" w:cs="宋体" w:hint="eastAsia"/>
                <w:color w:val="000000"/>
                <w:kern w:val="0"/>
                <w:sz w:val="22"/>
              </w:rPr>
              <w:t>运维12360统一服务热线平台，保障平台稳定运行。</w:t>
              <w:tab/>
            </w:r>
          </w:p>
        </w:tc>
      </w:tr>
      <w:tr>
        <w:trPr>
          <w:trHeight w:val="600"/>
        </w:trPr>
        <w:tc>
          <w:tcPr>
            <w:tcW w:w="53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w:t>
              <w:br/>
              <w:t>指标</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71"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运维12360硬件数量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=14台</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71" w:type="dxa"/>
            <w:vMerge/>
            <w:tcBorders>
              <w:top w:val="nil"/>
              <w:left w:val="single" w:sz="4" w:space="0" w:color="000000"/>
              <w:bottom w:val="nil"/>
              <w:right w:val="single" w:sz="4" w:space="0" w:color="000000"/>
            </w:tcBorders>
            <w:shd w:val="clear" w:color="auto" w:fill="auto"/>
            <w:vAlign w:val="center"/>
          </w:tcP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12360热线接通率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≥96%</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71" w:type="dxa"/>
            <w:vMerge/>
            <w:tcBorders>
              <w:top w:val="nil"/>
              <w:left w:val="single" w:sz="4" w:space="0" w:color="000000"/>
              <w:bottom w:val="nil"/>
              <w:right w:val="single" w:sz="4" w:space="0" w:color="000000"/>
            </w:tcBorders>
            <w:shd w:val="clear" w:color="auto" w:fill="auto"/>
            <w:vAlign w:val="center"/>
          </w:tcP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12360热线平均等待时长</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≤10秒</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71" w:type="dxa"/>
            <w:vMerge/>
            <w:tcBorders>
              <w:top w:val="nil"/>
              <w:left w:val="single" w:sz="4" w:space="0" w:color="000000"/>
              <w:bottom w:val="single" w:sz="4" w:space="0" w:color="000000"/>
              <w:right w:val="single" w:sz="4" w:space="0" w:color="000000"/>
            </w:tcBorders>
            <w:shd w:val="clear" w:color="auto" w:fill="auto"/>
            <w:vAlign w:val="center"/>
          </w:tcP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12360统一服务热线平台运行时长</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=24小时</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12360热线归并后服务企业便利性</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有所提升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r>
              <w:rPr>
                <w:rFonts w:hint="eastAsia"/>
              </w:rPr>
              <w:t>满意度指标</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12360呼叫中心回访满意度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5"/>
        <w:gridCol w:w="1942"/>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32"/>
                <w:szCs w:val="32"/>
              </w:rPr>
            </w:pPr>
            <w:r>
              <w:rPr>
                <w:rFonts w:ascii="黑体" w:eastAsia="黑体" w:cs="黑体" w:hint="eastAsia"/>
                <w:color w:val="000000"/>
                <w:kern w:val="0"/>
                <w:sz w:val="32"/>
                <w:szCs w:val="32"/>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海关资产及专用设备运行维护费</w:t>
            </w:r>
          </w:p>
        </w:tc>
      </w:tr>
      <w:tr>
        <w:trPr>
          <w:trHeight w:val="439"/>
        </w:trPr>
        <w:tc>
          <w:tcPr>
            <w:tcW w:w="17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4"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中华人民共和国呼和浩特海关本级本级</w:t>
            </w:r>
          </w:p>
        </w:tc>
      </w:tr>
      <w:tr>
        <w:trPr>
          <w:trHeight w:val="439"/>
        </w:trPr>
        <w:tc>
          <w:tcPr>
            <w:tcW w:w="176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4"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227.31</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69"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4"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227.31</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69"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4"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69"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4"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nil"/>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sz w:val="22"/>
              </w:rPr>
            </w:pPr>
            <w:r>
              <w:rPr>
                <w:rFonts w:ascii="宋体" w:cs="宋体" w:hint="eastAsia"/>
                <w:color w:val="000000"/>
                <w:kern w:val="0"/>
                <w:sz w:val="22"/>
              </w:rPr>
              <w:t>通过各类装备、设备的运维，提高海关监管工作效率，缓解海关人力资源不足与日益增长的监管工作量之间的矛盾，提升海关监管科技含量，提升海关装备设备现代化、科技化水平，优化海关缉监管与服务。</w:t>
            </w:r>
          </w:p>
        </w:tc>
      </w:tr>
      <w:tr>
        <w:trPr>
          <w:trHeight w:val="600"/>
        </w:trPr>
        <w:tc>
          <w:tcPr>
            <w:tcW w:w="53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w:t>
              <w:br/>
              <w:t>指标</w:t>
            </w:r>
          </w:p>
        </w:tc>
        <w:tc>
          <w:tcPr>
            <w:tcW w:w="1942"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42"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运维办公或监管场所（个）</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≥1个</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6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42"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通用设备运维数量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≥170台/套</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42"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通用设备正常使用率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42"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大型设备维修及时率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2"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海关（关区）核心业务基础保障能力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有效提升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40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60"/>
        <w:gridCol w:w="1917"/>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32"/>
                <w:szCs w:val="32"/>
              </w:rPr>
            </w:pPr>
            <w:r>
              <w:rPr>
                <w:rFonts w:ascii="黑体" w:eastAsia="黑体" w:cs="黑体" w:hint="eastAsia"/>
                <w:color w:val="000000"/>
                <w:kern w:val="0"/>
                <w:sz w:val="32"/>
                <w:szCs w:val="32"/>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5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海关信息系统运行维护</w:t>
            </w:r>
          </w:p>
        </w:tc>
      </w:tr>
      <w:tr>
        <w:trPr>
          <w:trHeight w:val="439"/>
        </w:trPr>
        <w:tc>
          <w:tcPr>
            <w:tcW w:w="17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59"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中华人民共和国呼和浩特海关本级本级</w:t>
            </w:r>
          </w:p>
        </w:tc>
      </w:tr>
      <w:tr>
        <w:trPr>
          <w:trHeight w:val="439"/>
        </w:trPr>
        <w:tc>
          <w:tcPr>
            <w:tcW w:w="179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59"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368.50</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94"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59"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368.50</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94"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59"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94"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59"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nil"/>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1、保证不同安全保护等级的信息系统具有相应级别的安全保护能力，满足相应级别的基本安全要求，符合海关信息系统安全等级保护基本要求等规范标准。</w:t>
            </w:r>
          </w:p>
          <w:p>
            <w:pPr>
              <w:widowControl/>
              <w:textAlignment w:val="center"/>
              <w:rPr>
                <w:rFonts w:ascii="宋体" w:cs="宋体"/>
                <w:color w:val="000000"/>
                <w:kern w:val="0"/>
                <w:sz w:val="22"/>
              </w:rPr>
            </w:pPr>
            <w:r>
              <w:rPr>
                <w:rFonts w:ascii="宋体" w:cs="宋体" w:hint="eastAsia"/>
                <w:color w:val="000000"/>
                <w:kern w:val="0"/>
                <w:sz w:val="22"/>
              </w:rPr>
              <w:t>2、购置符合国家相关标准的节能环保网络设备及安全设备，替换原有老旧设备，提高冗余性，确保关区广域网稳定、通畅，提高安全防护能力，确保关区信息系统安全。</w:t>
            </w:r>
          </w:p>
          <w:p>
            <w:pPr>
              <w:widowControl/>
              <w:textAlignment w:val="center"/>
              <w:rPr>
                <w:rFonts w:ascii="宋体" w:cs="宋体"/>
                <w:color w:val="000000"/>
                <w:kern w:val="0"/>
                <w:sz w:val="22"/>
              </w:rPr>
            </w:pPr>
            <w:r>
              <w:rPr>
                <w:rFonts w:ascii="宋体" w:cs="宋体" w:hint="eastAsia"/>
                <w:color w:val="000000"/>
                <w:kern w:val="0"/>
                <w:sz w:val="22"/>
              </w:rPr>
              <w:t>3、组织2次科技宣传活动（含培训），覆盖关区11个隶属海关专兼职技术人员，提高科技知识普及和人员创新能力；制开展板、组织体验活动，提高科技关注度,促进海关科技应用的推广。</w:t>
            </w:r>
          </w:p>
          <w:p>
            <w:pPr>
              <w:widowControl/>
              <w:textAlignment w:val="center"/>
              <w:rPr>
                <w:rFonts w:ascii="宋体" w:cs="宋体"/>
                <w:color w:val="000000"/>
                <w:kern w:val="0"/>
                <w:sz w:val="22"/>
              </w:rPr>
            </w:pPr>
            <w:r>
              <w:rPr>
                <w:rFonts w:ascii="宋体" w:cs="宋体" w:hint="eastAsia"/>
                <w:color w:val="000000"/>
                <w:kern w:val="0"/>
                <w:sz w:val="22"/>
              </w:rPr>
              <w:t>4、将指挥中心项目外包给专业的科技公司运维，保证系统提供持续稳定高效的视频服务，满足海关总署及呼关业务部门监管需要。</w:t>
            </w:r>
          </w:p>
          <w:p>
            <w:pPr>
              <w:widowControl/>
              <w:textAlignment w:val="center"/>
              <w:rPr>
                <w:rFonts w:ascii="宋体" w:cs="宋体"/>
                <w:color w:val="000000"/>
                <w:kern w:val="0"/>
                <w:sz w:val="22"/>
              </w:rPr>
            </w:pPr>
            <w:r>
              <w:rPr>
                <w:rFonts w:ascii="宋体" w:cs="宋体" w:hint="eastAsia"/>
                <w:color w:val="000000"/>
                <w:kern w:val="0"/>
                <w:sz w:val="22"/>
              </w:rPr>
              <w:t>5、购买桌面云系统及运行管理平台运维服务，保证系统稳定运行。</w:t>
            </w:r>
          </w:p>
          <w:p>
            <w:pPr>
              <w:widowControl/>
              <w:textAlignment w:val="center"/>
              <w:rPr>
                <w:rFonts w:ascii="宋体" w:cs="宋体"/>
                <w:color w:val="000000"/>
                <w:kern w:val="0"/>
                <w:sz w:val="22"/>
              </w:rPr>
            </w:pPr>
            <w:r>
              <w:rPr>
                <w:rFonts w:ascii="宋体" w:cs="宋体" w:hint="eastAsia"/>
                <w:color w:val="000000"/>
                <w:kern w:val="0"/>
                <w:sz w:val="22"/>
              </w:rPr>
              <w:t>6、购置符合国家相关标准的节能环保信息化前台设备100台，替换原有老旧设备，提高海关政务、业务办公效率。</w:t>
            </w:r>
          </w:p>
          <w:p>
            <w:pPr>
              <w:widowControl/>
              <w:textAlignment w:val="center"/>
              <w:rPr>
                <w:rFonts w:ascii="宋体" w:cs="宋体"/>
                <w:color w:val="000000"/>
                <w:kern w:val="0"/>
                <w:sz w:val="22"/>
              </w:rPr>
            </w:pPr>
            <w:r>
              <w:rPr>
                <w:rFonts w:ascii="宋体" w:cs="宋体" w:hint="eastAsia"/>
                <w:color w:val="000000"/>
                <w:kern w:val="0"/>
                <w:sz w:val="22"/>
              </w:rPr>
              <w:t>7、保障呼和浩特海关本级关区业务网等各网络通畅。保障呼和浩特海关本级关区电子政务工作顺利运行。保障呼和浩特海关本级关区通关监管业务顺利运行。</w:t>
            </w:r>
          </w:p>
          <w:p>
            <w:pPr>
              <w:widowControl/>
              <w:textAlignment w:val="center"/>
              <w:rPr>
                <w:rFonts w:ascii="宋体" w:cs="宋体"/>
                <w:color w:val="000000"/>
                <w:kern w:val="0"/>
                <w:sz w:val="22"/>
              </w:rPr>
            </w:pPr>
            <w:r>
              <w:rPr>
                <w:rFonts w:ascii="宋体" w:cs="宋体" w:hint="eastAsia"/>
                <w:color w:val="000000"/>
                <w:kern w:val="0"/>
                <w:sz w:val="22"/>
              </w:rPr>
              <w:t>8、购买服务器、存储、光交换设备维保服务，保证海关信息系统基础环境安全稳定运行，保证系统运行效能。</w:t>
            </w:r>
          </w:p>
          <w:p>
            <w:pPr>
              <w:widowControl/>
              <w:textAlignment w:val="center"/>
              <w:rPr>
                <w:rFonts w:ascii="宋体" w:cs="宋体"/>
                <w:color w:val="000000"/>
                <w:kern w:val="0"/>
                <w:sz w:val="22"/>
              </w:rPr>
            </w:pPr>
            <w:r>
              <w:rPr>
                <w:rFonts w:ascii="宋体" w:cs="宋体" w:hint="eastAsia"/>
                <w:color w:val="000000"/>
                <w:kern w:val="0"/>
                <w:sz w:val="22"/>
              </w:rPr>
              <w:t>9、购买本地部署的在线海关信息化系统及虚拟化平台运维服务，保证系统稳定运行。</w:t>
            </w:r>
          </w:p>
          <w:p>
            <w:pPr>
              <w:widowControl/>
              <w:textAlignment w:val="center"/>
              <w:rPr>
                <w:rFonts w:ascii="宋体" w:cs="宋体"/>
                <w:color w:val="000000"/>
                <w:kern w:val="0"/>
                <w:sz w:val="22"/>
              </w:rPr>
            </w:pPr>
            <w:r>
              <w:rPr>
                <w:rFonts w:ascii="宋体" w:cs="宋体" w:hint="eastAsia"/>
                <w:color w:val="000000"/>
                <w:kern w:val="0"/>
                <w:sz w:val="22"/>
              </w:rPr>
              <w:t>10、完善科技管理体系，加强科技项目和课题管理。</w:t>
            </w:r>
          </w:p>
          <w:p>
            <w:pPr>
              <w:widowControl/>
              <w:textAlignment w:val="center"/>
              <w:rPr>
                <w:rFonts w:ascii="宋体" w:cs="宋体"/>
                <w:color w:val="000000"/>
                <w:sz w:val="22"/>
              </w:rPr>
            </w:pPr>
            <w:r>
              <w:rPr>
                <w:rFonts w:ascii="宋体" w:cs="宋体" w:hint="eastAsia"/>
                <w:color w:val="000000"/>
                <w:kern w:val="0"/>
                <w:sz w:val="22"/>
              </w:rPr>
              <w:t>11：运维12360统一服务热线平台，保障平台稳定运行。</w:t>
            </w:r>
          </w:p>
        </w:tc>
      </w:tr>
      <w:tr>
        <w:trPr>
          <w:trHeight w:val="600"/>
        </w:trPr>
        <w:tc>
          <w:tcPr>
            <w:tcW w:w="53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w:t>
              <w:br/>
              <w:t>指标</w:t>
            </w:r>
          </w:p>
        </w:tc>
        <w:tc>
          <w:tcPr>
            <w:tcW w:w="1917"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60"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成本指标</w:t>
            </w:r>
          </w:p>
        </w:tc>
        <w:tc>
          <w:tcPr>
            <w:tcW w:w="191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经济成本指标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线路租费价格</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≤258万元</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60" w:type="dxa"/>
            <w:vMerge/>
            <w:tcBorders>
              <w:left w:val="single" w:sz="4" w:space="0" w:color="000000"/>
              <w:bottom w:val="single" w:sz="4" w:space="0" w:color="000000"/>
              <w:right w:val="single" w:sz="4" w:space="0" w:color="000000"/>
            </w:tcBorders>
            <w:shd w:val="clear" w:color="auto" w:fill="auto"/>
            <w:vAlign w:val="center"/>
          </w:tcPr>
          <w:p/>
        </w:tc>
        <w:tc>
          <w:tcPr>
            <w:tcW w:w="191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经济成本指标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信息系统运维成本</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≤75万元</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60"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1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开展科研项目验收或中期评审</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60" w:type="dxa"/>
            <w:vMerge/>
            <w:tcBorders>
              <w:left w:val="single" w:sz="4" w:space="0" w:color="000000"/>
              <w:right w:val="single" w:sz="4" w:space="0" w:color="000000"/>
            </w:tcBorders>
            <w:shd w:val="clear" w:color="auto" w:fill="auto"/>
            <w:vAlign w:val="center"/>
          </w:tcPr>
          <w:p/>
        </w:tc>
        <w:tc>
          <w:tcPr>
            <w:tcW w:w="191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基础设施运维单位具体数量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≥15个</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60" w:type="dxa"/>
            <w:vMerge/>
            <w:tcBorders>
              <w:left w:val="single" w:sz="4" w:space="0" w:color="000000"/>
              <w:right w:val="single" w:sz="4" w:space="0" w:color="000000"/>
            </w:tcBorders>
            <w:shd w:val="clear" w:color="auto" w:fill="auto"/>
            <w:vAlign w:val="center"/>
          </w:tcPr>
          <w:p/>
        </w:tc>
        <w:tc>
          <w:tcPr>
            <w:tcW w:w="191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运维现有在线运行系统或应用项目数量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≥85项</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60" w:type="dxa"/>
            <w:vMerge/>
            <w:tcBorders>
              <w:left w:val="single" w:sz="4" w:space="0" w:color="000000"/>
              <w:right w:val="single" w:sz="4" w:space="0" w:color="000000"/>
            </w:tcBorders>
            <w:shd w:val="clear" w:color="auto" w:fill="auto"/>
            <w:vAlign w:val="center"/>
          </w:tcPr>
          <w:p/>
        </w:tc>
        <w:tc>
          <w:tcPr>
            <w:tcW w:w="191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运维12360统一服务热线平台数量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=3个</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60" w:type="dxa"/>
            <w:vMerge/>
            <w:tcBorders>
              <w:left w:val="single" w:sz="4" w:space="0" w:color="000000"/>
              <w:right w:val="single" w:sz="4" w:space="0" w:color="000000"/>
            </w:tcBorders>
            <w:shd w:val="clear" w:color="auto" w:fill="auto"/>
            <w:vAlign w:val="center"/>
          </w:tcPr>
          <w:p/>
        </w:tc>
        <w:tc>
          <w:tcPr>
            <w:tcW w:w="191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运维12360硬件数量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=14台</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60" w:type="dxa"/>
            <w:vMerge/>
            <w:tcBorders>
              <w:left w:val="single" w:sz="4" w:space="0" w:color="000000"/>
              <w:right w:val="single" w:sz="4" w:space="0" w:color="000000"/>
            </w:tcBorders>
            <w:shd w:val="clear" w:color="auto" w:fill="auto"/>
            <w:vAlign w:val="center"/>
          </w:tcPr>
          <w:p/>
        </w:tc>
        <w:tc>
          <w:tcPr>
            <w:tcW w:w="191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12360热线接通率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60" w:type="dxa"/>
            <w:vMerge/>
            <w:tcBorders>
              <w:left w:val="single" w:sz="4" w:space="0" w:color="000000"/>
              <w:right w:val="single" w:sz="4" w:space="0" w:color="000000"/>
            </w:tcBorders>
            <w:shd w:val="clear" w:color="auto" w:fill="auto"/>
            <w:vAlign w:val="center"/>
          </w:tcPr>
          <w:p/>
        </w:tc>
        <w:tc>
          <w:tcPr>
            <w:tcW w:w="191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12360热线平均等待时长</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≤10秒</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60" w:type="dxa"/>
            <w:vMerge/>
            <w:tcBorders>
              <w:left w:val="single" w:sz="4" w:space="0" w:color="000000"/>
              <w:bottom w:val="single" w:sz="4" w:space="0" w:color="000000"/>
              <w:right w:val="single" w:sz="4" w:space="0" w:color="000000"/>
            </w:tcBorders>
            <w:shd w:val="clear" w:color="auto" w:fill="auto"/>
            <w:vAlign w:val="center"/>
          </w:tcPr>
          <w:p/>
        </w:tc>
        <w:tc>
          <w:tcPr>
            <w:tcW w:w="191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12360统一服务热线平台运行时长</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=24小时</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60"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1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提高海关部门电子政务水平</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60" w:type="dxa"/>
            <w:vMerge/>
            <w:tcBorders>
              <w:left w:val="single" w:sz="4" w:space="0" w:color="000000"/>
              <w:right w:val="single" w:sz="4" w:space="0" w:color="000000"/>
            </w:tcBorders>
            <w:shd w:val="clear" w:color="auto" w:fill="auto"/>
            <w:vAlign w:val="center"/>
          </w:tcPr>
          <w:p/>
        </w:tc>
        <w:tc>
          <w:tcPr>
            <w:tcW w:w="1917" w:type="dxa"/>
            <w:tcBorders>
              <w:top w:val="single" w:sz="4" w:space="0" w:color="000000"/>
              <w:left w:val="single" w:sz="4" w:space="0" w:color="000000"/>
              <w:bottom w:val="single" w:sz="4" w:space="0" w:color="auto"/>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12360热线归并后服务企业便利性</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有所提升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60" w:type="dxa"/>
            <w:vMerge/>
            <w:tcBorders>
              <w:left w:val="single" w:sz="4" w:space="0" w:color="000000"/>
              <w:bottom w:val="single" w:sz="4" w:space="0" w:color="000000"/>
              <w:right w:val="single" w:sz="4" w:space="0" w:color="auto"/>
            </w:tcBorders>
            <w:shd w:val="clear" w:color="auto" w:fill="auto"/>
            <w:vAlign w:val="center"/>
          </w:tcPr>
          <w:p/>
        </w:tc>
        <w:tc>
          <w:tcPr>
            <w:tcW w:w="1917" w:type="dxa"/>
            <w:tcBorders>
              <w:top w:val="single" w:sz="4" w:space="0" w:color="auto"/>
              <w:left w:val="single" w:sz="4" w:space="0" w:color="auto"/>
              <w:bottom w:val="single" w:sz="4" w:space="0" w:color="auto"/>
              <w:right w:val="single" w:sz="4" w:space="0" w:color="auto"/>
            </w:tcBorders>
            <w:shd w:val="clear" w:color="auto" w:fill="auto"/>
            <w:vAlign w:val="center"/>
          </w:tcPr>
          <w:p>
            <w:pPr>
              <w:rPr>
                <w:rFonts w:ascii="宋体" w:cs="宋体"/>
                <w:sz w:val="24"/>
                <w:szCs w:val="24"/>
              </w:rPr>
            </w:pPr>
            <w:r>
              <w:rPr>
                <w:rFonts w:hint="eastAsia"/>
              </w:rPr>
              <w:t>生态效益指标</w:t>
            </w:r>
          </w:p>
        </w:tc>
        <w:tc>
          <w:tcPr>
            <w:tcW w:w="2962" w:type="dxa"/>
            <w:gridSpan w:val="2"/>
            <w:tcBorders>
              <w:top w:val="single" w:sz="4" w:space="0" w:color="000000"/>
              <w:left w:val="single" w:sz="4" w:space="0" w:color="auto"/>
              <w:bottom w:val="single" w:sz="4" w:space="0" w:color="000000"/>
              <w:right w:val="nil"/>
            </w:tcBorders>
            <w:shd w:val="clear" w:color="auto" w:fill="auto"/>
            <w:vAlign w:val="center"/>
          </w:tcPr>
          <w:p>
            <w:pPr>
              <w:rPr>
                <w:rFonts w:ascii="宋体" w:cs="宋体"/>
                <w:sz w:val="24"/>
                <w:szCs w:val="24"/>
              </w:rPr>
            </w:pPr>
            <w:r>
              <w:rPr>
                <w:rFonts w:hint="eastAsia"/>
              </w:rPr>
              <w:t>节能降耗是否达标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符合国家节能标准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满意度</w:t>
              <w:br/>
              <w:t>指标</w:t>
            </w:r>
          </w:p>
        </w:tc>
        <w:tc>
          <w:tcPr>
            <w:tcW w:w="1917" w:type="dxa"/>
            <w:tcBorders>
              <w:top w:val="single" w:sz="4" w:space="0" w:color="auto"/>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主管部门（或业务联系部门）满意度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满意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985"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94"/>
        <w:gridCol w:w="2019"/>
        <w:gridCol w:w="941"/>
        <w:gridCol w:w="2018"/>
        <w:gridCol w:w="2019"/>
        <w:gridCol w:w="1160"/>
      </w:tblGrid>
      <w:tr>
        <w:trPr>
          <w:trHeight w:val="702"/>
        </w:trPr>
        <w:tc>
          <w:tcPr>
            <w:tcW w:w="9985"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32"/>
                <w:szCs w:val="32"/>
              </w:rPr>
            </w:pPr>
            <w:r>
              <w:rPr>
                <w:rFonts w:ascii="黑体" w:eastAsia="黑体" w:cs="黑体" w:hint="eastAsia"/>
                <w:color w:val="000000"/>
                <w:kern w:val="0"/>
                <w:sz w:val="32"/>
                <w:szCs w:val="32"/>
              </w:rPr>
              <w:t>项目绩效目标表</w:t>
            </w:r>
          </w:p>
        </w:tc>
      </w:tr>
      <w:tr>
        <w:trPr>
          <w:trHeight w:val="499"/>
        </w:trPr>
        <w:tc>
          <w:tcPr>
            <w:tcW w:w="9985"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8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157"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缉私警察业务费</w:t>
            </w:r>
          </w:p>
        </w:tc>
      </w:tr>
      <w:tr>
        <w:trPr>
          <w:trHeight w:val="439"/>
        </w:trPr>
        <w:tc>
          <w:tcPr>
            <w:tcW w:w="18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96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1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7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中华人民共和国呼和浩特海关本级本级</w:t>
            </w:r>
          </w:p>
        </w:tc>
      </w:tr>
      <w:tr>
        <w:trPr>
          <w:trHeight w:val="439"/>
        </w:trPr>
        <w:tc>
          <w:tcPr>
            <w:tcW w:w="182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96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3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97.00</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82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6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3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97.00</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82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6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3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82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6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3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nil"/>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45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目标1：保障呼和浩特关区缉私警察日常办案需要，优先保障大要案办案需要，确保海关缉私工作正常开展；</w:t>
            </w:r>
          </w:p>
          <w:p>
            <w:pPr>
              <w:widowControl/>
              <w:textAlignment w:val="center"/>
              <w:rPr>
                <w:rFonts w:ascii="宋体" w:cs="宋体"/>
                <w:color w:val="000000"/>
                <w:kern w:val="0"/>
                <w:sz w:val="22"/>
              </w:rPr>
            </w:pPr>
            <w:r>
              <w:rPr>
                <w:rFonts w:ascii="宋体" w:cs="宋体" w:hint="eastAsia"/>
                <w:color w:val="000000"/>
                <w:kern w:val="0"/>
                <w:sz w:val="22"/>
              </w:rPr>
              <w:t>目标2：通过开展情报调研、搜集与分析等工作，为打击走私提供线索支撑，提高精准查私能力；</w:t>
            </w:r>
          </w:p>
          <w:p>
            <w:pPr>
              <w:widowControl/>
              <w:textAlignment w:val="center"/>
              <w:rPr>
                <w:rFonts w:ascii="宋体" w:cs="宋体"/>
                <w:color w:val="000000"/>
                <w:sz w:val="22"/>
              </w:rPr>
            </w:pPr>
            <w:r>
              <w:rPr>
                <w:rFonts w:ascii="宋体" w:cs="宋体" w:hint="eastAsia"/>
                <w:color w:val="000000"/>
                <w:kern w:val="0"/>
                <w:sz w:val="22"/>
              </w:rPr>
              <w:t xml:space="preserve">目标3：做好禁毒及缉毒工作，保护人民群众生命财产安全。          </w:t>
            </w:r>
          </w:p>
        </w:tc>
      </w:tr>
      <w:tr>
        <w:trPr>
          <w:trHeight w:val="600"/>
        </w:trPr>
        <w:tc>
          <w:tcPr>
            <w:tcW w:w="534" w:type="dxa"/>
            <w:vMerge w:val="restart"/>
            <w:tcBorders>
              <w:top w:val="single" w:sz="4" w:space="0" w:color="000000"/>
              <w:left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w:t>
              <w:br/>
              <w:t>指标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59"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成本指标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经济成本指标</w:t>
            </w:r>
          </w:p>
        </w:tc>
        <w:tc>
          <w:tcPr>
            <w:tcW w:w="2959"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年设备采购成本</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≤8万元</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59"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刑事立案数</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≥5起</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59"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行政立案数</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≥5起</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59"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保障缉私警察人数</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≥29人</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59"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保障缉私机构数</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≥1个</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59"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办案经费保障率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59"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案件办结率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right w:val="single" w:sz="4" w:space="0" w:color="000000"/>
            </w:tcBorders>
            <w:shd w:val="clear" w:color="auto" w:fill="auto"/>
            <w:textDirection w:val="tbRlV"/>
            <w:vAlign w:val="center"/>
          </w:tcPr>
          <w:p/>
        </w:tc>
        <w:tc>
          <w:tcPr>
            <w:tcW w:w="12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59"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打击偷逃税款走私取得明显效果</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right w:val="single" w:sz="4" w:space="0" w:color="000000"/>
            </w:tcBorders>
            <w:shd w:val="clear" w:color="auto" w:fill="auto"/>
            <w:textDirection w:val="tbRlV"/>
            <w:vAlign w:val="center"/>
          </w:tcPr>
          <w:p/>
        </w:tc>
        <w:tc>
          <w:tcPr>
            <w:tcW w:w="12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59"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保障海关缉私工作正常开展，提高打私能力，保护人民群众财产安全。</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bottom w:val="single" w:sz="4" w:space="0" w:color="000000"/>
              <w:right w:val="single" w:sz="4" w:space="0" w:color="000000"/>
            </w:tcBorders>
            <w:shd w:val="clear" w:color="auto" w:fill="auto"/>
            <w:textDirection w:val="tbRlV"/>
            <w:vAlign w:val="center"/>
          </w:tcP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59"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总署缉私局对办案的满意度</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≥99%</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49"/>
        <w:gridCol w:w="1929"/>
        <w:gridCol w:w="942"/>
        <w:gridCol w:w="2020"/>
        <w:gridCol w:w="2019"/>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32"/>
                <w:szCs w:val="32"/>
              </w:rPr>
            </w:pPr>
            <w:r>
              <w:rPr>
                <w:rFonts w:ascii="黑体" w:eastAsia="黑体" w:cs="黑体" w:hint="eastAsia"/>
                <w:color w:val="000000"/>
                <w:kern w:val="0"/>
                <w:sz w:val="32"/>
                <w:szCs w:val="32"/>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8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7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警务装备建设</w:t>
            </w:r>
          </w:p>
        </w:tc>
      </w:tr>
      <w:tr>
        <w:trPr>
          <w:trHeight w:val="439"/>
        </w:trPr>
        <w:tc>
          <w:tcPr>
            <w:tcW w:w="178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71"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7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中华人民共和国呼和浩特海关本级本级</w:t>
            </w:r>
          </w:p>
        </w:tc>
      </w:tr>
      <w:tr>
        <w:trPr>
          <w:trHeight w:val="439"/>
        </w:trPr>
        <w:tc>
          <w:tcPr>
            <w:tcW w:w="178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71"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3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32.99</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8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71"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3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32.99</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8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71"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3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8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71"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3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nil"/>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sz w:val="22"/>
              </w:rPr>
            </w:pPr>
            <w:r>
              <w:rPr>
                <w:rFonts w:ascii="宋体" w:cs="宋体" w:hint="eastAsia"/>
                <w:color w:val="000000"/>
                <w:kern w:val="0"/>
                <w:sz w:val="22"/>
              </w:rPr>
              <w:t>为关区缉私局和重点缉私分局配备指挥、线索经营、取证、审讯（询问）、鉴定装备，为重点关区配备特种装备和障碍、破拆、防暴等装备，提高关区打私装备水平。</w:t>
              <w:tab/>
              <w:tab/>
              <w:tab/>
              <w:tab/>
            </w:r>
          </w:p>
        </w:tc>
      </w:tr>
      <w:tr>
        <w:trPr>
          <w:trHeight w:val="600"/>
        </w:trPr>
        <w:tc>
          <w:tcPr>
            <w:tcW w:w="534" w:type="dxa"/>
            <w:vMerge w:val="restart"/>
            <w:tcBorders>
              <w:top w:val="single" w:sz="4" w:space="0" w:color="000000"/>
              <w:left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4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w:t>
              <w:br/>
              <w:t>指标</w:t>
            </w: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600"/>
        </w:trPr>
        <w:tc>
          <w:tcPr>
            <w:tcW w:w="534" w:type="dxa"/>
            <w:vMerge/>
            <w:tcBorders>
              <w:left w:val="single" w:sz="4" w:space="0" w:color="000000"/>
              <w:right w:val="single" w:sz="4" w:space="0" w:color="000000"/>
            </w:tcBorders>
            <w:shd w:val="clear" w:color="auto" w:fill="auto"/>
            <w:textDirection w:val="tbRlV"/>
            <w:vAlign w:val="center"/>
          </w:tcPr>
          <w:p/>
        </w:tc>
        <w:tc>
          <w:tcPr>
            <w:tcW w:w="124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成本指标</w:t>
            </w: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经济成本指标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设备采购成本</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≤36.61万元</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600"/>
        </w:trPr>
        <w:tc>
          <w:tcPr>
            <w:tcW w:w="534" w:type="dxa"/>
            <w:vMerge/>
            <w:tcBorders>
              <w:left w:val="single" w:sz="4" w:space="0" w:color="000000"/>
              <w:right w:val="single" w:sz="4" w:space="0" w:color="000000"/>
            </w:tcBorders>
            <w:shd w:val="clear" w:color="auto" w:fill="auto"/>
            <w:textDirection w:val="tbRlV"/>
            <w:vAlign w:val="center"/>
          </w:tcPr>
          <w:p/>
        </w:tc>
        <w:tc>
          <w:tcPr>
            <w:tcW w:w="1249"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电子取证鉴定数</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≥5份</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49" w:type="dxa"/>
            <w:vMerge/>
            <w:tcBorders>
              <w:left w:val="single" w:sz="4" w:space="0" w:color="000000"/>
              <w:right w:val="single" w:sz="4" w:space="0" w:color="000000"/>
            </w:tcBorders>
            <w:shd w:val="clear" w:color="auto" w:fill="auto"/>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配备警务装备数量完成情况</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49" w:type="dxa"/>
            <w:vMerge/>
            <w:tcBorders>
              <w:left w:val="single" w:sz="4" w:space="0" w:color="000000"/>
              <w:right w:val="single" w:sz="4" w:space="0" w:color="000000"/>
            </w:tcBorders>
            <w:shd w:val="clear" w:color="auto" w:fill="auto"/>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新购警务装备符合部（级）标准率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49" w:type="dxa"/>
            <w:vMerge/>
            <w:tcBorders>
              <w:left w:val="single" w:sz="4" w:space="0" w:color="000000"/>
              <w:right w:val="single" w:sz="4" w:space="0" w:color="000000"/>
            </w:tcBorders>
            <w:shd w:val="clear" w:color="auto" w:fill="auto"/>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新购警务装备质量达标率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49" w:type="dxa"/>
            <w:vMerge/>
            <w:tcBorders>
              <w:left w:val="single" w:sz="4" w:space="0" w:color="000000"/>
              <w:bottom w:val="single" w:sz="4" w:space="0" w:color="000000"/>
              <w:right w:val="single" w:sz="4" w:space="0" w:color="000000"/>
            </w:tcBorders>
            <w:shd w:val="clear" w:color="auto" w:fill="auto"/>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新购警务装备按期到位率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right w:val="single" w:sz="4" w:space="0" w:color="000000"/>
            </w:tcBorders>
            <w:shd w:val="clear" w:color="auto" w:fill="auto"/>
            <w:textDirection w:val="tbRlV"/>
            <w:vAlign w:val="center"/>
          </w:tcPr>
          <w:p/>
        </w:tc>
        <w:tc>
          <w:tcPr>
            <w:tcW w:w="12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协助抓捕犯罪嫌疑人数量</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&gt;5人</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900"/>
        </w:trPr>
        <w:tc>
          <w:tcPr>
            <w:tcW w:w="534" w:type="dxa"/>
            <w:vMerge/>
            <w:tcBorders>
              <w:left w:val="single" w:sz="4" w:space="0" w:color="000000"/>
              <w:right w:val="single" w:sz="4" w:space="0" w:color="000000"/>
            </w:tcBorders>
            <w:shd w:val="clear" w:color="auto" w:fill="auto"/>
            <w:textDirection w:val="tbRlV"/>
            <w:vAlign w:val="center"/>
          </w:tcPr>
          <w:p/>
        </w:tc>
        <w:tc>
          <w:tcPr>
            <w:tcW w:w="12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62" w:type="dxa"/>
            <w:gridSpan w:val="2"/>
            <w:tcBorders>
              <w:top w:val="single" w:sz="4" w:space="0" w:color="000000"/>
              <w:left w:val="nil"/>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hint="eastAsia"/>
              </w:rPr>
              <w:t>助力关区缉私警务装备水平</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900"/>
        </w:trPr>
        <w:tc>
          <w:tcPr>
            <w:tcW w:w="534" w:type="dxa"/>
            <w:vMerge/>
            <w:tcBorders>
              <w:left w:val="single" w:sz="4" w:space="0" w:color="000000"/>
              <w:bottom w:val="single" w:sz="4" w:space="0" w:color="000000"/>
              <w:right w:val="single" w:sz="4" w:space="0" w:color="000000"/>
            </w:tcBorders>
            <w:shd w:val="clear" w:color="auto" w:fill="auto"/>
            <w:textDirection w:val="tbRlV"/>
            <w:vAlign w:val="center"/>
          </w:tcPr>
          <w:p/>
        </w:tc>
        <w:tc>
          <w:tcPr>
            <w:tcW w:w="1249" w:type="dxa"/>
            <w:tcBorders>
              <w:top w:val="single" w:sz="4" w:space="0" w:color="000000"/>
              <w:left w:val="single" w:sz="4" w:space="0" w:color="000000"/>
              <w:bottom w:val="single" w:sz="4" w:space="0" w:color="000000"/>
              <w:right w:val="single" w:sz="4" w:space="0" w:color="000000"/>
            </w:tcBorders>
            <w:shd w:val="clear" w:color="auto" w:fill="auto"/>
            <w:vAlign w:val="center"/>
          </w:tcPr>
          <w:p>
            <w:r>
              <w:rPr>
                <w:rFonts w:ascii="宋体" w:cs="宋体" w:hint="eastAsia"/>
                <w:color w:val="000000"/>
                <w:kern w:val="0"/>
                <w:sz w:val="22"/>
              </w:rPr>
              <w:t>满意度指标</w:t>
            </w: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民警对设备的满意度的</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≥99%</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缉私部门计算机网络运行维护</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中华人民共和国呼和浩特海关本级本级</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72.30</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72.30</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nil"/>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目标1：对海关缉私部门应用系统软硬件运行维护，确保在用应用系统实时可用。</w:t>
            </w:r>
          </w:p>
          <w:p>
            <w:pPr>
              <w:widowControl/>
              <w:textAlignment w:val="center"/>
              <w:rPr>
                <w:rFonts w:ascii="宋体" w:cs="宋体"/>
                <w:color w:val="000000"/>
                <w:sz w:val="22"/>
              </w:rPr>
            </w:pPr>
            <w:r>
              <w:rPr>
                <w:rFonts w:ascii="宋体" w:cs="宋体" w:hint="eastAsia"/>
                <w:color w:val="000000"/>
                <w:kern w:val="0"/>
                <w:sz w:val="22"/>
              </w:rPr>
              <w:t>目标2：对缉私局信息系统基础平台环境及计算机终端进行升级改造，提高缉私业务信息化水平。</w:t>
            </w:r>
          </w:p>
        </w:tc>
      </w:tr>
      <w:tr>
        <w:trPr>
          <w:trHeight w:val="600"/>
        </w:trPr>
        <w:tc>
          <w:tcPr>
            <w:tcW w:w="53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成本指标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经济成本指标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网络租赁费用</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≤12.1万元</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线路数量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≥10条/年</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软、硬件配置完成率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网络、流量接入完成率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系统正常运行率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国产化设备覆盖率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网络覆盖率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≥99%</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业务保障能力提升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满意度</w:t>
              <w:br/>
              <w:t>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民警对网络运行的满意度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≥99%</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p>
        </w:tc>
      </w:tr>
    </w:tbl>
    <w:p>
      <w:pPr>
        <w:spacing w:line="20" w:lineRule="exact"/>
        <w:jc w:val="left"/>
        <w:rPr>
          <w:rFonts w:ascii="宋体" w:cs="宋体"/>
          <w:sz w:val="24"/>
          <w:szCs w:val="24"/>
        </w:rPr>
        <w:sectPr>
          <w:pgSz w:w="11906" w:h="16838"/>
          <w:pgMar w:top="1440" w:right="1800" w:bottom="1440" w:left="1800" w:header="851" w:footer="992" w:gutter="0"/>
          <w:docGrid w:type="lines" w:linePitch="312" w:charSpace="0"/>
        </w:sectPr>
      </w:pPr>
    </w:p>
    <w:p>
      <w:pPr>
        <w:spacing w:line="20" w:lineRule="exact"/>
        <w:rPr>
          <w:rFonts w:ascii="Times New Roman" w:eastAsia="方正仿宋_GBK" w:hAnsi="Times New Roman"/>
          <w:vanish/>
          <w:sz w:val="32"/>
          <w:szCs w:val="32"/>
        </w:rPr>
        <w:sectPr>
          <w:pgSz w:w="11906" w:h="16838"/>
          <w:pgMar w:top="1440" w:right="1800" w:bottom="1440" w:left="1800" w:header="851" w:footer="992" w:gutter="0"/>
          <w:docGrid w:type="lines" w:linePitch="312" w:charSpace="0"/>
        </w:sectPr>
      </w:pPr>
    </w:p>
    <w:p>
      <w:pPr>
        <w:spacing w:line="20" w:lineRule="exact"/>
        <w:jc w:val="left"/>
        <w:rPr>
          <w:rFonts w:ascii="Times New Roman" w:eastAsia="方正仿宋_GBK" w:hAnsi="Times New Roman"/>
          <w:vanish/>
          <w:sz w:val="32"/>
          <w:szCs w:val="32"/>
        </w:rPr>
        <w:sectPr>
          <w:pgSz w:w="11906" w:h="16838"/>
          <w:pgMar w:top="1440" w:right="1800" w:bottom="1440" w:left="1800" w:header="851" w:footer="992" w:gutter="0"/>
          <w:docGrid w:type="lines" w:linePitch="312" w:charSpace="0"/>
        </w:sectPr>
      </w:pPr>
    </w:p>
    <w:p>
      <w:pPr>
        <w:spacing w:line="20" w:lineRule="exact"/>
        <w:jc w:val="left"/>
        <w:rPr>
          <w:rFonts w:ascii="Times New Roman" w:eastAsia="方正仿宋_GBK" w:hAnsi="Times New Roman"/>
          <w:vanish/>
          <w:sz w:val="32"/>
          <w:szCs w:val="32"/>
        </w:rPr>
        <w:sectPr>
          <w:pgSz w:w="11906" w:h="16838"/>
          <w:pgMar w:top="1440" w:right="1800" w:bottom="1440" w:left="1800" w:header="851" w:footer="992" w:gutter="0"/>
          <w:docGrid w:type="lines" w:linePitch="312" w:charSpace="0"/>
        </w:sectPr>
      </w:pPr>
    </w:p>
    <w:p>
      <w:pPr>
        <w:spacing w:line="20" w:lineRule="exact"/>
        <w:jc w:val="left"/>
        <w:rPr>
          <w:rFonts w:ascii="Times New Roman" w:eastAsia="方正仿宋_GBK" w:hAnsi="Times New Roman"/>
          <w:vanish/>
          <w:sz w:val="32"/>
          <w:szCs w:val="32"/>
        </w:rPr>
        <w:sectPr>
          <w:pgSz w:w="11906" w:h="16838"/>
          <w:pgMar w:top="1440" w:right="1800" w:bottom="1440" w:left="1800" w:header="851" w:footer="992" w:gutter="0"/>
          <w:docGrid w:type="lines" w:linePitch="312" w:charSpace="0"/>
        </w:sectPr>
      </w:pPr>
    </w:p>
    <w:p>
      <w:pPr>
        <w:spacing w:line="20" w:lineRule="exact"/>
        <w:jc w:val="left"/>
        <w:rPr>
          <w:rFonts w:ascii="Times New Roman" w:eastAsia="方正仿宋_GBK" w:hAnsi="Times New Roman"/>
          <w:vanish/>
          <w:sz w:val="32"/>
          <w:szCs w:val="32"/>
        </w:rPr>
        <w:sectPr>
          <w:pgSz w:w="11906" w:h="16838"/>
          <w:pgMar w:top="1440" w:right="1800" w:bottom="1440" w:left="1800" w:header="851" w:footer="992" w:gutter="0"/>
          <w:docGrid w:type="lines" w:linePitch="312" w:charSpace="0"/>
        </w:sectPr>
      </w:pPr>
    </w:p>
    <w:p>
      <w:pPr>
        <w:spacing w:line="20" w:lineRule="exact"/>
        <w:jc w:val="left"/>
        <w:rPr>
          <w:rFonts w:ascii="Times New Roman" w:eastAsia="方正仿宋_GBK" w:hAnsi="Times New Roman"/>
          <w:vanish/>
          <w:sz w:val="32"/>
          <w:szCs w:val="32"/>
        </w:rPr>
        <w:sectPr>
          <w:pgSz w:w="11906" w:h="16838"/>
          <w:pgMar w:top="1440" w:right="1800" w:bottom="1440" w:left="1800" w:header="851" w:footer="992" w:gutter="0"/>
          <w:docGrid w:type="lines" w:linePitch="312" w:charSpace="0"/>
        </w:sectPr>
      </w:pPr>
    </w:p>
    <w:p>
      <w:pPr>
        <w:spacing w:line="20" w:lineRule="exact"/>
        <w:jc w:val="left"/>
        <w:rPr>
          <w:rFonts w:ascii="Times New Roman" w:eastAsia="方正仿宋_GBK" w:hAnsi="Times New Roman"/>
          <w:vanish/>
          <w:sz w:val="32"/>
          <w:szCs w:val="32"/>
        </w:rPr>
        <w:sectPr>
          <w:pgSz w:w="11906" w:h="16838"/>
          <w:pgMar w:top="1440" w:right="1800" w:bottom="1440" w:left="1800" w:header="851" w:footer="992" w:gutter="0"/>
          <w:docGrid w:type="lines" w:linePitch="312" w:charSpace="0"/>
        </w:sectPr>
      </w:pPr>
    </w:p>
    <w:p>
      <w:pPr>
        <w:tabs>
          <w:tab w:val="left" w:pos="920"/>
        </w:tabs>
        <w:spacing w:line="20" w:lineRule="exact"/>
        <w:rPr>
          <w:rFonts w:ascii="Times New Roman" w:eastAsia="方正仿宋_GBK" w:hAnsi="Times New Roman"/>
          <w:vanish/>
          <w:sz w:val="32"/>
          <w:szCs w:val="32"/>
        </w:rPr>
      </w:pP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黑体_GBK">
    <w:panose1 w:val="03000509000000000000"/>
    <w:charset w:val="86"/>
    <w:family w:val="script"/>
    <w:pitch w:val="variable"/>
    <w:sig w:usb0="00000001" w:usb1="080E0000" w:usb2="00000010" w:usb3="00000000" w:csb0="00040000" w:csb1="00000000"/>
  </w:font>
  <w:font w:name="方正小标宋_GBK">
    <w:panose1 w:val="03000509000000000000"/>
    <w:charset w:val="86"/>
    <w:family w:val="script"/>
    <w:pitch w:val="variable"/>
    <w:sig w:usb0="00000001" w:usb1="080E0000" w:usb2="00000000" w:usb3="00000000" w:csb0="00040000" w:csb1="00000000"/>
  </w:font>
  <w:font w:name="黑体">
    <w:altName w:val="SimHei"/>
    <w:panose1 w:val="02010600030101010101"/>
    <w:charset w:val="86"/>
    <w:family w:val="auto"/>
    <w:pitch w:val="variable"/>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楷体_GBK">
    <w:panose1 w:val="03000509000000000000"/>
    <w:charset w:val="86"/>
    <w:family w:val="script"/>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5"/>
      <w:tabs>
        <w:tab w:val="center" w:pos="4153"/>
        <w:tab w:val="right" w:pos="8307"/>
      </w:tabs>
    </w:pPr>
    <w:r>
      <mc:AlternateContent>
        <mc:Choice Requires="wps">
          <w:drawing>
            <wp:anchor distT="0" distB="0" distL="114297" distR="114297" simplePos="0" relativeHeight="20" behindDoc="0" locked="0" layoutInCell="1" hidden="0" allowOverlap="1">
              <wp:simplePos x="0" y="0"/>
              <wp:positionH relativeFrom="margin">
                <wp:align>center</wp:align>
              </wp:positionH>
              <wp:positionV relativeFrom="paragraph">
                <wp:posOffset>-3658877</wp:posOffset>
              </wp:positionV>
              <wp:extent cx="128778" cy="155193"/>
              <wp:effectExtent l="0" t="0" r="0" b="0"/>
              <wp:wrapNone/>
              <wp:docPr id="4" name="文本框 4"/>
              <wp:cNvGraphicFramePr>
                <a:graphicFrameLocks noChangeAspect="0"/>
              </wp:cNvGraphicFramePr>
              <a:graphic>
                <a:graphicData uri="http://schemas.microsoft.com/office/word/2010/wordprocessingShape">
                  <wps:wsp>
                    <wps:cNvSpPr/>
                    <wps:spPr>
                      <a:xfrm rot="0">
                        <a:off x="0" y="0"/>
                        <a:ext cx="128778" cy="155193"/>
                      </a:xfrm>
                      <a:prstGeom prst="rect"/>
                      <a:noFill/>
                      <a:ln w="9525" cmpd="sng" cap="flat">
                        <a:noFill/>
                        <a:prstDash val="solid"/>
                        <a:miter/>
                      </a:ln>
                    </wps:spPr>
                    <wps:txbx id="5">
                      <w:txbxContent>
                        <w:p>
                          <w:pPr>
                            <w:pStyle w:val="15"/>
                            <w:tabs>
                              <w:tab w:val="center" w:pos="4153"/>
                              <w:tab w:val="right" w:pos="8307"/>
                            </w:tabs>
                            <w:rPr>
                              <w:sz w:val="20"/>
                              <w:szCs w:val="24"/>
                            </w:rPr>
                          </w:pPr>
                          <w:r>
                            <w:rPr>
                              <w:sz w:val="20"/>
                              <w:szCs w:val="24"/>
                            </w:rPr>
                            <w:fldChar w:fldCharType="begin"/>
                          </w:r>
                          <w:r>
                            <w:rPr>
                              <w:sz w:val="20"/>
                              <w:szCs w:val="24"/>
                            </w:rPr>
                            <w:instrText xml:space="preserve"> PAGE  \* MERGEFORMAT </w:instrText>
                          </w:r>
                          <w:r>
                            <w:rPr>
                              <w:sz w:val="20"/>
                              <w:szCs w:val="24"/>
                            </w:rPr>
                            <w:fldChar w:fldCharType="separate"/>
                          </w:r>
                          <w:r>
                            <w:rPr>
                              <w:sz w:val="20"/>
                              <w:szCs w:val="24"/>
                            </w:rPr>
                            <w:t>115</w:t>
                          </w:r>
                          <w:r>
                            <w:rPr>
                              <w:sz w:val="20"/>
                              <w:szCs w:val="24"/>
                            </w:rPr>
                            <w:fldChar w:fldCharType="end"/>
                          </w:r>
                        </w:p>
                      </w:txbxContent>
                    </wps:txbx>
                    <wps:bodyPr vert="horz" wrap="none" lIns="0" tIns="0" rIns="0" bIns="0" anchor="t" anchorCtr="0" upright="1">
                      <a:spAutoFit/>
                    </wps:bodyPr>
                  </wps:wsp>
                </a:graphicData>
              </a:graphic>
            </wp:anchor>
          </w:drawing>
        </mc:Choice>
        <mc:Fallback>
          <w:pict>
            <v:shape type="#_x0000_t202" id="文本框 6" o:spid="_x0000_s6" filled="f" stroked="f" style="position:absolute;margin-left:-246.59615pt;margin-top:-288.10062pt;width:10.140043pt;height:12.219998pt;z-index:20;mso-position-horizontal:center;mso-position-horizontal-relative:margin;mso-position-vertical:absolute;mso-wrap-distance-left:8.99983pt;mso-wrap-distance-right:8.99983pt;mso-wrap-style:none;">
              <v:stroke color="#000000"/>
              <v:textbox id="853" inset="0mm,0mm,0mm,0mm" o:insetmode="custom" style="layout-flow:horizontal;v-text-anchor:top;mso-fit-shape-to-text:t;">
                <w:txbxContent>
                  <w:p>
                    <w:pPr>
                      <w:pStyle w:val="15"/>
                      <w:tabs>
                        <w:tab w:val="center" w:pos="4153"/>
                        <w:tab w:val="right" w:pos="8307"/>
                      </w:tabs>
                      <w:rPr>
                        <w:sz w:val="20"/>
                        <w:szCs w:val="24"/>
                      </w:rPr>
                    </w:pPr>
                    <w:r>
                      <w:rPr>
                        <w:sz w:val="20"/>
                        <w:szCs w:val="24"/>
                      </w:rPr>
                      <w:fldChar w:fldCharType="begin"/>
                    </w:r>
                    <w:r>
                      <w:rPr>
                        <w:sz w:val="20"/>
                        <w:szCs w:val="24"/>
                      </w:rPr>
                      <w:instrText xml:space="preserve"> PAGE  \* MERGEFORMAT </w:instrText>
                    </w:r>
                    <w:r>
                      <w:rPr>
                        <w:sz w:val="20"/>
                        <w:szCs w:val="24"/>
                      </w:rPr>
                      <w:fldChar w:fldCharType="separate"/>
                    </w:r>
                    <w:r>
                      <w:rPr>
                        <w:sz w:val="20"/>
                        <w:szCs w:val="24"/>
                      </w:rPr>
                      <w:t>115</w:t>
                    </w:r>
                    <w:r>
                      <w:rPr>
                        <w:sz w:val="20"/>
                        <w:szCs w:val="24"/>
                      </w:rPr>
                      <w:fldChar w:fldCharType="end"/>
                    </w:r>
                  </w:p>
                </w:txbxContent>
              </v:textbox>
            </v:shape>
          </w:pict>
        </mc:Fallback>
      </mc:AlternateContent>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1"/>
  <w:bordersDoNotSurroundHeader/>
  <w:bordersDoNotSurroundFooter/>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ulTrailSpace/>
    <w:doNotExpandShiftReturn/>
    <w:adjustLineHeightInTable/>
    <w:growAutofit/>
    <w:doNotUseIndentAsNumberingTabStop/>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character" w:default="1" w:styleId="10">
    <w:name w:val="Default Paragraph Font"/>
  </w:style>
  <w:style w:type="paragraph" w:styleId="15">
    <w:name w:val="footer"/>
    <w:basedOn w:val="0"/>
    <w:pPr>
      <w:tabs>
        <w:tab w:val="center" w:pos="4153"/>
        <w:tab w:val="right" w:pos="8307"/>
      </w:tabs>
      <w:snapToGrid w:val="0"/>
      <w:jc w:val="left"/>
    </w:pPr>
    <w:rPr>
      <w:sz w:val="18"/>
    </w:rPr>
  </w:style>
  <w:style w:type="paragraph" w:styleId="16">
    <w:name w:val="header"/>
    <w:basedOn w:val="0"/>
    <w:pPr>
      <w:tabs>
        <w:tab w:val="center" w:pos="4153"/>
        <w:tab w:val="right" w:pos="8306"/>
      </w:tabs>
      <w:snapToGrid w:val="0"/>
    </w:pPr>
    <w:rPr>
      <w:sz w:val="18"/>
    </w:rPr>
  </w:style>
  <w:style w:type="character" w:styleId="17">
    <w:name w:val="page number"/>
    <w:basedOn w:val="10"/>
  </w:style>
  <w:style w:type="paragraph" w:customStyle="1" w:styleId="18">
    <w:name w:val="样式 4 10 磅"/>
    <w:basedOn w:val="0"/>
    <w:rPr>
      <w:rFonts w:ascii="Times New Roman" w:cs="Times New Roman" w:hAnsi="Times New Roman"/>
      <w:szCs w:val="21"/>
    </w:rPr>
  </w:style>
  <w:style w:type="paragraph" w:customStyle="1" w:styleId="19">
    <w:name w:val="样式 51 10 磅"/>
    <w:basedOn w:val="0"/>
    <w:rPr>
      <w:rFonts w:ascii="Times New Roman" w:cs="Times New Roman" w:hAnsi="Times New Roman"/>
      <w:szCs w:val="21"/>
    </w:rPr>
  </w:style>
  <w:style w:type="paragraph" w:customStyle="1" w:styleId="20">
    <w:name w:val="样式 36 10 磅"/>
    <w:basedOn w:val="0"/>
    <w:rPr>
      <w:rFonts w:ascii="Times New Roman" w:cs="Times New Roman" w:hAnsi="Times New Roman"/>
      <w:szCs w:val="21"/>
    </w:rPr>
  </w:style>
  <w:style w:type="paragraph" w:customStyle="1" w:styleId="21">
    <w:name w:val="样式 49 10 磅"/>
    <w:basedOn w:val="0"/>
    <w:rPr>
      <w:rFonts w:ascii="Times New Roman" w:cs="Times New Roman" w:hAnsi="Times New Roman"/>
      <w:szCs w:val="21"/>
    </w:rPr>
  </w:style>
  <w:style w:type="character" w:customStyle="1" w:styleId="22">
    <w:name w:val="font41"/>
    <w:basedOn w:val="10"/>
    <w:rPr>
      <w:rFonts w:ascii="宋体" w:eastAsia="宋体" w:cs="宋体"/>
      <w:color w:val="000000"/>
      <w:sz w:val="22"/>
      <w:szCs w:val="22"/>
      <w:u w:val="none"/>
    </w:rPr>
  </w:style>
  <w:style w:type="character" w:customStyle="1" w:styleId="23">
    <w:name w:val="font61"/>
    <w:basedOn w:val="10"/>
    <w:rPr>
      <w:rFonts w:ascii="宋体" w:eastAsia="宋体" w:cs="宋体"/>
      <w:color w:val="000000"/>
      <w:sz w:val="22"/>
      <w:szCs w:val="22"/>
      <w:u w:val="none"/>
    </w:rPr>
  </w:style>
  <w:style w:type="character" w:customStyle="1" w:styleId="24">
    <w:name w:val="font71"/>
    <w:basedOn w:val="10"/>
    <w:rPr>
      <w:rFonts w:ascii="Times New Roman" w:cs="Times New Roman" w:hAnsi="Times New Roman"/>
      <w:color w:val="000000"/>
      <w:sz w:val="22"/>
      <w:szCs w:val="22"/>
      <w:u w:val="none"/>
    </w:rPr>
  </w:style>
  <w:style w:type="character" w:customStyle="1" w:styleId="25">
    <w:name w:val="font51"/>
    <w:basedOn w:val="10"/>
    <w:rPr>
      <w:rFonts w:ascii="宋体" w:eastAsia="宋体" w:cs="宋体"/>
      <w:color w:val="000000"/>
      <w:sz w:val="22"/>
      <w:szCs w:val="22"/>
      <w:u w:val="none"/>
    </w:rPr>
  </w:style>
  <w:style w:type="character" w:customStyle="1" w:styleId="26">
    <w:name w:val="font01"/>
    <w:basedOn w:val="10"/>
    <w:rPr>
      <w:rFonts w:ascii="宋体" w:eastAsia="宋体" w:cs="宋体"/>
      <w:color w:val="000000"/>
      <w:sz w:val="22"/>
      <w:szCs w:val="22"/>
      <w:u w:val="none"/>
    </w:rPr>
  </w:style>
  <w:style w:type="paragraph" w:customStyle="1" w:styleId="27">
    <w:name w:val="样式 2 10 磅"/>
    <w:basedOn w:val="0"/>
    <w:rPr>
      <w:rFonts w:ascii="Times New Roman" w:cs="Times New Roman" w:hAnsi="Times New Roman"/>
      <w:szCs w:val="21"/>
    </w:rPr>
  </w:style>
  <w:style w:type="paragraph" w:customStyle="1" w:styleId="28">
    <w:name w:val="样式 1 10 磅"/>
    <w:basedOn w:val="0"/>
    <w:rPr>
      <w:rFonts w:ascii="Times New Roman" w:cs="Times New Roman" w:hAnsi="Times New Roman"/>
      <w:szCs w:val="21"/>
    </w:rPr>
  </w:style>
  <w:style w:type="paragraph" w:styleId="29">
    <w:name w:val="Balloon Text"/>
    <w:basedOn w:val="0"/>
    <w:rPr>
      <w:sz w:val="18"/>
      <w:szCs w:val="18"/>
    </w:rPr>
  </w:style>
  <w:style w:type="paragraph" w:customStyle="1" w:styleId="30">
    <w:name w:val="样式 10 磅"/>
    <w:pPr>
      <w:widowControl w:val="0"/>
      <w:jc w:val="both"/>
    </w:pPr>
    <w:rPr>
      <w:rFonts w:ascii="Calibri" w:eastAsia="宋体" w:cs="Arial" w:hAnsi="Calibri"/>
      <w:kern w:val="2"/>
      <w:sz w:val="21"/>
      <w:szCs w:val="22"/>
      <w:lang w:val="en-US" w:eastAsia="zh-CN" w:bidi="ar-SA"/>
    </w:rPr>
  </w:style>
  <w:style w:type="paragraph" w:customStyle="1" w:styleId="31">
    <w:name w:val="样式 3 10 磅"/>
    <w:pPr>
      <w:widowControl w:val="0"/>
      <w:jc w:val="both"/>
    </w:pPr>
    <w:rPr>
      <w:rFonts w:ascii="Calibri" w:eastAsia="宋体" w:cs="Arial" w:hAnsi="Calibri"/>
      <w:kern w:val="2"/>
      <w:sz w:val="21"/>
      <w:szCs w:val="22"/>
      <w:lang w:val="en-US" w:eastAsia="zh-CN" w:bidi="ar-SA"/>
    </w:rPr>
  </w:style>
  <w:style w:type="paragraph" w:customStyle="1" w:styleId="32">
    <w:name w:val="样式 5 10 磅"/>
    <w:pPr>
      <w:widowControl w:val="0"/>
      <w:jc w:val="both"/>
    </w:pPr>
    <w:rPr>
      <w:rFonts w:ascii="Calibri" w:eastAsia="宋体" w:cs="Arial" w:hAnsi="Calibri"/>
      <w:kern w:val="2"/>
      <w:sz w:val="21"/>
      <w:szCs w:val="22"/>
      <w:lang w:val="en-US" w:eastAsia="zh-CN" w:bidi="ar-SA"/>
    </w:rPr>
  </w:style>
  <w:style w:type="paragraph" w:customStyle="1" w:styleId="33">
    <w:name w:val="样式 6 10 磅"/>
    <w:pPr>
      <w:widowControl w:val="0"/>
      <w:jc w:val="both"/>
    </w:pPr>
    <w:rPr>
      <w:rFonts w:ascii="Calibri" w:eastAsia="宋体" w:cs="Arial" w:hAnsi="Calibri"/>
      <w:kern w:val="2"/>
      <w:sz w:val="21"/>
      <w:szCs w:val="22"/>
      <w:lang w:val="en-US" w:eastAsia="zh-CN" w:bidi="ar-SA"/>
    </w:rPr>
  </w:style>
  <w:style w:type="paragraph" w:customStyle="1" w:styleId="34">
    <w:name w:val="样式 7 10 磅"/>
    <w:pPr>
      <w:widowControl w:val="0"/>
      <w:jc w:val="both"/>
    </w:pPr>
    <w:rPr>
      <w:rFonts w:ascii="Calibri" w:eastAsia="宋体" w:cs="Arial" w:hAnsi="Calibri"/>
      <w:kern w:val="2"/>
      <w:sz w:val="21"/>
      <w:szCs w:val="22"/>
      <w:lang w:val="en-US" w:eastAsia="zh-CN" w:bidi="ar-SA"/>
    </w:rPr>
  </w:style>
  <w:style w:type="paragraph" w:customStyle="1" w:styleId="35">
    <w:name w:val="样式 8 10 磅"/>
    <w:pPr>
      <w:widowControl w:val="0"/>
      <w:jc w:val="both"/>
    </w:pPr>
    <w:rPr>
      <w:rFonts w:ascii="Calibri" w:eastAsia="宋体" w:cs="Arial" w:hAnsi="Calibri"/>
      <w:kern w:val="2"/>
      <w:sz w:val="21"/>
      <w:szCs w:val="22"/>
      <w:lang w:val="en-US" w:eastAsia="zh-CN" w:bidi="ar-SA"/>
    </w:rPr>
  </w:style>
  <w:style w:type="paragraph" w:customStyle="1" w:styleId="36">
    <w:name w:val="样式 9 10 磅"/>
    <w:pPr>
      <w:widowControl w:val="0"/>
      <w:jc w:val="both"/>
    </w:pPr>
    <w:rPr>
      <w:rFonts w:ascii="Calibri" w:eastAsia="宋体" w:cs="Arial" w:hAnsi="Calibri"/>
      <w:kern w:val="2"/>
      <w:sz w:val="21"/>
      <w:szCs w:val="22"/>
      <w:lang w:val="en-US" w:eastAsia="zh-CN" w:bidi="ar-SA"/>
    </w:rPr>
  </w:style>
  <w:style w:type="paragraph" w:customStyle="1" w:styleId="37">
    <w:name w:val="样式 10 10 磅"/>
    <w:pPr>
      <w:widowControl w:val="0"/>
      <w:jc w:val="both"/>
    </w:pPr>
    <w:rPr>
      <w:rFonts w:ascii="Calibri" w:eastAsia="宋体" w:cs="Arial" w:hAnsi="Calibri"/>
      <w:kern w:val="2"/>
      <w:sz w:val="21"/>
      <w:szCs w:val="22"/>
      <w:lang w:val="en-US" w:eastAsia="zh-CN" w:bidi="ar-SA"/>
    </w:rPr>
  </w:style>
  <w:style w:type="paragraph" w:customStyle="1" w:styleId="38">
    <w:name w:val="样式 11 10 磅"/>
    <w:pPr>
      <w:widowControl w:val="0"/>
      <w:jc w:val="both"/>
    </w:pPr>
    <w:rPr>
      <w:rFonts w:ascii="Calibri" w:eastAsia="宋体" w:cs="Arial" w:hAnsi="Calibri"/>
      <w:kern w:val="2"/>
      <w:sz w:val="21"/>
      <w:szCs w:val="22"/>
      <w:lang w:val="en-US" w:eastAsia="zh-CN" w:bidi="ar-SA"/>
    </w:rPr>
  </w:style>
  <w:style w:type="paragraph" w:customStyle="1" w:styleId="39">
    <w:name w:val="样式 12 10 磅"/>
    <w:pPr>
      <w:widowControl w:val="0"/>
      <w:jc w:val="both"/>
    </w:pPr>
    <w:rPr>
      <w:rFonts w:ascii="Calibri" w:eastAsia="宋体" w:cs="Arial" w:hAnsi="Calibri"/>
      <w:kern w:val="2"/>
      <w:sz w:val="21"/>
      <w:szCs w:val="22"/>
      <w:lang w:val="en-US" w:eastAsia="zh-CN" w:bidi="ar-SA"/>
    </w:rPr>
  </w:style>
  <w:style w:type="paragraph" w:customStyle="1" w:styleId="40">
    <w:name w:val="样式 13 10 磅"/>
    <w:pPr>
      <w:widowControl w:val="0"/>
      <w:jc w:val="both"/>
    </w:pPr>
    <w:rPr>
      <w:rFonts w:ascii="Calibri" w:eastAsia="宋体" w:cs="Arial" w:hAnsi="Calibri"/>
      <w:kern w:val="2"/>
      <w:sz w:val="21"/>
      <w:szCs w:val="22"/>
      <w:lang w:val="en-US" w:eastAsia="zh-CN" w:bidi="ar-SA"/>
    </w:rPr>
  </w:style>
  <w:style w:type="paragraph" w:customStyle="1" w:styleId="41">
    <w:name w:val="样式 14 10 磅"/>
    <w:pPr>
      <w:widowControl w:val="0"/>
      <w:jc w:val="both"/>
    </w:pPr>
    <w:rPr>
      <w:rFonts w:ascii="Calibri" w:eastAsia="宋体" w:cs="Arial" w:hAnsi="Calibri"/>
      <w:kern w:val="2"/>
      <w:sz w:val="21"/>
      <w:szCs w:val="22"/>
      <w:lang w:val="en-US" w:eastAsia="zh-CN" w:bidi="ar-SA"/>
    </w:rPr>
  </w:style>
  <w:style w:type="paragraph" w:customStyle="1" w:styleId="42">
    <w:name w:val="样式 15 10 磅"/>
    <w:pPr>
      <w:widowControl w:val="0"/>
      <w:jc w:val="both"/>
    </w:pPr>
    <w:rPr>
      <w:rFonts w:ascii="Calibri" w:eastAsia="宋体" w:cs="Arial" w:hAnsi="Calibri"/>
      <w:kern w:val="2"/>
      <w:sz w:val="21"/>
      <w:szCs w:val="22"/>
      <w:lang w:val="en-US" w:eastAsia="zh-CN" w:bidi="ar-SA"/>
    </w:rPr>
  </w:style>
  <w:style w:type="paragraph" w:customStyle="1" w:styleId="43">
    <w:name w:val="样式 16 10 磅"/>
    <w:pPr>
      <w:widowControl w:val="0"/>
      <w:jc w:val="both"/>
    </w:pPr>
    <w:rPr>
      <w:rFonts w:ascii="Calibri" w:eastAsia="宋体" w:cs="Arial" w:hAnsi="Calibri"/>
      <w:kern w:val="2"/>
      <w:sz w:val="21"/>
      <w:szCs w:val="22"/>
      <w:lang w:val="en-US" w:eastAsia="zh-CN" w:bidi="ar-SA"/>
    </w:rPr>
  </w:style>
  <w:style w:type="paragraph" w:customStyle="1" w:styleId="44">
    <w:name w:val="样式 17 10 磅"/>
    <w:pPr>
      <w:widowControl w:val="0"/>
      <w:jc w:val="both"/>
    </w:pPr>
    <w:rPr>
      <w:rFonts w:ascii="Calibri" w:eastAsia="宋体" w:cs="Arial" w:hAnsi="Calibri"/>
      <w:kern w:val="2"/>
      <w:sz w:val="21"/>
      <w:szCs w:val="22"/>
      <w:lang w:val="en-US" w:eastAsia="zh-CN" w:bidi="ar-SA"/>
    </w:rPr>
  </w:style>
  <w:style w:type="paragraph" w:customStyle="1" w:styleId="45">
    <w:name w:val="样式 18 10 磅"/>
    <w:pPr>
      <w:widowControl w:val="0"/>
      <w:jc w:val="both"/>
    </w:pPr>
    <w:rPr>
      <w:rFonts w:ascii="Calibri" w:eastAsia="宋体" w:cs="Arial" w:hAnsi="Calibri"/>
      <w:kern w:val="2"/>
      <w:sz w:val="21"/>
      <w:szCs w:val="22"/>
      <w:lang w:val="en-US" w:eastAsia="zh-CN" w:bidi="ar-SA"/>
    </w:rPr>
  </w:style>
  <w:style w:type="paragraph" w:customStyle="1" w:styleId="46">
    <w:name w:val="样式 19 10 磅"/>
    <w:pPr>
      <w:widowControl w:val="0"/>
      <w:jc w:val="both"/>
    </w:pPr>
    <w:rPr>
      <w:rFonts w:ascii="Calibri" w:eastAsia="宋体" w:cs="Arial" w:hAnsi="Calibri"/>
      <w:kern w:val="2"/>
      <w:sz w:val="21"/>
      <w:szCs w:val="22"/>
      <w:lang w:val="en-US" w:eastAsia="zh-CN" w:bidi="ar-SA"/>
    </w:rPr>
  </w:style>
  <w:style w:type="paragraph" w:customStyle="1" w:styleId="47">
    <w:name w:val="样式 20 10 磅"/>
    <w:pPr>
      <w:widowControl w:val="0"/>
      <w:jc w:val="both"/>
    </w:pPr>
    <w:rPr>
      <w:rFonts w:ascii="Calibri" w:eastAsia="宋体" w:cs="Arial" w:hAnsi="Calibri"/>
      <w:kern w:val="2"/>
      <w:sz w:val="21"/>
      <w:szCs w:val="22"/>
      <w:lang w:val="en-US" w:eastAsia="zh-CN" w:bidi="ar-SA"/>
    </w:rPr>
  </w:style>
  <w:style w:type="paragraph" w:customStyle="1" w:styleId="48">
    <w:name w:val="样式 21 10 磅"/>
    <w:pPr>
      <w:widowControl w:val="0"/>
      <w:jc w:val="both"/>
    </w:pPr>
    <w:rPr>
      <w:rFonts w:ascii="Calibri" w:eastAsia="宋体" w:cs="Arial" w:hAnsi="Calibri"/>
      <w:kern w:val="2"/>
      <w:sz w:val="21"/>
      <w:szCs w:val="22"/>
      <w:lang w:val="en-US" w:eastAsia="zh-CN" w:bidi="ar-SA"/>
    </w:rPr>
  </w:style>
  <w:style w:type="paragraph" w:customStyle="1" w:styleId="49">
    <w:name w:val="样式 22 10 磅"/>
    <w:pPr>
      <w:widowControl w:val="0"/>
      <w:jc w:val="both"/>
    </w:pPr>
    <w:rPr>
      <w:rFonts w:ascii="Calibri" w:eastAsia="宋体" w:cs="Arial" w:hAnsi="Calibri"/>
      <w:kern w:val="2"/>
      <w:sz w:val="21"/>
      <w:szCs w:val="22"/>
      <w:lang w:val="en-US" w:eastAsia="zh-CN" w:bidi="ar-SA"/>
    </w:rPr>
  </w:style>
  <w:style w:type="paragraph" w:customStyle="1" w:styleId="50">
    <w:name w:val="样式 23 10 磅"/>
    <w:pPr>
      <w:widowControl w:val="0"/>
      <w:jc w:val="both"/>
    </w:pPr>
    <w:rPr>
      <w:rFonts w:ascii="Calibri" w:eastAsia="宋体" w:cs="Arial" w:hAnsi="Calibri"/>
      <w:kern w:val="2"/>
      <w:sz w:val="21"/>
      <w:szCs w:val="22"/>
      <w:lang w:val="en-US" w:eastAsia="zh-CN" w:bidi="ar-SA"/>
    </w:rPr>
  </w:style>
  <w:style w:type="paragraph" w:customStyle="1" w:styleId="51">
    <w:name w:val="样式 24 10 磅"/>
    <w:pPr>
      <w:widowControl w:val="0"/>
      <w:jc w:val="both"/>
    </w:pPr>
    <w:rPr>
      <w:rFonts w:ascii="Calibri" w:eastAsia="宋体" w:cs="Arial" w:hAnsi="Calibri"/>
      <w:kern w:val="2"/>
      <w:sz w:val="21"/>
      <w:szCs w:val="22"/>
      <w:lang w:val="en-US" w:eastAsia="zh-CN" w:bidi="ar-SA"/>
    </w:rPr>
  </w:style>
  <w:style w:type="paragraph" w:customStyle="1" w:styleId="52">
    <w:name w:val="样式 25 10 磅"/>
    <w:pPr>
      <w:widowControl w:val="0"/>
      <w:jc w:val="both"/>
    </w:pPr>
    <w:rPr>
      <w:rFonts w:ascii="Calibri" w:eastAsia="宋体" w:cs="Arial" w:hAnsi="Calibri"/>
      <w:kern w:val="2"/>
      <w:sz w:val="21"/>
      <w:szCs w:val="22"/>
      <w:lang w:val="en-US" w:eastAsia="zh-CN" w:bidi="ar-SA"/>
    </w:rPr>
  </w:style>
  <w:style w:type="paragraph" w:customStyle="1" w:styleId="53">
    <w:name w:val="样式 26 10 磅"/>
    <w:pPr>
      <w:widowControl w:val="0"/>
      <w:jc w:val="both"/>
    </w:pPr>
    <w:rPr>
      <w:rFonts w:ascii="Calibri" w:eastAsia="宋体" w:cs="Arial" w:hAnsi="Calibri"/>
      <w:kern w:val="2"/>
      <w:sz w:val="21"/>
      <w:szCs w:val="22"/>
      <w:lang w:val="en-US" w:eastAsia="zh-CN" w:bidi="ar-SA"/>
    </w:rPr>
  </w:style>
  <w:style w:type="paragraph" w:customStyle="1" w:styleId="54">
    <w:name w:val="样式 27 10 磅"/>
    <w:pPr>
      <w:widowControl w:val="0"/>
      <w:jc w:val="both"/>
    </w:pPr>
    <w:rPr>
      <w:rFonts w:ascii="Calibri" w:eastAsia="宋体" w:cs="Arial" w:hAnsi="Calibri"/>
      <w:kern w:val="2"/>
      <w:sz w:val="21"/>
      <w:szCs w:val="22"/>
      <w:lang w:val="en-US" w:eastAsia="zh-CN" w:bidi="ar-SA"/>
    </w:rPr>
  </w:style>
  <w:style w:type="paragraph" w:customStyle="1" w:styleId="55">
    <w:name w:val="样式 28 10 磅"/>
    <w:pPr>
      <w:widowControl w:val="0"/>
      <w:jc w:val="both"/>
    </w:pPr>
    <w:rPr>
      <w:rFonts w:ascii="Calibri" w:eastAsia="宋体" w:cs="Arial" w:hAnsi="Calibri"/>
      <w:kern w:val="2"/>
      <w:sz w:val="21"/>
      <w:szCs w:val="22"/>
      <w:lang w:val="en-US" w:eastAsia="zh-CN" w:bidi="ar-SA"/>
    </w:rPr>
  </w:style>
  <w:style w:type="paragraph" w:customStyle="1" w:styleId="56">
    <w:name w:val="样式 29 10 磅"/>
    <w:pPr>
      <w:widowControl w:val="0"/>
      <w:jc w:val="both"/>
    </w:pPr>
    <w:rPr>
      <w:rFonts w:ascii="Calibri" w:eastAsia="宋体" w:cs="Arial" w:hAnsi="Calibri"/>
      <w:kern w:val="2"/>
      <w:sz w:val="21"/>
      <w:szCs w:val="22"/>
      <w:lang w:val="en-US" w:eastAsia="zh-CN" w:bidi="ar-SA"/>
    </w:rPr>
  </w:style>
  <w:style w:type="paragraph" w:customStyle="1" w:styleId="57">
    <w:name w:val="样式 30 10 磅"/>
    <w:pPr>
      <w:widowControl w:val="0"/>
      <w:jc w:val="both"/>
    </w:pPr>
    <w:rPr>
      <w:rFonts w:ascii="Calibri" w:eastAsia="宋体" w:cs="Arial" w:hAnsi="Calibri"/>
      <w:kern w:val="2"/>
      <w:sz w:val="21"/>
      <w:szCs w:val="22"/>
      <w:lang w:val="en-US" w:eastAsia="zh-CN" w:bidi="ar-SA"/>
    </w:rPr>
  </w:style>
  <w:style w:type="paragraph" w:customStyle="1" w:styleId="58">
    <w:name w:val="样式 31 10 磅"/>
    <w:pPr>
      <w:widowControl w:val="0"/>
      <w:jc w:val="both"/>
    </w:pPr>
    <w:rPr>
      <w:rFonts w:ascii="Calibri" w:eastAsia="宋体" w:cs="Arial" w:hAnsi="Calibri"/>
      <w:kern w:val="2"/>
      <w:sz w:val="21"/>
      <w:szCs w:val="22"/>
      <w:lang w:val="en-US" w:eastAsia="zh-CN" w:bidi="ar-SA"/>
    </w:rPr>
  </w:style>
  <w:style w:type="paragraph" w:customStyle="1" w:styleId="59">
    <w:name w:val="样式 32 10 磅"/>
    <w:pPr>
      <w:widowControl w:val="0"/>
      <w:jc w:val="both"/>
    </w:pPr>
    <w:rPr>
      <w:rFonts w:ascii="Calibri" w:eastAsia="宋体" w:cs="Arial" w:hAnsi="Calibri"/>
      <w:kern w:val="2"/>
      <w:sz w:val="21"/>
      <w:szCs w:val="22"/>
      <w:lang w:val="en-US" w:eastAsia="zh-CN" w:bidi="ar-SA"/>
    </w:rPr>
  </w:style>
  <w:style w:type="paragraph" w:customStyle="1" w:styleId="60">
    <w:name w:val="样式 33 10 磅"/>
    <w:pPr>
      <w:widowControl w:val="0"/>
      <w:jc w:val="both"/>
    </w:pPr>
    <w:rPr>
      <w:rFonts w:ascii="Calibri" w:eastAsia="宋体" w:cs="Arial" w:hAnsi="Calibri"/>
      <w:kern w:val="2"/>
      <w:sz w:val="21"/>
      <w:szCs w:val="22"/>
      <w:lang w:val="en-US" w:eastAsia="zh-CN" w:bidi="ar-SA"/>
    </w:rPr>
  </w:style>
  <w:style w:type="paragraph" w:customStyle="1" w:styleId="61">
    <w:name w:val="样式 34 10 磅"/>
    <w:pPr>
      <w:widowControl w:val="0"/>
      <w:jc w:val="both"/>
    </w:pPr>
    <w:rPr>
      <w:rFonts w:ascii="Calibri" w:eastAsia="宋体" w:cs="Arial" w:hAnsi="Calibri"/>
      <w:kern w:val="2"/>
      <w:sz w:val="21"/>
      <w:szCs w:val="22"/>
      <w:lang w:val="en-US" w:eastAsia="zh-CN" w:bidi="ar-SA"/>
    </w:rPr>
  </w:style>
  <w:style w:type="paragraph" w:customStyle="1" w:styleId="62">
    <w:name w:val="样式 35 10 磅"/>
    <w:pPr>
      <w:widowControl w:val="0"/>
      <w:jc w:val="both"/>
    </w:pPr>
    <w:rPr>
      <w:rFonts w:ascii="Calibri" w:eastAsia="宋体" w:cs="Arial" w:hAnsi="Calibri"/>
      <w:kern w:val="2"/>
      <w:sz w:val="21"/>
      <w:szCs w:val="22"/>
      <w:lang w:val="en-US" w:eastAsia="zh-CN" w:bidi="ar-SA"/>
    </w:rPr>
  </w:style>
  <w:style w:type="paragraph" w:customStyle="1" w:styleId="63">
    <w:name w:val="样式 37 10 磅"/>
    <w:pPr>
      <w:widowControl w:val="0"/>
      <w:jc w:val="both"/>
    </w:pPr>
    <w:rPr>
      <w:rFonts w:ascii="Calibri" w:eastAsia="宋体" w:cs="Arial" w:hAnsi="Calibri"/>
      <w:kern w:val="2"/>
      <w:sz w:val="21"/>
      <w:szCs w:val="22"/>
      <w:lang w:val="en-US" w:eastAsia="zh-CN" w:bidi="ar-SA"/>
    </w:rPr>
  </w:style>
  <w:style w:type="paragraph" w:customStyle="1" w:styleId="64">
    <w:name w:val="样式 38 10 磅"/>
    <w:pPr>
      <w:widowControl w:val="0"/>
      <w:jc w:val="both"/>
    </w:pPr>
    <w:rPr>
      <w:rFonts w:ascii="Calibri" w:eastAsia="宋体" w:cs="Arial" w:hAnsi="Calibri"/>
      <w:kern w:val="2"/>
      <w:sz w:val="21"/>
      <w:szCs w:val="22"/>
      <w:lang w:val="en-US" w:eastAsia="zh-CN" w:bidi="ar-SA"/>
    </w:rPr>
  </w:style>
  <w:style w:type="paragraph" w:customStyle="1" w:styleId="65">
    <w:name w:val="样式 39 10 磅"/>
    <w:pPr>
      <w:widowControl w:val="0"/>
      <w:jc w:val="both"/>
    </w:pPr>
    <w:rPr>
      <w:rFonts w:ascii="Calibri" w:eastAsia="宋体" w:cs="Arial" w:hAnsi="Calibri"/>
      <w:kern w:val="2"/>
      <w:sz w:val="21"/>
      <w:szCs w:val="22"/>
      <w:lang w:val="en-US" w:eastAsia="zh-CN" w:bidi="ar-SA"/>
    </w:rPr>
  </w:style>
  <w:style w:type="paragraph" w:customStyle="1" w:styleId="66">
    <w:name w:val="样式 40 10 磅"/>
    <w:pPr>
      <w:widowControl w:val="0"/>
      <w:jc w:val="both"/>
    </w:pPr>
    <w:rPr>
      <w:rFonts w:ascii="Calibri" w:eastAsia="宋体" w:cs="Arial" w:hAnsi="Calibri"/>
      <w:kern w:val="2"/>
      <w:sz w:val="21"/>
      <w:szCs w:val="22"/>
      <w:lang w:val="en-US" w:eastAsia="zh-CN" w:bidi="ar-SA"/>
    </w:rPr>
  </w:style>
  <w:style w:type="paragraph" w:customStyle="1" w:styleId="67">
    <w:name w:val="样式 41 10 磅"/>
    <w:pPr>
      <w:widowControl w:val="0"/>
      <w:jc w:val="both"/>
    </w:pPr>
    <w:rPr>
      <w:rFonts w:ascii="Calibri" w:eastAsia="宋体" w:cs="Arial" w:hAnsi="Calibri"/>
      <w:kern w:val="2"/>
      <w:sz w:val="21"/>
      <w:szCs w:val="22"/>
      <w:lang w:val="en-US" w:eastAsia="zh-CN" w:bidi="ar-SA"/>
    </w:rPr>
  </w:style>
  <w:style w:type="paragraph" w:customStyle="1" w:styleId="68">
    <w:name w:val="样式 42 10 磅"/>
    <w:pPr>
      <w:widowControl w:val="0"/>
      <w:jc w:val="both"/>
    </w:pPr>
    <w:rPr>
      <w:rFonts w:ascii="Calibri" w:eastAsia="宋体" w:cs="Arial" w:hAnsi="Calibri"/>
      <w:kern w:val="2"/>
      <w:sz w:val="21"/>
      <w:szCs w:val="22"/>
      <w:lang w:val="en-US" w:eastAsia="zh-CN" w:bidi="ar-SA"/>
    </w:rPr>
  </w:style>
  <w:style w:type="paragraph" w:customStyle="1" w:styleId="69">
    <w:name w:val="样式 43 10 磅"/>
    <w:pPr>
      <w:widowControl w:val="0"/>
      <w:jc w:val="both"/>
    </w:pPr>
    <w:rPr>
      <w:rFonts w:ascii="Calibri" w:eastAsia="宋体" w:cs="Arial" w:hAnsi="Calibri"/>
      <w:kern w:val="2"/>
      <w:sz w:val="21"/>
      <w:szCs w:val="22"/>
      <w:lang w:val="en-US" w:eastAsia="zh-CN" w:bidi="ar-SA"/>
    </w:rPr>
  </w:style>
  <w:style w:type="paragraph" w:customStyle="1" w:styleId="70">
    <w:name w:val="样式 44 10 磅"/>
    <w:pPr>
      <w:widowControl w:val="0"/>
      <w:jc w:val="both"/>
    </w:pPr>
    <w:rPr>
      <w:rFonts w:ascii="Calibri" w:eastAsia="宋体" w:cs="Arial" w:hAnsi="Calibri"/>
      <w:kern w:val="2"/>
      <w:sz w:val="21"/>
      <w:szCs w:val="22"/>
      <w:lang w:val="en-US" w:eastAsia="zh-CN" w:bidi="ar-SA"/>
    </w:rPr>
  </w:style>
  <w:style w:type="paragraph" w:customStyle="1" w:styleId="71">
    <w:name w:val="样式 45 10 磅"/>
    <w:pPr>
      <w:widowControl w:val="0"/>
      <w:jc w:val="both"/>
    </w:pPr>
    <w:rPr>
      <w:rFonts w:ascii="Calibri" w:eastAsia="宋体" w:cs="Arial" w:hAnsi="Calibri"/>
      <w:kern w:val="2"/>
      <w:sz w:val="21"/>
      <w:szCs w:val="22"/>
      <w:lang w:val="en-US" w:eastAsia="zh-CN" w:bidi="ar-SA"/>
    </w:rPr>
  </w:style>
  <w:style w:type="paragraph" w:customStyle="1" w:styleId="72">
    <w:name w:val="样式 46 10 磅"/>
    <w:pPr>
      <w:widowControl w:val="0"/>
      <w:jc w:val="both"/>
    </w:pPr>
    <w:rPr>
      <w:rFonts w:ascii="Calibri" w:eastAsia="宋体" w:cs="Arial" w:hAnsi="Calibri"/>
      <w:kern w:val="2"/>
      <w:sz w:val="21"/>
      <w:szCs w:val="22"/>
      <w:lang w:val="en-US" w:eastAsia="zh-CN" w:bidi="ar-SA"/>
    </w:rPr>
  </w:style>
  <w:style w:type="paragraph" w:customStyle="1" w:styleId="73">
    <w:name w:val="样式 47 10 磅"/>
    <w:pPr>
      <w:widowControl w:val="0"/>
      <w:jc w:val="both"/>
    </w:pPr>
    <w:rPr>
      <w:rFonts w:ascii="Calibri" w:eastAsia="宋体" w:cs="Arial" w:hAnsi="Calibri"/>
      <w:kern w:val="2"/>
      <w:sz w:val="21"/>
      <w:szCs w:val="22"/>
      <w:lang w:val="en-US" w:eastAsia="zh-CN" w:bidi="ar-SA"/>
    </w:rPr>
  </w:style>
  <w:style w:type="paragraph" w:customStyle="1" w:styleId="74">
    <w:name w:val="样式 48 10 磅"/>
    <w:pPr>
      <w:widowControl w:val="0"/>
      <w:jc w:val="both"/>
    </w:pPr>
    <w:rPr>
      <w:rFonts w:ascii="Calibri" w:eastAsia="宋体" w:cs="Arial" w:hAnsi="Calibri"/>
      <w:kern w:val="2"/>
      <w:sz w:val="21"/>
      <w:szCs w:val="22"/>
      <w:lang w:val="en-US" w:eastAsia="zh-CN" w:bidi="ar-SA"/>
    </w:rPr>
  </w:style>
  <w:style w:type="paragraph" w:customStyle="1" w:styleId="75">
    <w:name w:val="样式 50 10 磅"/>
    <w:pPr>
      <w:widowControl w:val="0"/>
      <w:jc w:val="both"/>
    </w:pPr>
    <w:rPr>
      <w:rFonts w:ascii="Calibri" w:eastAsia="宋体" w:cs="Arial" w:hAnsi="Calibri"/>
      <w:kern w:val="2"/>
      <w:sz w:val="21"/>
      <w:szCs w:val="22"/>
      <w:lang w:val="en-US" w:eastAsia="zh-CN" w:bidi="ar-SA"/>
    </w:rPr>
  </w:style>
  <w:style w:type="paragraph" w:customStyle="1" w:styleId="76">
    <w:name w:val="样式 52 10 磅"/>
    <w:pPr>
      <w:widowControl w:val="0"/>
      <w:jc w:val="both"/>
    </w:pPr>
    <w:rPr>
      <w:rFonts w:ascii="Calibri" w:eastAsia="宋体" w:cs="Arial" w:hAnsi="Calibri"/>
      <w:kern w:val="2"/>
      <w:sz w:val="21"/>
      <w:szCs w:val="22"/>
      <w:lang w:val="en-US" w:eastAsia="zh-CN" w:bidi="ar-SA"/>
    </w:rPr>
  </w:style>
  <w:style w:type="paragraph" w:customStyle="1" w:styleId="77">
    <w:name w:val="样式 53 10 磅"/>
    <w:pPr>
      <w:widowControl w:val="0"/>
      <w:jc w:val="both"/>
    </w:pPr>
    <w:rPr>
      <w:rFonts w:ascii="Calibri" w:eastAsia="宋体" w:cs="Arial" w:hAnsi="Calibri"/>
      <w:kern w:val="2"/>
      <w:sz w:val="21"/>
      <w:szCs w:val="22"/>
      <w:lang w:val="en-US" w:eastAsia="zh-CN" w:bidi="ar-SA"/>
    </w:rPr>
  </w:style>
  <w:style w:type="paragraph" w:customStyle="1" w:styleId="78">
    <w:name w:val="样式 54 10 磅"/>
    <w:pPr>
      <w:widowControl w:val="0"/>
      <w:jc w:val="both"/>
    </w:pPr>
    <w:rPr>
      <w:rFonts w:ascii="Calibri" w:eastAsia="宋体" w:cs="Arial" w:hAnsi="Calibri"/>
      <w:kern w:val="2"/>
      <w:sz w:val="21"/>
      <w:szCs w:val="22"/>
      <w:lang w:val="en-US" w:eastAsia="zh-CN" w:bidi="ar-SA"/>
    </w:rPr>
  </w:style>
  <w:style w:type="paragraph" w:customStyle="1" w:styleId="79">
    <w:name w:val="样式 55 10 磅"/>
    <w:pPr>
      <w:widowControl w:val="0"/>
      <w:jc w:val="both"/>
    </w:pPr>
    <w:rPr>
      <w:rFonts w:ascii="Calibri" w:eastAsia="宋体" w:cs="Arial" w:hAnsi="Calibri"/>
      <w:kern w:val="2"/>
      <w:sz w:val="21"/>
      <w:szCs w:val="22"/>
      <w:lang w:val="en-US" w:eastAsia="zh-CN" w:bidi="ar-SA"/>
    </w:rPr>
  </w:style>
  <w:style w:type="paragraph" w:customStyle="1" w:styleId="80">
    <w:name w:val="样式 56 10 磅"/>
    <w:pPr>
      <w:widowControl w:val="0"/>
      <w:jc w:val="both"/>
    </w:pPr>
    <w:rPr>
      <w:rFonts w:ascii="Calibri" w:eastAsia="宋体" w:cs="Arial" w:hAnsi="Calibri"/>
      <w:kern w:val="2"/>
      <w:sz w:val="21"/>
      <w:szCs w:val="22"/>
      <w:lang w:val="en-US" w:eastAsia="zh-CN" w:bidi="ar-SA"/>
    </w:rPr>
  </w:style>
  <w:style w:type="paragraph" w:customStyle="1" w:styleId="81">
    <w:name w:val="样式 57 10 磅"/>
    <w:pPr>
      <w:widowControl w:val="0"/>
      <w:jc w:val="both"/>
    </w:pPr>
    <w:rPr>
      <w:rFonts w:ascii="Calibri" w:eastAsia="宋体" w:cs="Arial" w:hAnsi="Calibri"/>
      <w:kern w:val="2"/>
      <w:sz w:val="21"/>
      <w:szCs w:val="22"/>
      <w:lang w:val="en-US" w:eastAsia="zh-CN" w:bidi="ar-SA"/>
    </w:rPr>
  </w:style>
  <w:style w:type="paragraph" w:customStyle="1" w:styleId="82">
    <w:name w:val="样式 58 10 磅"/>
    <w:pPr>
      <w:widowControl w:val="0"/>
      <w:jc w:val="both"/>
    </w:pPr>
    <w:rPr>
      <w:rFonts w:ascii="Calibri" w:eastAsia="宋体" w:cs="Arial" w:hAnsi="Calibri"/>
      <w:kern w:val="2"/>
      <w:sz w:val="21"/>
      <w:szCs w:val="22"/>
      <w:lang w:val="en-US" w:eastAsia="zh-CN" w:bidi="ar-SA"/>
    </w:rPr>
  </w:style>
  <w:style w:type="paragraph" w:customStyle="1" w:styleId="83">
    <w:name w:val="样式 59 10 磅"/>
    <w:pPr>
      <w:widowControl w:val="0"/>
      <w:jc w:val="both"/>
    </w:pPr>
    <w:rPr>
      <w:rFonts w:ascii="Calibri" w:eastAsia="宋体" w:cs="Arial" w:hAnsi="Calibri"/>
      <w:kern w:val="2"/>
      <w:sz w:val="21"/>
      <w:szCs w:val="22"/>
      <w:lang w:val="en-US" w:eastAsia="zh-CN" w:bidi="ar-SA"/>
    </w:rPr>
  </w:style>
  <w:style w:type="paragraph" w:customStyle="1" w:styleId="84">
    <w:name w:val="样式 60 10 磅"/>
    <w:pPr>
      <w:widowControl w:val="0"/>
      <w:jc w:val="both"/>
    </w:pPr>
    <w:rPr>
      <w:rFonts w:ascii="Calibri" w:eastAsia="宋体" w:cs="Arial" w:hAnsi="Calibri"/>
      <w:kern w:val="2"/>
      <w:sz w:val="21"/>
      <w:szCs w:val="22"/>
      <w:lang w:val="en-US" w:eastAsia="zh-CN" w:bidi="ar-SA"/>
    </w:rPr>
  </w:style>
  <w:style w:type="paragraph" w:customStyle="1" w:styleId="85">
    <w:name w:val="样式 61 10 磅"/>
    <w:pPr>
      <w:widowControl w:val="0"/>
      <w:jc w:val="both"/>
    </w:pPr>
    <w:rPr>
      <w:rFonts w:ascii="Calibri" w:eastAsia="宋体" w:cs="Arial" w:hAnsi="Calibri"/>
      <w:kern w:val="2"/>
      <w:sz w:val="21"/>
      <w:szCs w:val="22"/>
      <w:lang w:val="en-US" w:eastAsia="zh-CN" w:bidi="ar-SA"/>
    </w:rPr>
  </w:style>
  <w:style w:type="paragraph" w:customStyle="1" w:styleId="86">
    <w:name w:val="样式 62 10 磅"/>
    <w:pPr>
      <w:widowControl w:val="0"/>
      <w:jc w:val="both"/>
    </w:pPr>
    <w:rPr>
      <w:rFonts w:ascii="Calibri" w:eastAsia="宋体" w:cs="Arial" w:hAnsi="Calibri"/>
      <w:kern w:val="2"/>
      <w:sz w:val="21"/>
      <w:szCs w:val="22"/>
      <w:lang w:val="en-US" w:eastAsia="zh-CN" w:bidi="ar-SA"/>
    </w:rPr>
  </w:style>
  <w:style w:type="paragraph" w:customStyle="1" w:styleId="87">
    <w:name w:val="样式 63 10 磅"/>
    <w:pPr>
      <w:widowControl w:val="0"/>
      <w:jc w:val="both"/>
    </w:pPr>
    <w:rPr>
      <w:rFonts w:ascii="Calibri" w:eastAsia="宋体" w:cs="Arial" w:hAnsi="Calibri"/>
      <w:kern w:val="2"/>
      <w:sz w:val="21"/>
      <w:szCs w:val="22"/>
      <w:lang w:val="en-US" w:eastAsia="zh-CN" w:bidi="ar-SA"/>
    </w:rPr>
  </w:style>
  <w:style w:type="paragraph" w:customStyle="1" w:styleId="88">
    <w:name w:val="样式 64 10 磅"/>
    <w:pPr>
      <w:widowControl w:val="0"/>
      <w:jc w:val="both"/>
    </w:pPr>
    <w:rPr>
      <w:rFonts w:ascii="Calibri" w:eastAsia="宋体" w:cs="Arial" w:hAnsi="Calibri"/>
      <w:kern w:val="2"/>
      <w:sz w:val="21"/>
      <w:szCs w:val="22"/>
      <w:lang w:val="en-US" w:eastAsia="zh-CN" w:bidi="ar-SA"/>
    </w:rPr>
  </w:style>
  <w:style w:type="paragraph" w:customStyle="1" w:styleId="89">
    <w:name w:val="样式 65 10 磅"/>
    <w:pPr>
      <w:widowControl w:val="0"/>
      <w:jc w:val="both"/>
    </w:pPr>
    <w:rPr>
      <w:rFonts w:ascii="Calibri" w:eastAsia="宋体" w:cs="Arial" w:hAnsi="Calibri"/>
      <w:kern w:val="2"/>
      <w:sz w:val="21"/>
      <w:szCs w:val="22"/>
      <w:lang w:val="en-US" w:eastAsia="zh-CN" w:bidi="ar-SA"/>
    </w:rPr>
  </w:style>
  <w:style w:type="paragraph" w:customStyle="1" w:styleId="90">
    <w:name w:val="样式 66 10 磅"/>
    <w:pPr>
      <w:widowControl w:val="0"/>
      <w:jc w:val="both"/>
    </w:pPr>
    <w:rPr>
      <w:rFonts w:ascii="Calibri" w:eastAsia="宋体" w:cs="Arial" w:hAnsi="Calibri"/>
      <w:kern w:val="2"/>
      <w:sz w:val="21"/>
      <w:szCs w:val="22"/>
      <w:lang w:val="en-US" w:eastAsia="zh-CN" w:bidi="ar-SA"/>
    </w:rPr>
  </w:style>
  <w:style w:type="paragraph" w:customStyle="1" w:styleId="91">
    <w:name w:val="样式 3044 10 磅"/>
    <w:pPr>
      <w:widowControl w:val="0"/>
      <w:jc w:val="both"/>
    </w:pPr>
    <w:rPr>
      <w:rFonts w:ascii="Times New Roman" w:eastAsia="宋体" w:cs="Times New Roman" w:hAnsi="Times New Roman"/>
      <w:kern w:val="2"/>
      <w:sz w:val="21"/>
      <w:szCs w:val="24"/>
      <w:lang w:val="en-US" w:eastAsia="zh-CN" w:bidi="ar-SA"/>
    </w:rPr>
  </w:style>
  <w:style w:type="paragraph" w:customStyle="1" w:styleId="92">
    <w:name w:val="样式 67 10 磅"/>
    <w:pPr>
      <w:widowControl w:val="0"/>
      <w:jc w:val="both"/>
    </w:pPr>
    <w:rPr>
      <w:rFonts w:ascii="Times New Roman" w:eastAsia="宋体" w:cs="Times New Roman" w:hAnsi="Times New Roman"/>
      <w:kern w:val="2"/>
      <w:sz w:val="21"/>
      <w:szCs w:val="24"/>
      <w:lang w:val="en-US" w:eastAsia="zh-CN" w:bidi="ar-SA"/>
    </w:rPr>
  </w:style>
  <w:style w:type="paragraph" w:customStyle="1" w:styleId="93">
    <w:name w:val="样式 3182 10 磅"/>
    <w:pPr>
      <w:widowControl w:val="0"/>
      <w:jc w:val="both"/>
    </w:pPr>
    <w:rPr>
      <w:rFonts w:ascii="Times New Roman" w:eastAsia="宋体" w:cs="Times New Roman" w:hAnsi="Times New Roman"/>
      <w:kern w:val="2"/>
      <w:sz w:val="21"/>
      <w:szCs w:val="24"/>
      <w:lang w:val="en-US" w:eastAsia="zh-CN" w:bidi="ar-SA"/>
    </w:rPr>
  </w:style>
  <w:style w:type="paragraph" w:customStyle="1" w:styleId="94">
    <w:name w:val="样式 2605 10 磅"/>
    <w:pPr>
      <w:widowControl w:val="0"/>
      <w:jc w:val="both"/>
    </w:pPr>
    <w:rPr>
      <w:rFonts w:ascii="Times New Roman" w:eastAsia="宋体" w:cs="Times New Roman" w:hAnsi="Times New Roman"/>
      <w:kern w:val="2"/>
      <w:sz w:val="21"/>
      <w:szCs w:val="24"/>
      <w:lang w:val="en-US" w:eastAsia="zh-CN" w:bidi="ar-SA"/>
    </w:rPr>
  </w:style>
  <w:style w:type="paragraph" w:customStyle="1" w:styleId="95">
    <w:name w:val="样式 3184 10 磅"/>
    <w:pPr>
      <w:widowControl w:val="0"/>
      <w:jc w:val="both"/>
    </w:pPr>
    <w:rPr>
      <w:rFonts w:ascii="Times New Roman" w:eastAsia="宋体" w:cs="Times New Roman" w:hAnsi="Times New Roman"/>
      <w:kern w:val="2"/>
      <w:sz w:val="21"/>
      <w:szCs w:val="24"/>
      <w:lang w:val="en-US" w:eastAsia="zh-CN" w:bidi="ar-SA"/>
    </w:rPr>
  </w:style>
  <w:style w:type="paragraph" w:customStyle="1" w:styleId="96">
    <w:name w:val="样式 3186 10 磅"/>
    <w:pPr>
      <w:widowControl w:val="0"/>
      <w:jc w:val="both"/>
    </w:pPr>
    <w:rPr>
      <w:rFonts w:ascii="Times New Roman" w:eastAsia="宋体" w:cs="Times New Roman" w:hAnsi="Times New Roman"/>
      <w:kern w:val="2"/>
      <w:sz w:val="21"/>
      <w:szCs w:val="24"/>
      <w:lang w:val="en-US" w:eastAsia="zh-CN" w:bidi="ar-SA"/>
    </w:rPr>
  </w:style>
  <w:style w:type="paragraph" w:customStyle="1" w:styleId="97">
    <w:name w:val="样式 3185 10 磅"/>
    <w:pPr>
      <w:widowControl w:val="0"/>
      <w:jc w:val="both"/>
    </w:pPr>
    <w:rPr>
      <w:rFonts w:ascii="Times New Roman" w:eastAsia="宋体" w:cs="Times New Roman" w:hAnsi="Times New Roman"/>
      <w:kern w:val="2"/>
      <w:sz w:val="21"/>
      <w:szCs w:val="24"/>
      <w:lang w:val="en-US" w:eastAsia="zh-CN" w:bidi="ar-SA"/>
    </w:rPr>
  </w:style>
  <w:style w:type="paragraph" w:customStyle="1" w:styleId="98">
    <w:name w:val="样式 3188 10 磅"/>
    <w:pPr>
      <w:widowControl w:val="0"/>
      <w:jc w:val="both"/>
    </w:pPr>
    <w:rPr>
      <w:rFonts w:ascii="Times New Roman" w:eastAsia="宋体" w:cs="Times New Roman" w:hAnsi="Times New Roman"/>
      <w:kern w:val="2"/>
      <w:sz w:val="21"/>
      <w:szCs w:val="24"/>
      <w:lang w:val="en-US" w:eastAsia="zh-CN" w:bidi="ar-SA"/>
    </w:rPr>
  </w:style>
  <w:style w:type="paragraph" w:customStyle="1" w:styleId="99">
    <w:name w:val="样式 3187 10 磅"/>
    <w:pPr>
      <w:widowControl w:val="0"/>
      <w:jc w:val="both"/>
    </w:pPr>
    <w:rPr>
      <w:rFonts w:ascii="Times New Roman" w:eastAsia="宋体" w:cs="Times New Roman" w:hAnsi="Times New Roman"/>
      <w:kern w:val="2"/>
      <w:sz w:val="21"/>
      <w:szCs w:val="24"/>
      <w:lang w:val="en-US" w:eastAsia="zh-CN" w:bidi="ar-SA"/>
    </w:rPr>
  </w:style>
  <w:style w:type="paragraph" w:customStyle="1" w:styleId="100">
    <w:name w:val="样式 3189 10 磅"/>
    <w:pPr>
      <w:widowControl w:val="0"/>
      <w:jc w:val="both"/>
    </w:pPr>
    <w:rPr>
      <w:rFonts w:ascii="Times New Roman" w:eastAsia="宋体" w:cs="Times New Roman" w:hAnsi="Times New Roman"/>
      <w:kern w:val="2"/>
      <w:sz w:val="21"/>
      <w:szCs w:val="24"/>
      <w:lang w:val="en-US" w:eastAsia="zh-CN" w:bidi="ar-SA"/>
    </w:rPr>
  </w:style>
  <w:style w:type="paragraph" w:customStyle="1" w:styleId="101">
    <w:name w:val="样式 3190 10 磅"/>
    <w:pPr>
      <w:widowControl w:val="0"/>
      <w:jc w:val="both"/>
    </w:pPr>
    <w:rPr>
      <w:rFonts w:ascii="Times New Roman" w:eastAsia="宋体" w:cs="Times New Roman" w:hAnsi="Times New Roman"/>
      <w:kern w:val="2"/>
      <w:sz w:val="21"/>
      <w:szCs w:val="24"/>
      <w:lang w:val="en-US" w:eastAsia="zh-CN" w:bidi="ar-SA"/>
    </w:rPr>
  </w:style>
  <w:style w:type="paragraph" w:customStyle="1" w:styleId="102">
    <w:name w:val="样式 3191 10 磅"/>
    <w:pPr>
      <w:widowControl w:val="0"/>
      <w:jc w:val="both"/>
    </w:pPr>
    <w:rPr>
      <w:rFonts w:ascii="Times New Roman" w:eastAsia="宋体" w:cs="Times New Roman" w:hAnsi="Times New Roman"/>
      <w:kern w:val="2"/>
      <w:sz w:val="21"/>
      <w:szCs w:val="24"/>
      <w:lang w:val="en-US" w:eastAsia="zh-CN" w:bidi="ar-SA"/>
    </w:rPr>
  </w:style>
  <w:style w:type="paragraph" w:customStyle="1" w:styleId="103">
    <w:name w:val="样式 3192 10 磅"/>
    <w:pPr>
      <w:widowControl w:val="0"/>
      <w:jc w:val="both"/>
    </w:pPr>
    <w:rPr>
      <w:rFonts w:ascii="Times New Roman" w:eastAsia="宋体" w:cs="Times New Roman" w:hAnsi="Times New Roman"/>
      <w:kern w:val="2"/>
      <w:sz w:val="21"/>
      <w:szCs w:val="24"/>
      <w:lang w:val="en-US" w:eastAsia="zh-CN" w:bidi="ar-SA"/>
    </w:rPr>
  </w:style>
  <w:style w:type="paragraph" w:customStyle="1" w:styleId="104">
    <w:name w:val="样式 3193 10 磅"/>
    <w:pPr>
      <w:widowControl w:val="0"/>
      <w:jc w:val="both"/>
    </w:pPr>
    <w:rPr>
      <w:rFonts w:ascii="Times New Roman" w:eastAsia="宋体" w:cs="Times New Roman" w:hAnsi="Times New Roman"/>
      <w:kern w:val="2"/>
      <w:sz w:val="21"/>
      <w:szCs w:val="24"/>
      <w:lang w:val="en-US" w:eastAsia="zh-CN" w:bidi="ar-SA"/>
    </w:rPr>
  </w:style>
  <w:style w:type="paragraph" w:customStyle="1" w:styleId="105">
    <w:name w:val="样式 3194 10 磅"/>
    <w:pPr>
      <w:widowControl w:val="0"/>
      <w:jc w:val="both"/>
    </w:pPr>
    <w:rPr>
      <w:rFonts w:ascii="Times New Roman" w:eastAsia="宋体" w:cs="Times New Roman" w:hAnsi="Times New Roman"/>
      <w:kern w:val="2"/>
      <w:sz w:val="21"/>
      <w:szCs w:val="24"/>
      <w:lang w:val="en-US" w:eastAsia="zh-CN" w:bidi="ar-SA"/>
    </w:rPr>
  </w:style>
  <w:style w:type="paragraph" w:customStyle="1" w:styleId="106">
    <w:name w:val="样式 3195 10 磅"/>
    <w:pPr>
      <w:widowControl w:val="0"/>
      <w:jc w:val="both"/>
    </w:pPr>
    <w:rPr>
      <w:rFonts w:ascii="Times New Roman" w:eastAsia="宋体" w:cs="Times New Roman" w:hAnsi="Times New Roman"/>
      <w:kern w:val="2"/>
      <w:sz w:val="21"/>
      <w:szCs w:val="24"/>
      <w:lang w:val="en-US" w:eastAsia="zh-CN" w:bidi="ar-SA"/>
    </w:rPr>
  </w:style>
  <w:style w:type="paragraph" w:customStyle="1" w:styleId="107">
    <w:name w:val="样式 2602 10 磅"/>
    <w:pPr>
      <w:widowControl w:val="0"/>
      <w:jc w:val="both"/>
    </w:pPr>
    <w:rPr>
      <w:rFonts w:ascii="Times New Roman" w:eastAsia="宋体" w:cs="Times New Roman" w:hAnsi="Times New Roman"/>
      <w:kern w:val="2"/>
      <w:sz w:val="21"/>
      <w:szCs w:val="24"/>
      <w:lang w:val="en-US" w:eastAsia="zh-CN" w:bidi="ar-SA"/>
    </w:rPr>
  </w:style>
  <w:style w:type="paragraph" w:customStyle="1" w:styleId="108">
    <w:name w:val="样式 3196 10 磅"/>
    <w:pPr>
      <w:widowControl w:val="0"/>
      <w:jc w:val="both"/>
    </w:pPr>
    <w:rPr>
      <w:rFonts w:ascii="Times New Roman" w:eastAsia="宋体" w:cs="Times New Roman" w:hAnsi="Times New Roman"/>
      <w:kern w:val="2"/>
      <w:sz w:val="21"/>
      <w:szCs w:val="24"/>
      <w:lang w:val="en-US" w:eastAsia="zh-CN" w:bidi="ar-SA"/>
    </w:rPr>
  </w:style>
  <w:style w:type="paragraph" w:customStyle="1" w:styleId="109">
    <w:name w:val="样式 68 10 磅"/>
    <w:pPr>
      <w:widowControl w:val="0"/>
      <w:jc w:val="both"/>
    </w:pPr>
    <w:rPr>
      <w:rFonts w:ascii="Times New Roman" w:eastAsia="宋体" w:cs="Times New Roman" w:hAnsi="Times New Roman"/>
      <w:kern w:val="2"/>
      <w:sz w:val="21"/>
      <w:szCs w:val="24"/>
      <w:lang w:val="en-US" w:eastAsia="zh-CN" w:bidi="ar-SA"/>
    </w:rPr>
  </w:style>
  <w:style w:type="paragraph" w:customStyle="1" w:styleId="110">
    <w:name w:val="样式 69 10 磅"/>
    <w:pPr>
      <w:widowControl w:val="0"/>
      <w:jc w:val="both"/>
    </w:pPr>
    <w:rPr>
      <w:rFonts w:ascii="Times New Roman" w:eastAsia="宋体" w:cs="Times New Roman" w:hAnsi="Times New Roman"/>
      <w:kern w:val="2"/>
      <w:sz w:val="21"/>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2.jpeg"/><Relationship Id="rId3" Type="http://schemas.openxmlformats.org/officeDocument/2006/relationships/footer" Target="footer1.xml"/><Relationship Id="rId4" Type="http://schemas.openxmlformats.org/officeDocument/2006/relationships/image" Target="media/8.gif"/><Relationship Id="rId5" Type="http://schemas.openxmlformats.org/officeDocument/2006/relationships/image" Target="media/11.gif"/><Relationship Id="rId6" Type="http://schemas.openxmlformats.org/officeDocument/2006/relationships/image" Target="media/14.gif"/><Relationship Id="rId7" Type="http://schemas.openxmlformats.org/officeDocument/2006/relationships/image" Target="media/17.gif"/><Relationship Id="rId8" Type="http://schemas.openxmlformats.org/officeDocument/2006/relationships/styles" Target="styles.xml"/><Relationship Id="rId9" Type="http://schemas.openxmlformats.org/officeDocument/2006/relationships/fontTable" Target="fontTable.xml"/></Relationships>
</file>

<file path=docProps/app.xml><?xml version="1.0" encoding="utf-8"?>
<Properties xmlns="http://schemas.openxmlformats.org/officeDocument/2006/extended-properties">
  <Template>Normal.eit</Template>
  <TotalTime>1615</TotalTime>
  <Application>Yozo_Office</Application>
  <Pages>49</Pages>
  <Words>14550</Words>
  <Characters>18598</Characters>
  <Lines>2583</Lines>
  <Paragraphs>1766</Paragraphs>
  <CharactersWithSpaces>19926</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lenovo</dc:creator>
  <cp:lastModifiedBy>曾得源</cp:lastModifiedBy>
  <cp:revision>171</cp:revision>
  <cp:lastPrinted>2023-05-12T06:16:59Z</cp:lastPrinted>
  <dcterms:created xsi:type="dcterms:W3CDTF">2023-03-22T01:35:00Z</dcterms:created>
  <dcterms:modified xsi:type="dcterms:W3CDTF">2024-04-12T09:25:57Z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2052-11.1.0.13703</vt:lpwstr>
  </property>
  <property fmtid="{D5CDD505-2E9C-101B-9397-08002B2CF9AE}" pid="3" name="ICV">
    <vt:lpwstr>549C4AFD17B24936AA0EF0C3A256E8AB</vt:lpwstr>
  </property>
</Properties>
</file>