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in" ContentType="application/vnd.openxmlformats-officedocument.oleObject"/>
  <Default Extension="emf" ContentType="image/emf"/>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4"/>
        <w:ind w:left="890" w:right="890"/>
        <w:jc w:val="center"/>
        <w:rPr>
          <w:rFonts w:ascii="Times New Roman" w:eastAsia="黑体" w:cs="Times New Roman" w:hAnsi="Times New Roman" w:hint="eastAsia"/>
          <w:sz w:val="48"/>
          <w:szCs w:val="48"/>
          <w:lang w:bidi="ar-SA"/>
        </w:rPr>
      </w:pPr>
      <w:bookmarkStart w:id="0" w:name="_GoBack"/>
      <w:bookmarkEnd w:id="0"/>
      <w:r>
        <w:rPr>
          <w:rFonts w:ascii="Times New Roman" w:eastAsia="黑体" w:cs="Times New Roman" w:hAnsi="Times New Roman" w:hint="eastAsia"/>
          <w:sz w:val="48"/>
          <w:szCs w:val="48"/>
          <w:lang w:bidi="ar-SA"/>
        </w:rPr>
        <w:t>202</w:t>
      </w:r>
      <w:r>
        <w:rPr>
          <w:rFonts w:ascii="Times New Roman" w:eastAsia="黑体" w:cs="Times New Roman" w:hAnsi="Times New Roman"/>
          <w:sz w:val="48"/>
          <w:szCs w:val="48"/>
          <w:lang w:bidi="ar-SA"/>
        </w:rPr>
        <w:t>5</w:t>
      </w:r>
      <w:r>
        <w:rPr>
          <w:rFonts w:ascii="Times New Roman" w:eastAsia="黑体" w:cs="Times New Roman" w:hAnsi="Times New Roman" w:hint="eastAsia"/>
          <w:sz w:val="48"/>
          <w:szCs w:val="48"/>
          <w:lang w:bidi="ar-SA"/>
        </w:rPr>
        <w:t>年度</w:t>
      </w:r>
    </w:p>
    <w:p>
      <w:pPr>
        <w:pStyle w:val="24"/>
        <w:ind w:left="890" w:right="890"/>
        <w:jc w:val="center"/>
        <w:rPr>
          <w:rFonts w:ascii="Times New Roman" w:eastAsia="黑体" w:cs="Times New Roman" w:hAnsi="Times New Roman" w:hint="eastAsia"/>
          <w:sz w:val="48"/>
          <w:szCs w:val="48"/>
          <w:lang w:bidi="ar-SA"/>
        </w:rPr>
      </w:pPr>
    </w:p>
    <w:p>
      <w:pPr>
        <w:pStyle w:val="24"/>
        <w:ind w:leftChars="114" w:left="3119" w:right="890" w:hangingChars="600" w:hanging="2880"/>
        <w:jc w:val="both"/>
        <w:rPr>
          <w:rFonts w:ascii="Times New Roman" w:eastAsia="黑体" w:cs="Times New Roman" w:hAnsi="Times New Roman" w:hint="eastAsia"/>
          <w:sz w:val="48"/>
          <w:szCs w:val="48"/>
          <w:lang w:bidi="ar-SA"/>
        </w:rPr>
      </w:pPr>
      <w:r>
        <w:rPr>
          <w:rFonts w:ascii="Times New Roman" w:eastAsia="黑体" w:cs="Times New Roman" w:hAnsi="Times New Roman" w:hint="eastAsia"/>
          <w:sz w:val="48"/>
          <w:szCs w:val="48"/>
          <w:lang w:bidi="ar-SA"/>
        </w:rPr>
        <w:t>呼和浩特国际旅行卫生保健中心部门决算</w:t>
      </w:r>
    </w:p>
    <w:p>
      <w:pPr>
        <w:pStyle w:val="24"/>
        <w:ind w:left="890" w:right="890"/>
        <w:jc w:val="center"/>
        <w:rPr>
          <w:rFonts w:ascii="Times New Roman" w:eastAsia="黑体" w:cs="Times New Roman" w:hAnsi="Times New Roman"/>
          <w:sz w:val="48"/>
          <w:szCs w:val="48"/>
          <w:lang w:bidi="ar-SA"/>
        </w:rPr>
      </w:pPr>
    </w:p>
    <w:p>
      <w:pPr>
        <w:pStyle w:val="24"/>
        <w:ind w:left="890" w:right="890"/>
        <w:jc w:val="center"/>
        <w:rPr>
          <w:rFonts w:ascii="Times New Roman" w:eastAsia="黑体" w:cs="Times New Roman" w:hAnsi="Times New Roman"/>
          <w:sz w:val="48"/>
          <w:szCs w:val="48"/>
          <w:lang w:bidi="ar-SA"/>
        </w:rPr>
      </w:pPr>
    </w:p>
    <w:p>
      <w:pPr>
        <w:pStyle w:val="24"/>
        <w:ind w:left="890" w:right="890"/>
        <w:jc w:val="center"/>
        <w:rPr>
          <w:rFonts w:ascii="Times New Roman" w:eastAsia="黑体" w:cs="Times New Roman" w:hAnsi="Times New Roman"/>
          <w:sz w:val="48"/>
          <w:szCs w:val="48"/>
          <w:lang w:bidi="ar-SA"/>
        </w:rPr>
      </w:pPr>
    </w:p>
    <w:p>
      <w:pPr>
        <w:pStyle w:val="24"/>
        <w:ind w:left="890" w:right="890"/>
        <w:jc w:val="center"/>
        <w:rPr>
          <w:rFonts w:ascii="Times New Roman" w:eastAsia="黑体" w:cs="Times New Roman" w:hAnsi="Times New Roman"/>
          <w:sz w:val="48"/>
          <w:szCs w:val="48"/>
          <w:lang w:bidi="ar-SA"/>
        </w:rPr>
      </w:pPr>
    </w:p>
    <w:p>
      <w:pPr>
        <w:pStyle w:val="24"/>
        <w:ind w:left="890" w:right="890"/>
        <w:jc w:val="center"/>
        <w:rPr>
          <w:rFonts w:ascii="Times New Roman" w:eastAsia="黑体" w:cs="Times New Roman" w:hAnsi="Times New Roman"/>
          <w:sz w:val="48"/>
          <w:szCs w:val="48"/>
          <w:lang w:bidi="ar-SA"/>
        </w:rPr>
      </w:pPr>
    </w:p>
    <w:p>
      <w:pPr>
        <w:pStyle w:val="24"/>
        <w:ind w:left="890" w:right="890"/>
        <w:jc w:val="center"/>
        <w:rPr>
          <w:rFonts w:ascii="Times New Roman" w:eastAsia="黑体" w:cs="Times New Roman" w:hAnsi="Times New Roman"/>
          <w:sz w:val="48"/>
          <w:szCs w:val="48"/>
          <w:lang w:bidi="ar-SA"/>
        </w:rPr>
      </w:pPr>
    </w:p>
    <w:p>
      <w:pPr>
        <w:pStyle w:val="24"/>
        <w:ind w:left="890" w:right="890"/>
        <w:jc w:val="center"/>
        <w:rPr>
          <w:rFonts w:ascii="方正隶书_GBK" w:eastAsia="方正隶书_GBK" w:cs="方正隶书_GBK" w:hint="eastAsia"/>
          <w:color w:val="000080"/>
          <w:sz w:val="96"/>
          <w:szCs w:val="96"/>
          <w:lang w:bidi="ar-SA"/>
        </w:rPr>
      </w:pPr>
    </w:p>
    <w:p>
      <w:pPr>
        <w:pStyle w:val="25"/>
        <w:tabs>
          <w:tab w:val="left" w:pos="1720"/>
          <w:tab w:val="right" w:leader="dot" w:pos="8625"/>
        </w:tabs>
        <w:spacing w:before="0" w:line="560" w:lineRule="exact"/>
        <w:ind w:left="119"/>
        <w:jc w:val="center"/>
        <w:rPr>
          <w:rFonts w:eastAsia="黑体" w:cs="Times New Roman"/>
          <w:sz w:val="56"/>
          <w:szCs w:val="56"/>
          <w:lang w:bidi="ar-SA"/>
        </w:rPr>
      </w:pPr>
      <w:r>
        <w:rPr>
          <w:rFonts w:eastAsia="方正小标宋_GBK"/>
          <w:sz w:val="44"/>
          <w:szCs w:val="44"/>
        </w:rPr>
        <w:br w:type="page"/>
      </w:r>
      <w:r>
        <w:rPr>
          <w:rFonts w:eastAsia="黑体" w:cs="Times New Roman"/>
          <w:sz w:val="56"/>
          <w:szCs w:val="56"/>
          <w:lang w:bidi="ar-SA"/>
        </w:rPr>
        <w:t>目  录</w:t>
      </w:r>
    </w:p>
    <w:p>
      <w:pPr>
        <w:pStyle w:val="25"/>
        <w:tabs>
          <w:tab w:val="left" w:pos="1720"/>
          <w:tab w:val="right" w:leader="dot" w:pos="8625"/>
        </w:tabs>
        <w:spacing w:before="0" w:line="560" w:lineRule="exact"/>
        <w:ind w:left="119"/>
        <w:jc w:val="center"/>
        <w:rPr>
          <w:rFonts w:eastAsia="黑体" w:cs="Times New Roman"/>
          <w:sz w:val="56"/>
          <w:szCs w:val="56"/>
          <w:lang w:bidi="ar-SA"/>
        </w:rPr>
      </w:pPr>
    </w:p>
    <w:p>
      <w:pPr>
        <w:pStyle w:val="25"/>
        <w:tabs>
          <w:tab w:val="left" w:pos="1720"/>
          <w:tab w:val="right" w:leader="dot" w:pos="8625"/>
        </w:tabs>
        <w:spacing w:before="0" w:line="560" w:lineRule="exact"/>
        <w:ind w:left="119"/>
        <w:rPr>
          <w:rFonts w:ascii="Times New Roman" w:eastAsia="Arial" w:cs="Times New Roman" w:hAnsi="Times New Roman"/>
          <w:lang w:bidi="ar-SA"/>
        </w:rPr>
      </w:pPr>
      <w:r>
        <w:rPr>
          <w:rFonts w:ascii="Times New Roman" w:eastAsia="黑体" w:cs="Times New Roman" w:hAnsi="Times New Roman"/>
          <w:w w:val="95"/>
          <w:lang w:bidi="ar-SA"/>
        </w:rPr>
        <w:t>第一部分</w:t>
        <w:tab/>
      </w:r>
      <w:r>
        <w:rPr>
          <w:rFonts w:ascii="Times New Roman" w:eastAsia="黑体" w:cs="Times New Roman" w:hAnsi="Times New Roman"/>
          <w:lang w:bidi="ar-SA"/>
        </w:rPr>
        <w:t>呼和浩特</w:t>
      </w:r>
      <w:r>
        <w:rPr>
          <w:rFonts w:ascii="Times New Roman" w:eastAsia="黑体" w:cs="Times New Roman" w:hAnsi="Times New Roman" w:hint="eastAsia"/>
          <w:lang w:bidi="ar-SA"/>
        </w:rPr>
        <w:t>国际旅行卫生保健中心</w:t>
      </w:r>
      <w:r>
        <w:rPr>
          <w:rFonts w:ascii="Times New Roman" w:eastAsia="黑体" w:cs="Times New Roman" w:hAnsi="Times New Roman"/>
          <w:lang w:bidi="ar-SA"/>
        </w:rPr>
        <w:t>概况</w:t>
      </w:r>
    </w:p>
    <w:p>
      <w:pPr>
        <w:pStyle w:val="25"/>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一、单位职责</w:t>
      </w:r>
    </w:p>
    <w:p>
      <w:pPr>
        <w:pStyle w:val="25"/>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二、机构设置</w:t>
      </w:r>
    </w:p>
    <w:p>
      <w:pPr>
        <w:pStyle w:val="25"/>
        <w:tabs>
          <w:tab w:val="left" w:pos="1720"/>
          <w:tab w:val="right" w:leader="dot" w:pos="8625"/>
        </w:tabs>
        <w:spacing w:before="0" w:line="560" w:lineRule="exact"/>
        <w:ind w:left="119"/>
        <w:rPr>
          <w:rFonts w:ascii="Times New Roman" w:eastAsia="Arial" w:cs="Times New Roman" w:hAnsi="Times New Roman"/>
          <w:lang w:bidi="ar-SA"/>
        </w:rPr>
      </w:pPr>
      <w:r>
        <w:rPr>
          <w:rFonts w:ascii="Times New Roman" w:eastAsia="黑体" w:cs="Times New Roman" w:hAnsi="Times New Roman"/>
          <w:w w:val="95"/>
          <w:lang w:bidi="ar-SA"/>
        </w:rPr>
        <w:t>第二部分</w:t>
        <w:tab/>
      </w:r>
      <w:r>
        <w:rPr>
          <w:rFonts w:ascii="Times New Roman" w:eastAsia="黑体" w:cs="Times New Roman" w:hAnsi="Times New Roman"/>
          <w:lang w:bidi="ar-SA"/>
        </w:rPr>
        <w:t>2025年度部门决算表</w:t>
      </w:r>
    </w:p>
    <w:p>
      <w:pPr>
        <w:pStyle w:val="25"/>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一、收入支出决算总表</w:t>
      </w:r>
    </w:p>
    <w:p>
      <w:pPr>
        <w:pStyle w:val="25"/>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二、收入决算表</w:t>
      </w:r>
    </w:p>
    <w:p>
      <w:pPr>
        <w:pStyle w:val="25"/>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三、支出决算表</w:t>
      </w:r>
    </w:p>
    <w:p>
      <w:pPr>
        <w:pStyle w:val="25"/>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四、财政拨款收入支出决算总表</w:t>
      </w:r>
    </w:p>
    <w:p>
      <w:pPr>
        <w:pStyle w:val="25"/>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五、一般公共预算财政拨款支出决算表</w:t>
      </w:r>
    </w:p>
    <w:p>
      <w:pPr>
        <w:pStyle w:val="25"/>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六、一般公共预算财政拨款基本支出决算明细表</w:t>
      </w:r>
    </w:p>
    <w:p>
      <w:pPr>
        <w:pStyle w:val="25"/>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七、政府性基金预算财政拨款收入支出决算表</w:t>
      </w:r>
    </w:p>
    <w:p>
      <w:pPr>
        <w:pStyle w:val="25"/>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八、国有资本经营预算财政拨款支出决算表</w:t>
      </w:r>
    </w:p>
    <w:p>
      <w:pPr>
        <w:pStyle w:val="25"/>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九、财政拨款“三公”经费支出决算表</w:t>
      </w:r>
    </w:p>
    <w:p>
      <w:pPr>
        <w:pStyle w:val="26"/>
        <w:tabs>
          <w:tab w:val="left" w:pos="1720"/>
          <w:tab w:val="right" w:leader="dot" w:pos="8625"/>
        </w:tabs>
        <w:spacing w:before="0" w:line="560" w:lineRule="exact"/>
        <w:rPr>
          <w:rFonts w:ascii="Times New Roman" w:eastAsia="Arial" w:cs="Times New Roman" w:hAnsi="Times New Roman"/>
          <w:lang w:bidi="ar-SA"/>
        </w:rPr>
      </w:pPr>
      <w:r>
        <w:rPr>
          <w:rFonts w:ascii="Times New Roman" w:eastAsia="黑体" w:cs="Times New Roman" w:hAnsi="Times New Roman"/>
          <w:w w:val="95"/>
          <w:lang w:bidi="ar-SA"/>
        </w:rPr>
        <w:t>第三部分</w:t>
        <w:tab/>
      </w:r>
      <w:r>
        <w:rPr>
          <w:rFonts w:ascii="Times New Roman" w:eastAsia="黑体" w:cs="Times New Roman" w:hAnsi="Times New Roman"/>
          <w:lang w:bidi="ar-SA"/>
        </w:rPr>
        <w:t>2025年度部门决算情况说明</w:t>
      </w:r>
    </w:p>
    <w:p>
      <w:pPr>
        <w:pStyle w:val="26"/>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一、收入支出决算总体情况说明</w:t>
      </w:r>
    </w:p>
    <w:p>
      <w:pPr>
        <w:pStyle w:val="26"/>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二、收入决算情况说明</w:t>
      </w:r>
    </w:p>
    <w:p>
      <w:pPr>
        <w:pStyle w:val="26"/>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三、支出决算情况说明</w:t>
      </w:r>
    </w:p>
    <w:p>
      <w:pPr>
        <w:pStyle w:val="26"/>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四、财政拨款收入支出决算总体情况说明</w:t>
      </w:r>
    </w:p>
    <w:p>
      <w:pPr>
        <w:pStyle w:val="26"/>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五、一般公共预算财政拨款支出决算情况说明</w:t>
      </w:r>
    </w:p>
    <w:p>
      <w:pPr>
        <w:pStyle w:val="26"/>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六、一般公共预算财政拨款基本支出决算情况说明</w:t>
      </w:r>
    </w:p>
    <w:p>
      <w:pPr>
        <w:pStyle w:val="26"/>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七、政府性基金预算财政拨款支出决算情况说明</w:t>
      </w:r>
    </w:p>
    <w:p>
      <w:pPr>
        <w:pStyle w:val="26"/>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八、财政拨款“三公”经费支出决算情况说明</w:t>
      </w:r>
    </w:p>
    <w:p>
      <w:pPr>
        <w:pStyle w:val="26"/>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九、机关运行经费支出说明</w:t>
      </w:r>
    </w:p>
    <w:p>
      <w:pPr>
        <w:pStyle w:val="26"/>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十、政府采购支出说明</w:t>
      </w:r>
    </w:p>
    <w:p>
      <w:pPr>
        <w:pStyle w:val="26"/>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十一、国有资产占用情况说明</w:t>
      </w:r>
    </w:p>
    <w:p>
      <w:pPr>
        <w:pStyle w:val="26"/>
        <w:tabs>
          <w:tab w:val="right" w:leader="dot" w:pos="8613"/>
        </w:tabs>
        <w:spacing w:before="0" w:line="560" w:lineRule="exact"/>
        <w:ind w:left="119"/>
        <w:rPr>
          <w:rFonts w:ascii="方正仿宋_GBK" w:eastAsia="方正仿宋_GBK" w:cs="方正仿宋_GBK" w:hint="eastAsia"/>
          <w:lang w:bidi="ar-SA"/>
        </w:rPr>
      </w:pPr>
      <w:r>
        <w:rPr>
          <w:rFonts w:ascii="方正仿宋_GBK" w:eastAsia="方正仿宋_GBK" w:cs="方正仿宋_GBK" w:hint="eastAsia"/>
          <w:lang w:bidi="ar-SA"/>
        </w:rPr>
        <w:t>十二、关于</w:t>
      </w:r>
      <w:r>
        <w:rPr>
          <w:rFonts w:ascii="Times New Roman" w:eastAsia="方正仿宋_GBK" w:cs="Times New Roman" w:hAnsi="Times New Roman"/>
          <w:lang w:bidi="ar-SA"/>
        </w:rPr>
        <w:t>2025年</w:t>
      </w:r>
      <w:r>
        <w:rPr>
          <w:rFonts w:ascii="方正仿宋_GBK" w:eastAsia="方正仿宋_GBK" w:cs="方正仿宋_GBK" w:hint="eastAsia"/>
          <w:lang w:bidi="ar-SA"/>
        </w:rPr>
        <w:t>度绩效评价情况的说明</w:t>
      </w:r>
    </w:p>
    <w:p>
      <w:pPr>
        <w:pStyle w:val="26"/>
        <w:tabs>
          <w:tab w:val="right" w:leader="dot" w:pos="8613"/>
        </w:tabs>
        <w:spacing w:before="0" w:line="560" w:lineRule="exact"/>
        <w:ind w:left="119"/>
        <w:rPr>
          <w:rFonts w:ascii="Times New Roman" w:eastAsia="黑体" w:cs="Times New Roman" w:hAnsi="Times New Roman"/>
          <w:lang w:bidi="ar-SA"/>
        </w:rPr>
      </w:pPr>
      <w:r>
        <w:rPr>
          <w:rFonts w:ascii="Times New Roman" w:eastAsia="黑体" w:cs="Times New Roman" w:hAnsi="Times New Roman"/>
          <w:w w:val="95"/>
          <w:lang w:bidi="ar-SA"/>
        </w:rPr>
        <w:t xml:space="preserve">第四部分   </w:t>
      </w:r>
      <w:r>
        <w:rPr>
          <w:rFonts w:ascii="Times New Roman" w:eastAsia="黑体" w:cs="Times New Roman" w:hAnsi="Times New Roman"/>
          <w:lang w:bidi="ar-SA"/>
        </w:rPr>
        <w:t>名词解释</w:t>
      </w:r>
    </w:p>
    <w:p>
      <w:pPr>
        <w:pStyle w:val="15"/>
        <w:tabs>
          <w:tab w:val="right" w:leader="dot" w:pos="8312"/>
        </w:tabs>
        <w:rPr>
          <w:rFonts w:ascii="方正仿宋_GBK" w:eastAsia="方正仿宋_GBK" w:hint="eastAsia"/>
          <w:sz w:val="32"/>
          <w:szCs w:val="32"/>
        </w:rPr>
      </w:pPr>
    </w:p>
    <w:p>
      <w:pPr>
        <w:rPr>
          <w:rFonts w:ascii="方正仿宋_GBK" w:eastAsia="方正仿宋_GBK" w:hint="eastAsia"/>
          <w:sz w:val="32"/>
          <w:szCs w:val="32"/>
        </w:rPr>
      </w:pPr>
    </w:p>
    <w:p>
      <w:pPr>
        <w:autoSpaceDN w:val="0"/>
        <w:rPr>
          <w:rFonts w:ascii="方正仿宋_GBK" w:eastAsia="方正仿宋_GBK" w:hint="eastAsia"/>
          <w:sz w:val="32"/>
          <w:szCs w:val="32"/>
        </w:rPr>
        <w:sectPr>
          <w:footerReference w:type="default" r:id="rId2"/>
          <w:footerReference w:type="even" r:id="rId3"/>
          <w:footerReference w:type="first" r:id="rId4"/>
          <w:pgSz w:w="11907" w:h="16840"/>
          <w:pgMar w:top="1440" w:right="1797" w:bottom="1440" w:left="1797" w:header="851" w:footer="992" w:gutter="0"/>
          <w:pgNumType w:start="1"/>
          <w:titlePg/>
          <w:docGrid w:type="lines" w:linePitch="312" w:charSpace="0"/>
        </w:sectPr>
      </w:pPr>
    </w:p>
    <w:p>
      <w:pPr>
        <w:pStyle w:val="1"/>
        <w:jc w:val="center"/>
        <w:rPr>
          <w:rFonts w:ascii="方正黑体_GBK" w:eastAsia="方正黑体_GBK" w:hint="eastAsia"/>
          <w:b w:val="0"/>
          <w:bCs w:val="0"/>
          <w:sz w:val="84"/>
          <w:szCs w:val="84"/>
        </w:rPr>
      </w:pPr>
      <w:bookmarkStart w:id="1" w:name="_Toc142905244"/>
      <w:bookmarkStart w:id="2" w:name="_Toc21085165"/>
      <w:bookmarkStart w:id="3" w:name="_Toc73694367"/>
    </w:p>
    <w:p>
      <w:pPr>
        <w:pStyle w:val="1"/>
        <w:jc w:val="center"/>
        <w:rPr>
          <w:rFonts w:ascii="方正黑体_GBK" w:eastAsia="方正黑体_GBK" w:hint="eastAsia"/>
          <w:b w:val="0"/>
          <w:bCs w:val="0"/>
          <w:sz w:val="84"/>
          <w:szCs w:val="84"/>
        </w:rPr>
      </w:pPr>
    </w:p>
    <w:p>
      <w:pPr>
        <w:pStyle w:val="1"/>
        <w:jc w:val="center"/>
        <w:rPr>
          <w:rFonts w:ascii="方正黑体_GBK" w:eastAsia="方正黑体_GBK" w:hint="eastAsia"/>
          <w:b w:val="0"/>
          <w:bCs w:val="0"/>
          <w:sz w:val="84"/>
          <w:szCs w:val="84"/>
        </w:rPr>
      </w:pPr>
    </w:p>
    <w:p>
      <w:pPr>
        <w:pStyle w:val="1"/>
        <w:jc w:val="center"/>
        <w:rPr>
          <w:rFonts w:ascii="方正黑体_GBK" w:eastAsia="方正黑体_GBK" w:hint="eastAsia"/>
          <w:b w:val="0"/>
          <w:bCs w:val="0"/>
          <w:sz w:val="84"/>
          <w:szCs w:val="84"/>
        </w:rPr>
      </w:pPr>
      <w:r>
        <w:rPr>
          <w:rFonts w:ascii="方正黑体_GBK" w:eastAsia="方正黑体_GBK" w:hint="eastAsia"/>
          <w:b w:val="0"/>
          <w:bCs w:val="0"/>
          <w:sz w:val="84"/>
          <w:szCs w:val="84"/>
        </w:rPr>
        <w:t>第一部分</w:t>
      </w:r>
      <w:bookmarkEnd w:id="1"/>
      <w:bookmarkEnd w:id="2"/>
      <w:bookmarkEnd w:id="3"/>
    </w:p>
    <w:p>
      <w:pPr>
        <w:pStyle w:val="1"/>
        <w:jc w:val="center"/>
        <w:rPr>
          <w:rFonts w:ascii="方正黑体_GBK" w:eastAsia="方正黑体_GBK" w:hint="eastAsia"/>
          <w:b w:val="0"/>
          <w:bCs w:val="0"/>
          <w:sz w:val="84"/>
          <w:szCs w:val="84"/>
        </w:rPr>
      </w:pPr>
      <w:bookmarkStart w:id="4" w:name="_Toc73694368"/>
      <w:r>
        <w:rPr>
          <w:rFonts w:ascii="方正黑体_GBK" w:eastAsia="方正黑体_GBK" w:hint="eastAsia"/>
          <w:b w:val="0"/>
          <w:bCs w:val="0"/>
          <w:sz w:val="84"/>
          <w:szCs w:val="84"/>
        </w:rPr>
        <w:t>呼和浩特国际旅行卫生保健中心概况</w:t>
      </w:r>
      <w:bookmarkEnd w:id="4"/>
    </w:p>
    <w:p/>
    <w:p>
      <w:pPr>
        <w:autoSpaceDN w:val="0"/>
        <w:rPr>
          <w:sz w:val="32"/>
          <w:szCs w:val="32"/>
        </w:rPr>
      </w:pPr>
    </w:p>
    <w:p>
      <w:pPr>
        <w:autoSpaceDN w:val="0"/>
        <w:rPr>
          <w:sz w:val="32"/>
          <w:szCs w:val="32"/>
        </w:rPr>
      </w:pPr>
    </w:p>
    <w:p>
      <w:pPr>
        <w:autoSpaceDN w:val="0"/>
        <w:rPr>
          <w:sz w:val="32"/>
          <w:szCs w:val="32"/>
        </w:rPr>
      </w:pPr>
    </w:p>
    <w:p>
      <w:pPr>
        <w:autoSpaceDN w:val="0"/>
        <w:rPr>
          <w:sz w:val="32"/>
          <w:szCs w:val="32"/>
        </w:rPr>
      </w:pPr>
    </w:p>
    <w:p>
      <w:pPr>
        <w:autoSpaceDN w:val="0"/>
        <w:rPr>
          <w:sz w:val="32"/>
          <w:szCs w:val="32"/>
        </w:rPr>
      </w:pPr>
    </w:p>
    <w:p>
      <w:pPr>
        <w:autoSpaceDN w:val="0"/>
        <w:rPr>
          <w:rFonts w:hint="eastAsia"/>
          <w:sz w:val="32"/>
          <w:szCs w:val="32"/>
        </w:rPr>
      </w:pPr>
    </w:p>
    <w:p>
      <w:pPr>
        <w:pStyle w:val="27"/>
        <w:snapToGrid w:val="0"/>
        <w:spacing w:before="0" w:after="0" w:line="560" w:lineRule="exact"/>
        <w:ind w:firstLineChars="200" w:firstLine="640"/>
        <w:rPr>
          <w:rFonts w:ascii="方正黑体_GBK" w:eastAsia="方正黑体_GBK" w:hint="eastAsia"/>
          <w:b w:val="0"/>
          <w:bCs w:val="0"/>
        </w:rPr>
      </w:pPr>
      <w:bookmarkStart w:id="5" w:name="_Toc73694369"/>
      <w:bookmarkStart w:id="6" w:name="_Toc142904094"/>
      <w:bookmarkStart w:id="7" w:name="_Toc142903790"/>
      <w:r>
        <w:rPr>
          <w:rFonts w:ascii="方正黑体_GBK" w:eastAsia="方正黑体_GBK" w:hint="eastAsia"/>
          <w:b w:val="0"/>
          <w:bCs w:val="0"/>
        </w:rPr>
        <w:t>一、单位职责</w:t>
      </w:r>
      <w:bookmarkEnd w:id="5"/>
      <w:bookmarkEnd w:id="6"/>
      <w:bookmarkEnd w:id="7"/>
    </w:p>
    <w:p>
      <w:pPr>
        <w:pStyle w:val="28"/>
        <w:autoSpaceDN w:val="0"/>
        <w:snapToGrid w:val="0"/>
        <w:spacing w:line="560" w:lineRule="exact"/>
        <w:ind w:firstLineChars="200" w:firstLine="640"/>
        <w:rPr>
          <w:rFonts w:eastAsia="方正仿宋_GBK" w:cs="Arial" w:hint="eastAsia"/>
          <w:sz w:val="32"/>
          <w:szCs w:val="32"/>
          <w:lang w:bidi="ar-SA"/>
        </w:rPr>
      </w:pPr>
      <w:r>
        <w:rPr>
          <w:rFonts w:eastAsia="方正仿宋_GBK" w:cs="Arial" w:hint="eastAsia"/>
          <w:sz w:val="32"/>
          <w:szCs w:val="32"/>
          <w:lang w:bidi="ar-SA"/>
        </w:rPr>
        <w:t>保健中心主要职能是为防止疫病传播提供国际旅行卫生与检验保障。国际旅行医学检查、国际旅行医学检验、国际旅行健康咨询、国际旅行预防接种、国际旅行医疗服务、相关医疗服务。+</w:t>
      </w:r>
    </w:p>
    <w:p>
      <w:pPr>
        <w:pStyle w:val="28"/>
        <w:autoSpaceDN w:val="0"/>
        <w:snapToGrid w:val="0"/>
        <w:spacing w:line="560" w:lineRule="exact"/>
        <w:ind w:firstLineChars="200" w:firstLine="640"/>
        <w:rPr>
          <w:rFonts w:eastAsia="方正仿宋_GBK" w:cs="Arial" w:hint="eastAsia"/>
          <w:sz w:val="32"/>
          <w:szCs w:val="32"/>
          <w:lang w:bidi="ar-SA"/>
        </w:rPr>
      </w:pPr>
      <w:r>
        <w:rPr>
          <w:rFonts w:eastAsia="方正仿宋_GBK" w:cs="Arial" w:hint="eastAsia"/>
          <w:sz w:val="32"/>
          <w:szCs w:val="32"/>
          <w:lang w:bidi="ar-SA"/>
        </w:rPr>
        <w:t>二、机构设置。“</w:t>
      </w:r>
    </w:p>
    <w:p>
      <w:pPr>
        <w:pStyle w:val="28"/>
        <w:autoSpaceDN w:val="0"/>
        <w:snapToGrid w:val="0"/>
        <w:spacing w:line="560" w:lineRule="exact"/>
        <w:ind w:firstLineChars="200" w:firstLine="640"/>
        <w:rPr>
          <w:rFonts w:eastAsia="方正仿宋_GBK" w:cs="Arial" w:hint="eastAsia"/>
          <w:sz w:val="32"/>
          <w:szCs w:val="32"/>
          <w:lang w:bidi="ar-SA"/>
        </w:rPr>
      </w:pPr>
      <w:r>
        <w:rPr>
          <w:rFonts w:eastAsia="方正仿宋_GBK" w:cs="Arial" w:hint="eastAsia"/>
          <w:sz w:val="32"/>
          <w:szCs w:val="32"/>
          <w:lang w:bidi="ar-SA"/>
        </w:rPr>
        <w:t>呼和浩特国际旅行卫生保健中心现有5个内设科室，包括:口岸门诊部、检验中心、发展联络部、综合办公室、口岸生物安全研究所。。</w:t>
      </w:r>
    </w:p>
    <w:p>
      <w:pPr>
        <w:pStyle w:val="28"/>
        <w:autoSpaceDN w:val="0"/>
        <w:snapToGrid w:val="0"/>
        <w:spacing w:line="560" w:lineRule="exact"/>
        <w:ind w:firstLineChars="200" w:firstLine="640"/>
        <w:rPr>
          <w:rFonts w:eastAsia="方正仿宋_GBK"/>
          <w:sz w:val="32"/>
          <w:szCs w:val="32"/>
        </w:rPr>
      </w:pPr>
    </w:p>
    <w:tbl>
      <w:tblPr>
        <w:tblpPr w:leftFromText="144" w:rightFromText="144" w:vertAnchor="text" w:horzAnchor="page" w:tblpX="1914" w:tblpY="337"/>
        <w:tblOverlap w:val="neve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0"/>
        <w:gridCol w:w="3206"/>
        <w:gridCol w:w="708"/>
        <w:gridCol w:w="3884"/>
      </w:tblGrid>
      <w:tr>
        <w:trPr>
          <w:trHeight w:val="391"/>
        </w:trPr>
        <w:tc>
          <w:tcPr>
            <w:tcW w:w="730" w:type="dxa"/>
            <w:tcBorders>
              <w:tl2br w:val="nil"/>
              <w:tr2bl w:val="nil"/>
            </w:tcBorders>
            <w:noWrap/>
            <w:vAlign w:val="center"/>
          </w:tcPr>
          <w:p>
            <w:pPr>
              <w:pStyle w:val="29"/>
              <w:jc w:val="center"/>
              <w:rPr>
                <w:rFonts w:ascii="方正仿宋_GBK" w:eastAsia="方正仿宋_GBK" w:hint="eastAsia"/>
                <w:b/>
                <w:bCs/>
                <w:sz w:val="20"/>
                <w:szCs w:val="20"/>
              </w:rPr>
            </w:pPr>
            <w:r>
              <w:rPr>
                <w:rFonts w:ascii="方正仿宋_GBK" w:eastAsia="方正仿宋_GBK" w:hint="eastAsia"/>
                <w:b/>
                <w:bCs/>
                <w:sz w:val="20"/>
                <w:szCs w:val="20"/>
              </w:rPr>
              <w:t>序号</w:t>
            </w:r>
          </w:p>
        </w:tc>
        <w:tc>
          <w:tcPr>
            <w:tcW w:w="3206" w:type="dxa"/>
            <w:tcBorders>
              <w:tl2br w:val="nil"/>
              <w:tr2bl w:val="nil"/>
            </w:tcBorders>
            <w:noWrap/>
            <w:vAlign w:val="center"/>
          </w:tcPr>
          <w:p>
            <w:pPr>
              <w:pStyle w:val="29"/>
              <w:jc w:val="center"/>
              <w:rPr>
                <w:rFonts w:ascii="方正仿宋_GBK" w:eastAsia="方正仿宋_GBK" w:hint="eastAsia"/>
                <w:b/>
                <w:bCs/>
                <w:sz w:val="20"/>
                <w:szCs w:val="20"/>
              </w:rPr>
            </w:pPr>
            <w:r>
              <w:rPr>
                <w:rFonts w:ascii="方正仿宋_GBK" w:eastAsia="方正仿宋_GBK" w:hint="eastAsia"/>
                <w:b/>
                <w:bCs/>
                <w:sz w:val="20"/>
                <w:szCs w:val="20"/>
              </w:rPr>
              <w:t>单位</w:t>
            </w:r>
          </w:p>
        </w:tc>
        <w:tc>
          <w:tcPr>
            <w:tcW w:w="708" w:type="dxa"/>
            <w:tcBorders>
              <w:tl2br w:val="nil"/>
              <w:tr2bl w:val="nil"/>
            </w:tcBorders>
            <w:noWrap/>
            <w:vAlign w:val="center"/>
          </w:tcPr>
          <w:p>
            <w:pPr>
              <w:pStyle w:val="29"/>
              <w:jc w:val="center"/>
              <w:rPr>
                <w:rFonts w:ascii="方正仿宋_GBK" w:eastAsia="方正仿宋_GBK" w:hint="eastAsia"/>
                <w:b/>
                <w:bCs/>
                <w:sz w:val="20"/>
                <w:szCs w:val="20"/>
              </w:rPr>
            </w:pPr>
            <w:r>
              <w:rPr>
                <w:rFonts w:ascii="方正仿宋_GBK" w:eastAsia="方正仿宋_GBK" w:hint="eastAsia"/>
                <w:b/>
                <w:bCs/>
                <w:sz w:val="20"/>
                <w:szCs w:val="20"/>
              </w:rPr>
              <w:t>序号</w:t>
            </w:r>
          </w:p>
        </w:tc>
        <w:tc>
          <w:tcPr>
            <w:tcW w:w="3884" w:type="dxa"/>
            <w:tcBorders>
              <w:tl2br w:val="nil"/>
              <w:tr2bl w:val="nil"/>
            </w:tcBorders>
            <w:noWrap/>
            <w:vAlign w:val="center"/>
          </w:tcPr>
          <w:p>
            <w:pPr>
              <w:pStyle w:val="29"/>
              <w:jc w:val="center"/>
              <w:rPr>
                <w:rFonts w:ascii="方正仿宋_GBK" w:eastAsia="方正仿宋_GBK" w:hint="eastAsia"/>
                <w:b/>
                <w:bCs/>
                <w:sz w:val="20"/>
                <w:szCs w:val="20"/>
              </w:rPr>
            </w:pPr>
            <w:r>
              <w:rPr>
                <w:rFonts w:ascii="方正仿宋_GBK" w:eastAsia="方正仿宋_GBK" w:hint="eastAsia"/>
                <w:b/>
                <w:bCs/>
                <w:sz w:val="20"/>
                <w:szCs w:val="20"/>
              </w:rPr>
              <w:t>单位</w:t>
            </w:r>
          </w:p>
        </w:tc>
      </w:tr>
      <w:tr>
        <w:trPr>
          <w:trHeight w:val="391"/>
        </w:trPr>
        <w:tc>
          <w:tcPr>
            <w:tcW w:w="730" w:type="dxa"/>
            <w:tcBorders>
              <w:tl2br w:val="nil"/>
              <w:tr2bl w:val="nil"/>
            </w:tcBorders>
            <w:noWrap/>
            <w:vAlign w:val="center"/>
          </w:tcPr>
          <w:p>
            <w:pPr>
              <w:pStyle w:val="29"/>
              <w:jc w:val="center"/>
              <w:rPr>
                <w:rFonts w:eastAsia="方正黑体_GBK"/>
                <w:sz w:val="20"/>
                <w:szCs w:val="20"/>
              </w:rPr>
            </w:pPr>
            <w:r>
              <w:rPr>
                <w:rFonts w:eastAsia="方正黑体_GBK"/>
                <w:sz w:val="20"/>
                <w:szCs w:val="20"/>
              </w:rPr>
              <w:t>1</w:t>
            </w:r>
          </w:p>
        </w:tc>
        <w:tc>
          <w:tcPr>
            <w:tcW w:w="3206" w:type="dxa"/>
            <w:tcBorders>
              <w:tl2br w:val="nil"/>
              <w:tr2bl w:val="nil"/>
            </w:tcBorders>
            <w:noWrap/>
            <w:vAlign w:val="center"/>
          </w:tcPr>
          <w:p>
            <w:pPr>
              <w:pStyle w:val="29"/>
              <w:jc w:val="center"/>
              <w:rPr>
                <w:rFonts w:ascii="宋体" w:hint="eastAsia"/>
                <w:sz w:val="20"/>
                <w:szCs w:val="20"/>
              </w:rPr>
            </w:pPr>
            <w:r>
              <w:rPr>
                <w:rFonts w:ascii="宋体" w:hint="eastAsia"/>
                <w:sz w:val="20"/>
                <w:szCs w:val="20"/>
              </w:rPr>
              <w:t>呼和浩特国际旅行卫生保健中心</w:t>
            </w:r>
          </w:p>
        </w:tc>
        <w:tc>
          <w:tcPr>
            <w:tcW w:w="708" w:type="dxa"/>
            <w:tcBorders>
              <w:tl2br w:val="nil"/>
              <w:tr2bl w:val="nil"/>
            </w:tcBorders>
            <w:noWrap/>
            <w:vAlign w:val="center"/>
          </w:tcPr>
          <w:p>
            <w:pPr>
              <w:pStyle w:val="30"/>
              <w:jc w:val="center"/>
              <w:rPr>
                <w:rFonts w:eastAsia="方正黑体_GBK"/>
                <w:sz w:val="20"/>
                <w:szCs w:val="20"/>
              </w:rPr>
            </w:pPr>
            <w:r>
              <w:rPr>
                <w:rFonts w:eastAsia="方正黑体_GBK"/>
                <w:sz w:val="20"/>
                <w:szCs w:val="20"/>
              </w:rPr>
              <w:t>2</w:t>
            </w:r>
          </w:p>
        </w:tc>
        <w:tc>
          <w:tcPr>
            <w:tcW w:w="3884" w:type="dxa"/>
            <w:tcBorders>
              <w:tl2br w:val="nil"/>
              <w:tr2bl w:val="nil"/>
            </w:tcBorders>
            <w:noWrap/>
            <w:vAlign w:val="center"/>
          </w:tcPr>
          <w:p>
            <w:pPr>
              <w:pStyle w:val="31"/>
              <w:jc w:val="center"/>
              <w:rPr>
                <w:rFonts w:ascii="宋体" w:hint="eastAsia"/>
                <w:sz w:val="20"/>
                <w:szCs w:val="20"/>
              </w:rPr>
            </w:pPr>
          </w:p>
        </w:tc>
      </w:tr>
    </w:tbl>
    <w:p>
      <w:pPr>
        <w:pStyle w:val="32"/>
        <w:widowControl/>
        <w:autoSpaceDN w:val="0"/>
        <w:jc w:val="left"/>
        <w:rPr>
          <w:rFonts w:hint="eastAsia"/>
        </w:rPr>
        <w:sectPr>
          <w:pgSz w:w="11907" w:h="16840"/>
          <w:pgMar w:top="1440" w:right="1797" w:bottom="1440" w:left="1797" w:header="851" w:footer="992" w:gutter="0"/>
          <w:pgNumType w:start="1"/>
          <w:docGrid w:type="lines" w:linePitch="312" w:charSpace="0"/>
        </w:sectPr>
      </w:pPr>
    </w:p>
    <w:p>
      <w:pPr>
        <w:pStyle w:val="33"/>
        <w:autoSpaceDN w:val="0"/>
        <w:spacing w:line="560" w:lineRule="exact"/>
        <w:ind w:firstLineChars="200" w:firstLine="640"/>
        <w:rPr>
          <w:rFonts w:eastAsia="方正黑体_GBK"/>
          <w:kern w:val="0"/>
          <w:sz w:val="32"/>
          <w:szCs w:val="32"/>
        </w:rPr>
      </w:pPr>
      <w:bookmarkStart w:id="8" w:name="_Toc142905248"/>
      <w:bookmarkStart w:id="9" w:name="_Toc21085169"/>
      <w:bookmarkStart w:id="10" w:name="_Toc73694371"/>
    </w:p>
    <w:p>
      <w:pPr>
        <w:pStyle w:val="1"/>
        <w:spacing w:line="1200" w:lineRule="exact"/>
        <w:ind w:firstLineChars="600" w:firstLine="5040"/>
        <w:rPr>
          <w:rFonts w:ascii="方正小标宋_GBK" w:eastAsia="方正小标宋_GBK" w:hint="eastAsia"/>
          <w:b w:val="0"/>
          <w:bCs w:val="0"/>
          <w:kern w:val="0"/>
          <w:sz w:val="84"/>
          <w:szCs w:val="84"/>
        </w:rPr>
      </w:pPr>
    </w:p>
    <w:p>
      <w:pPr>
        <w:pStyle w:val="1"/>
        <w:spacing w:line="1200" w:lineRule="exact"/>
        <w:ind w:firstLineChars="600" w:firstLine="5040"/>
        <w:rPr>
          <w:rFonts w:ascii="方正黑体_GBK" w:eastAsia="方正黑体_GBK" w:hint="eastAsia"/>
          <w:b w:val="0"/>
          <w:bCs w:val="0"/>
          <w:kern w:val="0"/>
          <w:sz w:val="84"/>
          <w:szCs w:val="84"/>
        </w:rPr>
      </w:pPr>
      <w:r>
        <w:rPr>
          <w:rFonts w:ascii="方正黑体_GBK" w:eastAsia="方正黑体_GBK" w:hint="eastAsia"/>
          <w:b w:val="0"/>
          <w:bCs w:val="0"/>
          <w:kern w:val="0"/>
          <w:sz w:val="84"/>
          <w:szCs w:val="84"/>
        </w:rPr>
        <w:t>第二部分</w:t>
      </w:r>
      <w:bookmarkEnd w:id="8"/>
      <w:bookmarkEnd w:id="9"/>
      <w:bookmarkEnd w:id="10"/>
    </w:p>
    <w:p>
      <w:pPr>
        <w:pStyle w:val="1"/>
        <w:spacing w:line="1200" w:lineRule="exact"/>
        <w:ind w:firstLineChars="300" w:firstLine="2520"/>
        <w:rPr>
          <w:rFonts w:ascii="方正黑体_GBK" w:eastAsia="方正黑体_GBK" w:hint="eastAsia"/>
          <w:b w:val="0"/>
          <w:bCs w:val="0"/>
          <w:kern w:val="0"/>
          <w:sz w:val="84"/>
          <w:szCs w:val="84"/>
        </w:rPr>
      </w:pPr>
      <w:bookmarkStart w:id="11" w:name="_Toc73694372"/>
      <w:r>
        <w:rPr>
          <w:rFonts w:ascii="方正黑体_GBK" w:eastAsia="方正黑体_GBK" w:hint="eastAsia"/>
          <w:b w:val="0"/>
          <w:bCs w:val="0"/>
          <w:kern w:val="0"/>
          <w:sz w:val="84"/>
          <w:szCs w:val="84"/>
        </w:rPr>
        <w:t>2025年度部门决算表</w:t>
      </w:r>
      <w:bookmarkEnd w:id="11"/>
    </w:p>
    <w:p>
      <w:pPr>
        <w:autoSpaceDN w:val="0"/>
        <w:spacing w:line="560" w:lineRule="exact"/>
        <w:rPr>
          <w:rFonts w:eastAsia="方正黑体_GBK"/>
          <w:kern w:val="0"/>
          <w:sz w:val="32"/>
          <w:szCs w:val="32"/>
        </w:rPr>
      </w:pPr>
    </w:p>
    <w:p>
      <w:pPr>
        <w:autoSpaceDN w:val="0"/>
        <w:spacing w:line="560" w:lineRule="exact"/>
        <w:rPr>
          <w:rFonts w:eastAsia="方正黑体_GBK"/>
          <w:kern w:val="0"/>
          <w:sz w:val="32"/>
          <w:szCs w:val="32"/>
        </w:rPr>
      </w:pPr>
    </w:p>
    <w:p>
      <w:pPr>
        <w:autoSpaceDN w:val="0"/>
        <w:spacing w:line="560" w:lineRule="exact"/>
        <w:rPr>
          <w:rFonts w:eastAsia="方正黑体_GBK"/>
          <w:kern w:val="0"/>
          <w:sz w:val="32"/>
          <w:szCs w:val="32"/>
        </w:rPr>
      </w:pPr>
    </w:p>
    <w:p>
      <w:pPr>
        <w:autoSpaceDN w:val="0"/>
        <w:spacing w:line="560" w:lineRule="exact"/>
        <w:rPr>
          <w:rFonts w:eastAsia="方正黑体_GBK"/>
          <w:kern w:val="0"/>
          <w:sz w:val="32"/>
          <w:szCs w:val="32"/>
        </w:rPr>
      </w:pPr>
    </w:p>
    <w:p>
      <w:pPr>
        <w:autoSpaceDN w:val="0"/>
        <w:spacing w:line="560" w:lineRule="exact"/>
        <w:rPr>
          <w:rFonts w:eastAsia="方正黑体_GBK"/>
          <w:kern w:val="0"/>
          <w:sz w:val="32"/>
          <w:szCs w:val="32"/>
        </w:rPr>
      </w:pP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15"/>
        <w:gridCol w:w="645"/>
        <w:gridCol w:w="2280"/>
        <w:gridCol w:w="4185"/>
        <w:gridCol w:w="342"/>
        <w:gridCol w:w="2509"/>
      </w:tblGrid>
      <w:tr>
        <w:trPr>
          <w:trHeight w:val="494"/>
        </w:trPr>
        <w:tc>
          <w:tcPr>
            <w:tcW w:w="14250" w:type="dxa"/>
            <w:gridSpan w:val="6"/>
            <w:tcBorders>
              <w:top w:val="nil"/>
              <w:left w:val="nil"/>
              <w:bottom w:val="nil"/>
              <w:right w:val="nil"/>
              <w:tl2br w:val="nil"/>
              <w:tr2bl w:val="nil"/>
            </w:tcBorders>
            <w:noWrap/>
            <w:vAlign w:val="center"/>
          </w:tcPr>
          <w:p>
            <w:pPr>
              <w:jc w:val="center"/>
              <w:rPr>
                <w:rFonts w:ascii="宋体" w:eastAsia="宋体" w:cs="宋体"/>
                <w:color w:val="000000"/>
                <w:sz w:val="38"/>
              </w:rPr>
            </w:pPr>
            <w:r>
              <w:rPr>
                <w:rFonts w:ascii="宋体" w:eastAsia="宋体" w:cs="宋体"/>
                <w:color w:val="000000"/>
                <w:sz w:val="38"/>
              </w:rPr>
              <w:t>收入支出决算批复表</w:t>
            </w:r>
          </w:p>
        </w:tc>
      </w:tr>
      <w:tr>
        <w:trPr>
          <w:trHeight w:val="299"/>
        </w:trPr>
        <w:tc>
          <w:tcPr>
            <w:tcW w:w="421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64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228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418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2925" w:type="dxa"/>
            <w:gridSpan w:val="2"/>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财决批复01表</w:t>
            </w:r>
          </w:p>
        </w:tc>
      </w:tr>
      <w:tr>
        <w:trPr>
          <w:trHeight w:val="299"/>
        </w:trPr>
        <w:tc>
          <w:tcPr>
            <w:tcW w:w="7140" w:type="dxa"/>
            <w:gridSpan w:val="3"/>
            <w:tcBorders>
              <w:top w:val="nil"/>
              <w:left w:val="nil"/>
              <w:bottom w:val="nil"/>
              <w:right w:val="nil"/>
              <w:tl2br w:val="nil"/>
              <w:tr2bl w:val="nil"/>
            </w:tcBorders>
            <w:noWrap/>
            <w:vAlign w:val="center"/>
          </w:tcPr>
          <w:p>
            <w:pPr>
              <w:rPr>
                <w:rFonts w:ascii="宋体" w:eastAsia="宋体" w:cs="宋体"/>
                <w:color w:val="000000"/>
                <w:sz w:val="20"/>
              </w:rPr>
            </w:pPr>
            <w:r>
              <w:rPr>
                <w:rFonts w:ascii="宋体" w:eastAsia="宋体" w:cs="宋体"/>
                <w:color w:val="000000"/>
                <w:sz w:val="20"/>
              </w:rPr>
              <w:t>单位：呼和浩特国际旅行卫生保健中心(呼和浩特海关口岸门诊部）</w:t>
            </w:r>
          </w:p>
        </w:tc>
        <w:tc>
          <w:tcPr>
            <w:tcW w:w="418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2925" w:type="dxa"/>
            <w:gridSpan w:val="2"/>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金额单位：万元</w:t>
            </w:r>
          </w:p>
        </w:tc>
      </w:tr>
      <w:tr>
        <w:trPr>
          <w:trHeight w:val="299"/>
        </w:trPr>
        <w:tc>
          <w:tcPr>
            <w:tcW w:w="714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收入</w:t>
            </w:r>
          </w:p>
        </w:tc>
        <w:tc>
          <w:tcPr>
            <w:tcW w:w="7110" w:type="dxa"/>
            <w:gridSpan w:val="3"/>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支出</w:t>
            </w: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项目</w:t>
            </w: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行次</w:t>
            </w:r>
          </w:p>
        </w:tc>
        <w:tc>
          <w:tcPr>
            <w:tcW w:w="228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金额</w:t>
            </w:r>
          </w:p>
        </w:tc>
        <w:tc>
          <w:tcPr>
            <w:tcW w:w="418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项目</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行次</w:t>
            </w:r>
          </w:p>
        </w:tc>
        <w:tc>
          <w:tcPr>
            <w:tcW w:w="228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金额</w:t>
            </w: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栏次</w:t>
            </w: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olor w:val="000000"/>
                <w:sz w:val="20"/>
              </w:rPr>
            </w:pPr>
          </w:p>
        </w:tc>
        <w:tc>
          <w:tcPr>
            <w:tcW w:w="228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w:t>
            </w:r>
          </w:p>
        </w:tc>
        <w:tc>
          <w:tcPr>
            <w:tcW w:w="418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栏次</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olor w:val="000000"/>
                <w:sz w:val="20"/>
              </w:rPr>
            </w:pPr>
          </w:p>
        </w:tc>
        <w:tc>
          <w:tcPr>
            <w:tcW w:w="228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w:t>
            </w: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一、一般公共预算财政拨款收入</w:t>
            </w: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614.18</w:t>
            </w: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一、一般公共服务支出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32</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2,098.28</w:t>
            </w: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二、政府性基金预算财政拨款收入</w:t>
            </w: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640.00</w:t>
            </w: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二、外交支出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33</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三、国有资本经营预算财政拨款收入</w:t>
            </w: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三、国防支出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34</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四、上级补助收入</w:t>
            </w: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四、公共安全支出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35</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五、事业收入</w:t>
            </w: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1,567.13</w:t>
            </w: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五、教育支出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36</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六、经营收入</w:t>
            </w: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6</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六、科学技术支出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37</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七、附属单位上缴收入</w:t>
            </w: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7</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七、文化旅游体育与传媒支出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38</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八、其他收入</w:t>
            </w: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8</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26.22</w:t>
            </w: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八、社会保障和就业支出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39</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9</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九、卫生健康支出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40</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10</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十、节能环保支出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41</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11</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十一、城乡社区支出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42</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12</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十二、农林水支出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43</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13</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十三、交通运输支出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44</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14</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十四、资源勘探工业信息等支出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45</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15</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十五、商业服务业等支出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46</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16</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十六、金融支出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47</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17</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十七、援助其他地区支出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48</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18</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十八、自然资源海洋气象等支出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49</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19</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十九、住房保障支出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50</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74.21</w:t>
            </w: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20</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二十、粮油物资储备支出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51</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21</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二十一、国有资本经营预算支出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52</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22</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二十二、灾害防治及应急管理支出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53</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23</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二十三、其他支出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54</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104.89</w:t>
            </w: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24</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二十四、债务还本支出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55</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25</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二十五、债务付息支出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56</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26</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二十六、抗疫特别国债安排的支出</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57</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本年收入合计</w:t>
            </w: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27</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2,847.52</w:t>
            </w:r>
          </w:p>
        </w:tc>
        <w:tc>
          <w:tcPr>
            <w:tcW w:w="418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本年支出合计</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58</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2,277.38</w:t>
            </w: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使用非财政拨款结余(含专用结余）</w:t>
            </w: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28</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结余分配</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59</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16.73</w:t>
            </w: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年初结转和结余</w:t>
            </w: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29</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44.14</w:t>
            </w: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年末结转和结余</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60</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597.55</w:t>
            </w: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olor w:val="000000"/>
                <w:sz w:val="20"/>
              </w:rPr>
            </w:pP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30</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c>
          <w:tcPr>
            <w:tcW w:w="4185" w:type="dxa"/>
            <w:tcBorders>
              <w:top w:val="nil"/>
              <w:left w:val="nil"/>
              <w:bottom w:val="single" w:sz="6" w:space="0" w:color="000000"/>
              <w:right w:val="single" w:sz="6" w:space="0" w:color="000000"/>
              <w:tl2br w:val="nil"/>
              <w:tr2bl w:val="nil"/>
            </w:tcBorders>
            <w:noWrap/>
            <w:vAlign w:val="center"/>
          </w:tcPr>
          <w:p>
            <w:pPr>
              <w:rPr>
                <w:rFonts w:ascii="宋体" w:eastAsia="宋体"/>
                <w:color w:val="000000"/>
                <w:sz w:val="20"/>
              </w:rPr>
            </w:pP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61</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olor w:val="000000"/>
                <w:sz w:val="20"/>
              </w:rPr>
            </w:pPr>
          </w:p>
        </w:tc>
      </w:tr>
      <w:tr>
        <w:trPr>
          <w:trHeight w:val="299"/>
        </w:trPr>
        <w:tc>
          <w:tcPr>
            <w:tcW w:w="4215" w:type="dxa"/>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总计</w:t>
            </w:r>
          </w:p>
        </w:tc>
        <w:tc>
          <w:tcPr>
            <w:tcW w:w="6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31</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2,891.66</w:t>
            </w:r>
          </w:p>
        </w:tc>
        <w:tc>
          <w:tcPr>
            <w:tcW w:w="418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总计</w:t>
            </w:r>
          </w:p>
        </w:tc>
        <w:tc>
          <w:tcPr>
            <w:tcW w:w="1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62</w:t>
            </w:r>
          </w:p>
        </w:tc>
        <w:tc>
          <w:tcPr>
            <w:tcW w:w="228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2,891.66</w:t>
            </w:r>
          </w:p>
        </w:tc>
      </w:tr>
    </w:tbl>
    <w:p>
      <w:pPr>
        <w:jc w:val="center"/>
        <w:rPr>
          <w:rFonts w:ascii="宋体" w:eastAsia="宋体" w:cs="宋体"/>
          <w:color w:val="000000"/>
          <w:sz w:val="38"/>
        </w:rPr>
      </w:pPr>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5"/>
        <w:gridCol w:w="420"/>
        <w:gridCol w:w="610"/>
        <w:gridCol w:w="3300"/>
        <w:gridCol w:w="1303"/>
        <w:gridCol w:w="1389"/>
        <w:gridCol w:w="1350"/>
        <w:gridCol w:w="1395"/>
        <w:gridCol w:w="1365"/>
        <w:gridCol w:w="1200"/>
        <w:gridCol w:w="1410"/>
      </w:tblGrid>
      <w:tr>
        <w:trPr>
          <w:trHeight w:val="509"/>
        </w:trPr>
        <w:tc>
          <w:tcPr>
            <w:tcW w:w="14175" w:type="dxa"/>
            <w:gridSpan w:val="11"/>
            <w:tcBorders>
              <w:top w:val="nil"/>
              <w:left w:val="nil"/>
              <w:bottom w:val="nil"/>
              <w:right w:val="nil"/>
              <w:tl2br w:val="nil"/>
              <w:tr2bl w:val="nil"/>
            </w:tcBorders>
            <w:noWrap/>
            <w:vAlign w:val="center"/>
          </w:tcPr>
          <w:p>
            <w:pPr>
              <w:jc w:val="center"/>
              <w:rPr>
                <w:rFonts w:ascii="宋体" w:eastAsia="宋体" w:cs="宋体"/>
                <w:color w:val="000000"/>
                <w:sz w:val="38"/>
              </w:rPr>
            </w:pPr>
          </w:p>
          <w:p>
            <w:pPr>
              <w:jc w:val="center"/>
              <w:rPr>
                <w:rFonts w:ascii="宋体" w:eastAsia="宋体" w:cs="宋体"/>
                <w:color w:val="000000"/>
                <w:sz w:val="38"/>
              </w:rPr>
            </w:pPr>
          </w:p>
          <w:p>
            <w:pPr>
              <w:jc w:val="center"/>
              <w:rPr>
                <w:rFonts w:ascii="宋体" w:eastAsia="宋体" w:cs="宋体"/>
                <w:color w:val="000000"/>
                <w:sz w:val="38"/>
              </w:rPr>
            </w:pPr>
          </w:p>
          <w:p>
            <w:pPr>
              <w:jc w:val="center"/>
              <w:rPr>
                <w:rFonts w:ascii="宋体" w:eastAsia="宋体" w:cs="宋体"/>
                <w:color w:val="000000"/>
                <w:sz w:val="38"/>
              </w:rPr>
            </w:pPr>
          </w:p>
          <w:p>
            <w:pPr>
              <w:jc w:val="center"/>
              <w:rPr>
                <w:rFonts w:ascii="宋体" w:eastAsia="宋体" w:cs="宋体"/>
                <w:color w:val="000000"/>
                <w:sz w:val="38"/>
              </w:rPr>
            </w:pPr>
          </w:p>
          <w:p>
            <w:pPr>
              <w:jc w:val="center"/>
              <w:rPr>
                <w:rFonts w:ascii="宋体" w:eastAsia="宋体" w:cs="宋体"/>
                <w:color w:val="000000"/>
                <w:sz w:val="38"/>
              </w:rPr>
            </w:pPr>
          </w:p>
          <w:p>
            <w:pPr>
              <w:jc w:val="center"/>
              <w:rPr>
                <w:rFonts w:ascii="宋体" w:eastAsia="宋体" w:cs="宋体"/>
                <w:color w:val="000000"/>
                <w:sz w:val="38"/>
              </w:rPr>
            </w:pPr>
          </w:p>
          <w:p>
            <w:pPr>
              <w:jc w:val="center"/>
              <w:rPr>
                <w:rFonts w:ascii="宋体" w:eastAsia="宋体" w:cs="宋体"/>
                <w:color w:val="000000"/>
                <w:sz w:val="38"/>
              </w:rPr>
            </w:pPr>
          </w:p>
          <w:p>
            <w:pPr>
              <w:jc w:val="center"/>
              <w:rPr>
                <w:rFonts w:ascii="宋体" w:eastAsia="宋体" w:cs="宋体"/>
                <w:color w:val="000000"/>
                <w:sz w:val="38"/>
              </w:rPr>
            </w:pPr>
          </w:p>
          <w:p>
            <w:pPr>
              <w:jc w:val="center"/>
              <w:rPr>
                <w:rFonts w:ascii="宋体" w:eastAsia="宋体" w:cs="宋体"/>
                <w:color w:val="000000"/>
                <w:sz w:val="38"/>
              </w:rPr>
            </w:pPr>
            <w:r>
              <w:rPr>
                <w:rFonts w:ascii="宋体" w:eastAsia="宋体" w:cs="宋体"/>
                <w:color w:val="000000"/>
                <w:sz w:val="38"/>
              </w:rPr>
              <w:t>收入决算批复表</w:t>
            </w:r>
          </w:p>
        </w:tc>
      </w:tr>
      <w:tr>
        <w:trPr>
          <w:trHeight w:val="389"/>
        </w:trPr>
        <w:tc>
          <w:tcPr>
            <w:tcW w:w="43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42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61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330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303"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389"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35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39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36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2610" w:type="dxa"/>
            <w:gridSpan w:val="2"/>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财决批复02表</w:t>
            </w:r>
          </w:p>
        </w:tc>
      </w:tr>
      <w:tr>
        <w:trPr>
          <w:trHeight w:val="389"/>
        </w:trPr>
        <w:tc>
          <w:tcPr>
            <w:tcW w:w="4764" w:type="dxa"/>
            <w:gridSpan w:val="4"/>
            <w:tcBorders>
              <w:top w:val="nil"/>
              <w:left w:val="nil"/>
              <w:bottom w:val="nil"/>
              <w:right w:val="nil"/>
              <w:tl2br w:val="nil"/>
              <w:tr2bl w:val="nil"/>
            </w:tcBorders>
            <w:noWrap/>
            <w:vAlign w:val="center"/>
          </w:tcPr>
          <w:p>
            <w:pPr>
              <w:rPr>
                <w:rFonts w:ascii="宋体" w:eastAsia="宋体" w:cs="宋体"/>
                <w:color w:val="000000"/>
                <w:sz w:val="20"/>
              </w:rPr>
            </w:pPr>
            <w:r>
              <w:rPr>
                <w:rFonts w:ascii="宋体" w:eastAsia="宋体" w:cs="宋体"/>
                <w:color w:val="000000"/>
                <w:sz w:val="20"/>
              </w:rPr>
              <w:t>单位：呼和浩特国际旅行卫生保健中心(呼和浩特海关口岸门诊部）</w:t>
            </w:r>
          </w:p>
        </w:tc>
        <w:tc>
          <w:tcPr>
            <w:tcW w:w="1303"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389"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35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39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36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2610" w:type="dxa"/>
            <w:gridSpan w:val="2"/>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金额单位：万元</w:t>
            </w:r>
          </w:p>
        </w:tc>
      </w:tr>
      <w:tr>
        <w:trPr>
          <w:trHeight w:val="389"/>
        </w:trPr>
        <w:tc>
          <w:tcPr>
            <w:tcW w:w="1464"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科目代码</w:t>
            </w:r>
          </w:p>
        </w:tc>
        <w:tc>
          <w:tcPr>
            <w:tcW w:w="3300"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科目名称</w:t>
            </w:r>
          </w:p>
        </w:tc>
        <w:tc>
          <w:tcPr>
            <w:tcW w:w="1303"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本年收入合计</w:t>
            </w:r>
          </w:p>
        </w:tc>
        <w:tc>
          <w:tcPr>
            <w:tcW w:w="1389"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财政拨款收入</w:t>
            </w:r>
          </w:p>
        </w:tc>
        <w:tc>
          <w:tcPr>
            <w:tcW w:w="1350"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上级补助收入</w:t>
            </w:r>
          </w:p>
        </w:tc>
        <w:tc>
          <w:tcPr>
            <w:tcW w:w="1395"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事业收入</w:t>
            </w:r>
          </w:p>
        </w:tc>
        <w:tc>
          <w:tcPr>
            <w:tcW w:w="1365"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经营收入</w:t>
            </w:r>
          </w:p>
        </w:tc>
        <w:tc>
          <w:tcPr>
            <w:tcW w:w="1200"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附属单位上缴收入</w:t>
            </w:r>
          </w:p>
        </w:tc>
        <w:tc>
          <w:tcPr>
            <w:tcW w:w="1410"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其他收入</w:t>
            </w:r>
          </w:p>
        </w:tc>
      </w:tr>
      <w:tr>
        <w:trPr>
          <w:trHeight w:val="284"/>
        </w:trPr>
        <w:tc>
          <w:tcPr>
            <w:tcW w:w="435" w:type="dxa"/>
            <w:vMerge w:val="restart"/>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类</w:t>
            </w:r>
          </w:p>
        </w:tc>
        <w:tc>
          <w:tcPr>
            <w:tcW w:w="420"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款</w:t>
            </w:r>
          </w:p>
        </w:tc>
        <w:tc>
          <w:tcPr>
            <w:tcW w:w="610"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w:t>
            </w:r>
          </w:p>
        </w:tc>
        <w:tc>
          <w:tcPr>
            <w:tcW w:w="33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栏次</w:t>
            </w:r>
          </w:p>
        </w:tc>
        <w:tc>
          <w:tcPr>
            <w:tcW w:w="1303"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w:t>
            </w:r>
          </w:p>
        </w:tc>
        <w:tc>
          <w:tcPr>
            <w:tcW w:w="138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w:t>
            </w:r>
          </w:p>
        </w:tc>
        <w:tc>
          <w:tcPr>
            <w:tcW w:w="135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w:t>
            </w:r>
          </w:p>
        </w:tc>
        <w:tc>
          <w:tcPr>
            <w:tcW w:w="139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w:t>
            </w:r>
          </w:p>
        </w:tc>
        <w:tc>
          <w:tcPr>
            <w:tcW w:w="136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w:t>
            </w:r>
          </w:p>
        </w:tc>
        <w:tc>
          <w:tcPr>
            <w:tcW w:w="12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6</w:t>
            </w:r>
          </w:p>
        </w:tc>
        <w:tc>
          <w:tcPr>
            <w:tcW w:w="141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7</w:t>
            </w:r>
          </w:p>
        </w:tc>
      </w:tr>
      <w:tr>
        <w:trPr>
          <w:trHeight w:val="284"/>
        </w:trPr>
        <w:tc>
          <w:tcPr>
            <w:tcW w:w="435" w:type="dxa"/>
            <w:vMerge/>
            <w:tcBorders>
              <w:top w:val="nil"/>
              <w:left w:val="single" w:sz="6" w:space="0" w:color="000000"/>
              <w:bottom w:val="single" w:sz="6" w:space="0" w:color="000000"/>
              <w:right w:val="single" w:sz="6" w:space="0" w:color="000000"/>
              <w:tl2br w:val="nil"/>
              <w:tr2bl w:val="nil"/>
            </w:tcBorders>
            <w:noWrap/>
            <w:vAlign w:val="center"/>
          </w:tcPr>
          <w:p/>
        </w:tc>
        <w:tc>
          <w:tcPr>
            <w:tcW w:w="420" w:type="dxa"/>
            <w:vMerge/>
            <w:tcBorders>
              <w:top w:val="nil"/>
              <w:left w:val="nil"/>
              <w:bottom w:val="single" w:sz="6" w:space="0" w:color="000000"/>
              <w:right w:val="single" w:sz="6" w:space="0" w:color="000000"/>
              <w:tl2br w:val="nil"/>
              <w:tr2bl w:val="nil"/>
            </w:tcBorders>
            <w:noWrap/>
            <w:vAlign w:val="center"/>
          </w:tcPr>
          <w:p/>
        </w:tc>
        <w:tc>
          <w:tcPr>
            <w:tcW w:w="610" w:type="dxa"/>
            <w:vMerge/>
            <w:tcBorders>
              <w:top w:val="nil"/>
              <w:left w:val="nil"/>
              <w:bottom w:val="single" w:sz="6" w:space="0" w:color="000000"/>
              <w:right w:val="single" w:sz="6" w:space="0" w:color="000000"/>
              <w:tl2br w:val="nil"/>
              <w:tr2bl w:val="nil"/>
            </w:tcBorders>
            <w:noWrap/>
            <w:vAlign w:val="center"/>
          </w:tcPr>
          <w:p/>
        </w:tc>
        <w:tc>
          <w:tcPr>
            <w:tcW w:w="33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合计</w:t>
            </w:r>
          </w:p>
        </w:tc>
        <w:tc>
          <w:tcPr>
            <w:tcW w:w="1303"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2,847.52</w:t>
            </w:r>
          </w:p>
        </w:tc>
        <w:tc>
          <w:tcPr>
            <w:tcW w:w="138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1,254.18</w:t>
            </w:r>
          </w:p>
        </w:tc>
        <w:tc>
          <w:tcPr>
            <w:tcW w:w="13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9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1,567.13</w:t>
            </w:r>
          </w:p>
        </w:tc>
        <w:tc>
          <w:tcPr>
            <w:tcW w:w="136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1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26.22</w:t>
            </w:r>
          </w:p>
        </w:tc>
      </w:tr>
      <w:tr>
        <w:trPr>
          <w:trHeight w:val="389"/>
        </w:trPr>
        <w:tc>
          <w:tcPr>
            <w:tcW w:w="1464"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w:t>
            </w:r>
          </w:p>
        </w:tc>
        <w:tc>
          <w:tcPr>
            <w:tcW w:w="33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一般公共服务支出</w:t>
            </w:r>
          </w:p>
        </w:tc>
        <w:tc>
          <w:tcPr>
            <w:tcW w:w="1303"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2,133.31 </w:t>
            </w:r>
          </w:p>
        </w:tc>
        <w:tc>
          <w:tcPr>
            <w:tcW w:w="138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583.24 </w:t>
            </w:r>
          </w:p>
        </w:tc>
        <w:tc>
          <w:tcPr>
            <w:tcW w:w="13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9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1,523.86 </w:t>
            </w:r>
          </w:p>
        </w:tc>
        <w:tc>
          <w:tcPr>
            <w:tcW w:w="136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1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26.22 </w:t>
            </w:r>
          </w:p>
        </w:tc>
      </w:tr>
      <w:tr>
        <w:trPr>
          <w:trHeight w:val="389"/>
        </w:trPr>
        <w:tc>
          <w:tcPr>
            <w:tcW w:w="1464"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20109</w:t>
            </w:r>
          </w:p>
        </w:tc>
        <w:tc>
          <w:tcPr>
            <w:tcW w:w="33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海关事务</w:t>
            </w:r>
          </w:p>
        </w:tc>
        <w:tc>
          <w:tcPr>
            <w:tcW w:w="1303"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2,133.31 </w:t>
            </w:r>
          </w:p>
        </w:tc>
        <w:tc>
          <w:tcPr>
            <w:tcW w:w="138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583.24 </w:t>
            </w:r>
          </w:p>
        </w:tc>
        <w:tc>
          <w:tcPr>
            <w:tcW w:w="13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9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1,523.86 </w:t>
            </w:r>
          </w:p>
        </w:tc>
        <w:tc>
          <w:tcPr>
            <w:tcW w:w="136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1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26.22 </w:t>
            </w:r>
          </w:p>
        </w:tc>
      </w:tr>
      <w:tr>
        <w:trPr>
          <w:trHeight w:val="389"/>
        </w:trPr>
        <w:tc>
          <w:tcPr>
            <w:tcW w:w="1464"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2010908</w:t>
            </w:r>
          </w:p>
        </w:tc>
        <w:tc>
          <w:tcPr>
            <w:tcW w:w="33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信息化建设</w:t>
            </w:r>
          </w:p>
        </w:tc>
        <w:tc>
          <w:tcPr>
            <w:tcW w:w="1303"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40.00 </w:t>
            </w:r>
          </w:p>
        </w:tc>
        <w:tc>
          <w:tcPr>
            <w:tcW w:w="138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40.00 </w:t>
            </w:r>
          </w:p>
        </w:tc>
        <w:tc>
          <w:tcPr>
            <w:tcW w:w="13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9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1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389"/>
        </w:trPr>
        <w:tc>
          <w:tcPr>
            <w:tcW w:w="1464"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2010909</w:t>
            </w:r>
          </w:p>
        </w:tc>
        <w:tc>
          <w:tcPr>
            <w:tcW w:w="33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海关关务</w:t>
            </w:r>
          </w:p>
        </w:tc>
        <w:tc>
          <w:tcPr>
            <w:tcW w:w="1303"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22.08 </w:t>
            </w:r>
          </w:p>
        </w:tc>
        <w:tc>
          <w:tcPr>
            <w:tcW w:w="138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22.08 </w:t>
            </w:r>
          </w:p>
        </w:tc>
        <w:tc>
          <w:tcPr>
            <w:tcW w:w="13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9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1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389"/>
        </w:trPr>
        <w:tc>
          <w:tcPr>
            <w:tcW w:w="1464"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2010912</w:t>
            </w:r>
          </w:p>
        </w:tc>
        <w:tc>
          <w:tcPr>
            <w:tcW w:w="33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检验检疫</w:t>
            </w:r>
          </w:p>
        </w:tc>
        <w:tc>
          <w:tcPr>
            <w:tcW w:w="1303"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373.97 </w:t>
            </w:r>
          </w:p>
        </w:tc>
        <w:tc>
          <w:tcPr>
            <w:tcW w:w="138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373.97 </w:t>
            </w:r>
          </w:p>
        </w:tc>
        <w:tc>
          <w:tcPr>
            <w:tcW w:w="13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9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1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389"/>
        </w:trPr>
        <w:tc>
          <w:tcPr>
            <w:tcW w:w="1464"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2010950</w:t>
            </w:r>
          </w:p>
        </w:tc>
        <w:tc>
          <w:tcPr>
            <w:tcW w:w="33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事业运行</w:t>
            </w:r>
          </w:p>
        </w:tc>
        <w:tc>
          <w:tcPr>
            <w:tcW w:w="1303"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1,697.26 </w:t>
            </w:r>
          </w:p>
        </w:tc>
        <w:tc>
          <w:tcPr>
            <w:tcW w:w="138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147.19 </w:t>
            </w:r>
          </w:p>
        </w:tc>
        <w:tc>
          <w:tcPr>
            <w:tcW w:w="13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9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1,523.86 </w:t>
            </w:r>
          </w:p>
        </w:tc>
        <w:tc>
          <w:tcPr>
            <w:tcW w:w="136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1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26.22 </w:t>
            </w:r>
          </w:p>
        </w:tc>
      </w:tr>
      <w:tr>
        <w:trPr>
          <w:trHeight w:val="389"/>
        </w:trPr>
        <w:tc>
          <w:tcPr>
            <w:tcW w:w="1464"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221</w:t>
            </w:r>
          </w:p>
        </w:tc>
        <w:tc>
          <w:tcPr>
            <w:tcW w:w="33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住房保障支出</w:t>
            </w:r>
          </w:p>
        </w:tc>
        <w:tc>
          <w:tcPr>
            <w:tcW w:w="1303"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74.21 </w:t>
            </w:r>
          </w:p>
        </w:tc>
        <w:tc>
          <w:tcPr>
            <w:tcW w:w="138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30.94 </w:t>
            </w:r>
          </w:p>
        </w:tc>
        <w:tc>
          <w:tcPr>
            <w:tcW w:w="13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9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43.27 </w:t>
            </w:r>
          </w:p>
        </w:tc>
        <w:tc>
          <w:tcPr>
            <w:tcW w:w="136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1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389"/>
        </w:trPr>
        <w:tc>
          <w:tcPr>
            <w:tcW w:w="1464"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22102</w:t>
            </w:r>
          </w:p>
        </w:tc>
        <w:tc>
          <w:tcPr>
            <w:tcW w:w="33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住房改革支出</w:t>
            </w:r>
          </w:p>
        </w:tc>
        <w:tc>
          <w:tcPr>
            <w:tcW w:w="1303"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74.21 </w:t>
            </w:r>
          </w:p>
        </w:tc>
        <w:tc>
          <w:tcPr>
            <w:tcW w:w="138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30.94 </w:t>
            </w:r>
          </w:p>
        </w:tc>
        <w:tc>
          <w:tcPr>
            <w:tcW w:w="13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9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43.27 </w:t>
            </w:r>
          </w:p>
        </w:tc>
        <w:tc>
          <w:tcPr>
            <w:tcW w:w="136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1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389"/>
        </w:trPr>
        <w:tc>
          <w:tcPr>
            <w:tcW w:w="1464"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2210201</w:t>
            </w:r>
          </w:p>
        </w:tc>
        <w:tc>
          <w:tcPr>
            <w:tcW w:w="33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住房公积金</w:t>
            </w:r>
          </w:p>
        </w:tc>
        <w:tc>
          <w:tcPr>
            <w:tcW w:w="1303"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40.31 </w:t>
            </w:r>
          </w:p>
        </w:tc>
        <w:tc>
          <w:tcPr>
            <w:tcW w:w="138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30.94 </w:t>
            </w:r>
          </w:p>
        </w:tc>
        <w:tc>
          <w:tcPr>
            <w:tcW w:w="13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9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9.37 </w:t>
            </w:r>
          </w:p>
        </w:tc>
        <w:tc>
          <w:tcPr>
            <w:tcW w:w="136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1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389"/>
        </w:trPr>
        <w:tc>
          <w:tcPr>
            <w:tcW w:w="1464"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2210203</w:t>
            </w:r>
          </w:p>
        </w:tc>
        <w:tc>
          <w:tcPr>
            <w:tcW w:w="33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购房补贴</w:t>
            </w:r>
          </w:p>
        </w:tc>
        <w:tc>
          <w:tcPr>
            <w:tcW w:w="1303"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33.90 </w:t>
            </w:r>
          </w:p>
        </w:tc>
        <w:tc>
          <w:tcPr>
            <w:tcW w:w="1389"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9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33.90 </w:t>
            </w:r>
          </w:p>
        </w:tc>
        <w:tc>
          <w:tcPr>
            <w:tcW w:w="136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1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389"/>
        </w:trPr>
        <w:tc>
          <w:tcPr>
            <w:tcW w:w="1464"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229</w:t>
            </w:r>
          </w:p>
        </w:tc>
        <w:tc>
          <w:tcPr>
            <w:tcW w:w="33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其他支出</w:t>
            </w:r>
          </w:p>
        </w:tc>
        <w:tc>
          <w:tcPr>
            <w:tcW w:w="1303"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640.00 </w:t>
            </w:r>
          </w:p>
        </w:tc>
        <w:tc>
          <w:tcPr>
            <w:tcW w:w="138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640.00 </w:t>
            </w:r>
          </w:p>
        </w:tc>
        <w:tc>
          <w:tcPr>
            <w:tcW w:w="13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9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1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389"/>
        </w:trPr>
        <w:tc>
          <w:tcPr>
            <w:tcW w:w="1464"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22998</w:t>
            </w:r>
          </w:p>
        </w:tc>
        <w:tc>
          <w:tcPr>
            <w:tcW w:w="33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超长期特别国债安排的其他支出</w:t>
            </w:r>
          </w:p>
        </w:tc>
        <w:tc>
          <w:tcPr>
            <w:tcW w:w="1303"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640.00 </w:t>
            </w:r>
          </w:p>
        </w:tc>
        <w:tc>
          <w:tcPr>
            <w:tcW w:w="138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640.00 </w:t>
            </w:r>
          </w:p>
        </w:tc>
        <w:tc>
          <w:tcPr>
            <w:tcW w:w="13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9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1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389"/>
        </w:trPr>
        <w:tc>
          <w:tcPr>
            <w:tcW w:w="1464"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2299899</w:t>
            </w:r>
          </w:p>
        </w:tc>
        <w:tc>
          <w:tcPr>
            <w:tcW w:w="33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其他支出</w:t>
            </w:r>
          </w:p>
        </w:tc>
        <w:tc>
          <w:tcPr>
            <w:tcW w:w="1303"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640.00 </w:t>
            </w:r>
          </w:p>
        </w:tc>
        <w:tc>
          <w:tcPr>
            <w:tcW w:w="138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640.00 </w:t>
            </w:r>
          </w:p>
        </w:tc>
        <w:tc>
          <w:tcPr>
            <w:tcW w:w="13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9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1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bl>
    <w:p>
      <w:pPr>
        <w:rPr>
          <w:rFonts w:ascii="宋体" w:eastAsia="宋体" w:cs="宋体"/>
          <w:color w:val="000000"/>
          <w:sz w:val="38"/>
        </w:rPr>
      </w:pPr>
    </w:p>
    <w:tbl>
      <w:tblPr>
        <w:jc w:val="left"/>
        <w:tblW w:w="1411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5"/>
        <w:gridCol w:w="450"/>
        <w:gridCol w:w="423"/>
        <w:gridCol w:w="654"/>
        <w:gridCol w:w="540"/>
        <w:gridCol w:w="1500"/>
        <w:gridCol w:w="982"/>
        <w:gridCol w:w="1785"/>
        <w:gridCol w:w="367"/>
        <w:gridCol w:w="600"/>
        <w:gridCol w:w="608"/>
        <w:gridCol w:w="727"/>
        <w:gridCol w:w="847"/>
        <w:gridCol w:w="787"/>
        <w:gridCol w:w="682"/>
        <w:gridCol w:w="787"/>
        <w:gridCol w:w="577"/>
        <w:gridCol w:w="1149"/>
        <w:gridCol w:w="216"/>
      </w:tblGrid>
      <w:tr>
        <w:trPr>
          <w:trHeight w:val="419"/>
        </w:trPr>
        <w:tc>
          <w:tcPr>
            <w:tcW w:w="14115" w:type="dxa"/>
            <w:gridSpan w:val="19"/>
            <w:tcBorders>
              <w:top w:val="nil"/>
              <w:left w:val="nil"/>
              <w:bottom w:val="nil"/>
              <w:right w:val="nil"/>
              <w:tl2br w:val="nil"/>
              <w:tr2bl w:val="nil"/>
            </w:tcBorders>
            <w:noWrap/>
            <w:vAlign w:val="center"/>
          </w:tcPr>
          <w:p>
            <w:pPr>
              <w:jc w:val="center"/>
              <w:rPr>
                <w:rFonts w:ascii="宋体" w:eastAsia="宋体" w:cs="宋体"/>
                <w:color w:val="000000"/>
                <w:sz w:val="38"/>
              </w:rPr>
            </w:pPr>
            <w:r>
              <w:rPr>
                <w:rFonts w:ascii="宋体" w:eastAsia="宋体" w:cs="宋体"/>
                <w:color w:val="000000"/>
                <w:sz w:val="38"/>
              </w:rPr>
              <w:t>支出决算批复表</w:t>
            </w:r>
          </w:p>
        </w:tc>
      </w:tr>
      <w:tr>
        <w:trPr>
          <w:trHeight w:val="419"/>
        </w:trPr>
        <w:tc>
          <w:tcPr>
            <w:tcW w:w="43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45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423" w:type="dxa"/>
            <w:tcBorders>
              <w:top w:val="nil"/>
              <w:left w:val="nil"/>
              <w:bottom w:val="nil"/>
              <w:right w:val="nil"/>
              <w:tl2br w:val="nil"/>
              <w:tr2bl w:val="nil"/>
            </w:tcBorders>
            <w:noWrap/>
            <w:vAlign w:val="center"/>
          </w:tcPr>
          <w:p>
            <w:pPr>
              <w:rPr>
                <w:rFonts w:ascii="Times New Roman" w:eastAsia="宋体" w:hAnsi="Times New Roman"/>
                <w:sz w:val="24"/>
              </w:rPr>
            </w:pPr>
          </w:p>
        </w:tc>
        <w:tc>
          <w:tcPr>
            <w:tcW w:w="3676" w:type="dxa"/>
            <w:gridSpan w:val="4"/>
            <w:tcBorders>
              <w:top w:val="nil"/>
              <w:left w:val="nil"/>
              <w:bottom w:val="nil"/>
              <w:right w:val="nil"/>
              <w:tl2br w:val="nil"/>
              <w:tr2bl w:val="nil"/>
            </w:tcBorders>
            <w:noWrap/>
            <w:vAlign w:val="center"/>
          </w:tcPr>
          <w:p>
            <w:pPr>
              <w:rPr>
                <w:rFonts w:ascii="Times New Roman" w:eastAsia="宋体" w:hAnsi="Times New Roman"/>
                <w:sz w:val="24"/>
              </w:rPr>
            </w:pPr>
          </w:p>
        </w:tc>
        <w:tc>
          <w:tcPr>
            <w:tcW w:w="178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575" w:type="dxa"/>
            <w:gridSpan w:val="3"/>
            <w:tcBorders>
              <w:top w:val="nil"/>
              <w:left w:val="nil"/>
              <w:bottom w:val="nil"/>
              <w:right w:val="nil"/>
              <w:tl2br w:val="nil"/>
              <w:tr2bl w:val="nil"/>
            </w:tcBorders>
            <w:noWrap/>
            <w:vAlign w:val="center"/>
          </w:tcPr>
          <w:p>
            <w:pPr>
              <w:rPr>
                <w:rFonts w:ascii="Times New Roman" w:eastAsia="宋体" w:hAnsi="Times New Roman"/>
                <w:sz w:val="24"/>
              </w:rPr>
            </w:pPr>
          </w:p>
        </w:tc>
        <w:tc>
          <w:tcPr>
            <w:tcW w:w="1574" w:type="dxa"/>
            <w:gridSpan w:val="2"/>
            <w:tcBorders>
              <w:top w:val="nil"/>
              <w:left w:val="nil"/>
              <w:bottom w:val="nil"/>
              <w:right w:val="nil"/>
              <w:tl2br w:val="nil"/>
              <w:tr2bl w:val="nil"/>
            </w:tcBorders>
            <w:noWrap/>
            <w:vAlign w:val="center"/>
          </w:tcPr>
          <w:p>
            <w:pPr>
              <w:rPr>
                <w:rFonts w:ascii="Times New Roman" w:eastAsia="宋体" w:hAnsi="Times New Roman"/>
                <w:sz w:val="24"/>
              </w:rPr>
            </w:pPr>
          </w:p>
        </w:tc>
        <w:tc>
          <w:tcPr>
            <w:tcW w:w="1469" w:type="dxa"/>
            <w:gridSpan w:val="2"/>
            <w:tcBorders>
              <w:top w:val="nil"/>
              <w:left w:val="nil"/>
              <w:bottom w:val="nil"/>
              <w:right w:val="nil"/>
              <w:tl2br w:val="nil"/>
              <w:tr2bl w:val="nil"/>
            </w:tcBorders>
            <w:noWrap/>
            <w:vAlign w:val="center"/>
          </w:tcPr>
          <w:p>
            <w:pPr>
              <w:rPr>
                <w:rFonts w:ascii="Times New Roman" w:eastAsia="宋体" w:hAnsi="Times New Roman"/>
                <w:sz w:val="24"/>
              </w:rPr>
            </w:pPr>
          </w:p>
        </w:tc>
        <w:tc>
          <w:tcPr>
            <w:tcW w:w="2729" w:type="dxa"/>
            <w:gridSpan w:val="4"/>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财决批复03表</w:t>
            </w:r>
          </w:p>
        </w:tc>
      </w:tr>
      <w:tr>
        <w:trPr>
          <w:trHeight w:val="419"/>
        </w:trPr>
        <w:tc>
          <w:tcPr>
            <w:tcW w:w="4983" w:type="dxa"/>
            <w:gridSpan w:val="7"/>
            <w:tcBorders>
              <w:top w:val="nil"/>
              <w:left w:val="nil"/>
              <w:bottom w:val="nil"/>
              <w:right w:val="nil"/>
              <w:tl2br w:val="nil"/>
              <w:tr2bl w:val="nil"/>
            </w:tcBorders>
            <w:noWrap/>
            <w:vAlign w:val="center"/>
          </w:tcPr>
          <w:p>
            <w:pPr>
              <w:rPr>
                <w:rFonts w:ascii="宋体" w:eastAsia="宋体" w:cs="宋体"/>
                <w:color w:val="000000"/>
                <w:sz w:val="20"/>
              </w:rPr>
            </w:pPr>
            <w:r>
              <w:rPr>
                <w:rFonts w:ascii="宋体" w:eastAsia="宋体" w:cs="宋体"/>
                <w:color w:val="000000"/>
                <w:sz w:val="20"/>
              </w:rPr>
              <w:t>单位：呼和浩特国际旅行卫生保健中心(呼和浩特海关口岸门诊部）</w:t>
            </w:r>
          </w:p>
        </w:tc>
        <w:tc>
          <w:tcPr>
            <w:tcW w:w="178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575" w:type="dxa"/>
            <w:gridSpan w:val="3"/>
            <w:tcBorders>
              <w:top w:val="nil"/>
              <w:left w:val="nil"/>
              <w:bottom w:val="nil"/>
              <w:right w:val="nil"/>
              <w:tl2br w:val="nil"/>
              <w:tr2bl w:val="nil"/>
            </w:tcBorders>
            <w:noWrap/>
            <w:vAlign w:val="center"/>
          </w:tcPr>
          <w:p>
            <w:pPr>
              <w:rPr>
                <w:rFonts w:ascii="Times New Roman" w:eastAsia="宋体" w:hAnsi="Times New Roman"/>
                <w:sz w:val="24"/>
              </w:rPr>
            </w:pPr>
          </w:p>
        </w:tc>
        <w:tc>
          <w:tcPr>
            <w:tcW w:w="1574" w:type="dxa"/>
            <w:gridSpan w:val="2"/>
            <w:tcBorders>
              <w:top w:val="nil"/>
              <w:left w:val="nil"/>
              <w:bottom w:val="nil"/>
              <w:right w:val="nil"/>
              <w:tl2br w:val="nil"/>
              <w:tr2bl w:val="nil"/>
            </w:tcBorders>
            <w:noWrap/>
            <w:vAlign w:val="center"/>
          </w:tcPr>
          <w:p>
            <w:pPr>
              <w:rPr>
                <w:rFonts w:ascii="Times New Roman" w:eastAsia="宋体" w:hAnsi="Times New Roman"/>
                <w:sz w:val="24"/>
              </w:rPr>
            </w:pPr>
          </w:p>
        </w:tc>
        <w:tc>
          <w:tcPr>
            <w:tcW w:w="1469" w:type="dxa"/>
            <w:gridSpan w:val="2"/>
            <w:tcBorders>
              <w:top w:val="nil"/>
              <w:left w:val="nil"/>
              <w:bottom w:val="nil"/>
              <w:right w:val="nil"/>
              <w:tl2br w:val="nil"/>
              <w:tr2bl w:val="nil"/>
            </w:tcBorders>
            <w:noWrap/>
            <w:vAlign w:val="center"/>
          </w:tcPr>
          <w:p>
            <w:pPr>
              <w:rPr>
                <w:rFonts w:ascii="Times New Roman" w:eastAsia="宋体" w:hAnsi="Times New Roman"/>
                <w:sz w:val="24"/>
              </w:rPr>
            </w:pPr>
          </w:p>
        </w:tc>
        <w:tc>
          <w:tcPr>
            <w:tcW w:w="2729" w:type="dxa"/>
            <w:gridSpan w:val="4"/>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金额单位：万元</w:t>
            </w:r>
          </w:p>
        </w:tc>
      </w:tr>
      <w:tr>
        <w:trPr>
          <w:trHeight w:val="419"/>
        </w:trPr>
        <w:tc>
          <w:tcPr>
            <w:tcW w:w="1307"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科目代码</w:t>
            </w:r>
          </w:p>
        </w:tc>
        <w:tc>
          <w:tcPr>
            <w:tcW w:w="3676" w:type="dxa"/>
            <w:gridSpan w:val="4"/>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科目名称</w:t>
            </w:r>
          </w:p>
        </w:tc>
        <w:tc>
          <w:tcPr>
            <w:tcW w:w="1785"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本年支出合计</w:t>
            </w:r>
          </w:p>
        </w:tc>
        <w:tc>
          <w:tcPr>
            <w:tcW w:w="1575" w:type="dxa"/>
            <w:gridSpan w:val="3"/>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基本支出</w:t>
            </w:r>
          </w:p>
        </w:tc>
        <w:tc>
          <w:tcPr>
            <w:tcW w:w="1574" w:type="dxa"/>
            <w:gridSpan w:val="2"/>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项目支出</w:t>
            </w:r>
          </w:p>
        </w:tc>
        <w:tc>
          <w:tcPr>
            <w:tcW w:w="1469" w:type="dxa"/>
            <w:gridSpan w:val="2"/>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上缴上级支出</w:t>
            </w:r>
          </w:p>
        </w:tc>
        <w:tc>
          <w:tcPr>
            <w:tcW w:w="1364" w:type="dxa"/>
            <w:gridSpan w:val="2"/>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经营支出</w:t>
            </w:r>
          </w:p>
        </w:tc>
        <w:tc>
          <w:tcPr>
            <w:tcW w:w="1365" w:type="dxa"/>
            <w:gridSpan w:val="2"/>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对附属单位补助支出</w:t>
            </w:r>
          </w:p>
        </w:tc>
      </w:tr>
      <w:tr>
        <w:trPr>
          <w:trHeight w:val="284"/>
        </w:trPr>
        <w:tc>
          <w:tcPr>
            <w:tcW w:w="435" w:type="dxa"/>
            <w:vMerge w:val="restart"/>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类</w:t>
            </w:r>
          </w:p>
        </w:tc>
        <w:tc>
          <w:tcPr>
            <w:tcW w:w="450"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款</w:t>
            </w:r>
          </w:p>
        </w:tc>
        <w:tc>
          <w:tcPr>
            <w:tcW w:w="423"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w:t>
            </w:r>
          </w:p>
        </w:tc>
        <w:tc>
          <w:tcPr>
            <w:tcW w:w="3676" w:type="dxa"/>
            <w:gridSpan w:val="4"/>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栏次</w:t>
            </w:r>
          </w:p>
        </w:tc>
        <w:tc>
          <w:tcPr>
            <w:tcW w:w="178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w:t>
            </w:r>
          </w:p>
        </w:tc>
        <w:tc>
          <w:tcPr>
            <w:tcW w:w="1575" w:type="dxa"/>
            <w:gridSpan w:val="3"/>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w:t>
            </w:r>
          </w:p>
        </w:tc>
        <w:tc>
          <w:tcPr>
            <w:tcW w:w="1574" w:type="dxa"/>
            <w:gridSpan w:val="2"/>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w:t>
            </w:r>
          </w:p>
        </w:tc>
        <w:tc>
          <w:tcPr>
            <w:tcW w:w="1469" w:type="dxa"/>
            <w:gridSpan w:val="2"/>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w:t>
            </w:r>
          </w:p>
        </w:tc>
        <w:tc>
          <w:tcPr>
            <w:tcW w:w="1364" w:type="dxa"/>
            <w:gridSpan w:val="2"/>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w:t>
            </w:r>
          </w:p>
        </w:tc>
        <w:tc>
          <w:tcPr>
            <w:tcW w:w="1365" w:type="dxa"/>
            <w:gridSpan w:val="2"/>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6</w:t>
            </w:r>
          </w:p>
        </w:tc>
      </w:tr>
      <w:tr>
        <w:trPr>
          <w:trHeight w:val="284"/>
        </w:trPr>
        <w:tc>
          <w:tcPr>
            <w:tcW w:w="434" w:type="dxa"/>
            <w:vMerge/>
            <w:tcBorders>
              <w:top w:val="nil"/>
              <w:left w:val="single" w:sz="6" w:space="0" w:color="000000"/>
              <w:bottom w:val="single" w:sz="6" w:space="0" w:color="000000"/>
              <w:right w:val="single" w:sz="6" w:space="0" w:color="000000"/>
              <w:tl2br w:val="nil"/>
              <w:tr2bl w:val="nil"/>
            </w:tcBorders>
            <w:noWrap/>
            <w:vAlign w:val="center"/>
          </w:tcPr>
          <w:p/>
        </w:tc>
        <w:tc>
          <w:tcPr>
            <w:tcW w:w="449" w:type="dxa"/>
            <w:vMerge/>
            <w:tcBorders>
              <w:top w:val="nil"/>
              <w:left w:val="nil"/>
              <w:bottom w:val="single" w:sz="6" w:space="0" w:color="000000"/>
              <w:right w:val="single" w:sz="6" w:space="0" w:color="000000"/>
              <w:tl2br w:val="nil"/>
              <w:tr2bl w:val="nil"/>
            </w:tcBorders>
            <w:noWrap/>
            <w:vAlign w:val="center"/>
          </w:tcPr>
          <w:p/>
        </w:tc>
        <w:tc>
          <w:tcPr>
            <w:tcW w:w="423" w:type="dxa"/>
            <w:vMerge/>
            <w:tcBorders>
              <w:top w:val="nil"/>
              <w:left w:val="nil"/>
              <w:bottom w:val="single" w:sz="6" w:space="0" w:color="000000"/>
              <w:right w:val="single" w:sz="6" w:space="0" w:color="000000"/>
              <w:tl2br w:val="nil"/>
              <w:tr2bl w:val="nil"/>
            </w:tcBorders>
            <w:noWrap/>
            <w:vAlign w:val="center"/>
          </w:tcPr>
          <w:p/>
        </w:tc>
        <w:tc>
          <w:tcPr>
            <w:tcW w:w="3676" w:type="dxa"/>
            <w:gridSpan w:val="4"/>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合计</w:t>
            </w:r>
          </w:p>
        </w:tc>
        <w:tc>
          <w:tcPr>
            <w:tcW w:w="178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2,277.38</w:t>
            </w:r>
          </w:p>
        </w:tc>
        <w:tc>
          <w:tcPr>
            <w:tcW w:w="1575" w:type="dxa"/>
            <w:gridSpan w:val="3"/>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1,754.73</w:t>
            </w:r>
          </w:p>
        </w:tc>
        <w:tc>
          <w:tcPr>
            <w:tcW w:w="157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522.65</w:t>
            </w: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19"/>
        </w:trPr>
        <w:tc>
          <w:tcPr>
            <w:tcW w:w="1307"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w:t>
            </w:r>
          </w:p>
        </w:tc>
        <w:tc>
          <w:tcPr>
            <w:tcW w:w="3676" w:type="dxa"/>
            <w:gridSpan w:val="4"/>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一般公共服务支出</w:t>
            </w:r>
          </w:p>
        </w:tc>
        <w:tc>
          <w:tcPr>
            <w:tcW w:w="178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2,098.28 </w:t>
            </w:r>
          </w:p>
        </w:tc>
        <w:tc>
          <w:tcPr>
            <w:tcW w:w="1575" w:type="dxa"/>
            <w:gridSpan w:val="3"/>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1,680.52 </w:t>
            </w:r>
          </w:p>
        </w:tc>
        <w:tc>
          <w:tcPr>
            <w:tcW w:w="157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417.76 </w:t>
            </w: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19"/>
        </w:trPr>
        <w:tc>
          <w:tcPr>
            <w:tcW w:w="1307"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20109</w:t>
            </w:r>
          </w:p>
        </w:tc>
        <w:tc>
          <w:tcPr>
            <w:tcW w:w="3676" w:type="dxa"/>
            <w:gridSpan w:val="4"/>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海关事务</w:t>
            </w:r>
          </w:p>
        </w:tc>
        <w:tc>
          <w:tcPr>
            <w:tcW w:w="178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2,098.28 </w:t>
            </w:r>
          </w:p>
        </w:tc>
        <w:tc>
          <w:tcPr>
            <w:tcW w:w="1575" w:type="dxa"/>
            <w:gridSpan w:val="3"/>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1,680.52 </w:t>
            </w:r>
          </w:p>
        </w:tc>
        <w:tc>
          <w:tcPr>
            <w:tcW w:w="157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417.76 </w:t>
            </w: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19"/>
        </w:trPr>
        <w:tc>
          <w:tcPr>
            <w:tcW w:w="1307"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2010908</w:t>
            </w:r>
          </w:p>
        </w:tc>
        <w:tc>
          <w:tcPr>
            <w:tcW w:w="3676" w:type="dxa"/>
            <w:gridSpan w:val="4"/>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信息化建设</w:t>
            </w:r>
          </w:p>
        </w:tc>
        <w:tc>
          <w:tcPr>
            <w:tcW w:w="178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21.71 </w:t>
            </w:r>
          </w:p>
        </w:tc>
        <w:tc>
          <w:tcPr>
            <w:tcW w:w="1575" w:type="dxa"/>
            <w:gridSpan w:val="3"/>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57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21.71 </w:t>
            </w: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19"/>
        </w:trPr>
        <w:tc>
          <w:tcPr>
            <w:tcW w:w="1307"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2010909</w:t>
            </w:r>
          </w:p>
        </w:tc>
        <w:tc>
          <w:tcPr>
            <w:tcW w:w="3676" w:type="dxa"/>
            <w:gridSpan w:val="4"/>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海关关务</w:t>
            </w:r>
          </w:p>
        </w:tc>
        <w:tc>
          <w:tcPr>
            <w:tcW w:w="178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22.08 </w:t>
            </w:r>
          </w:p>
        </w:tc>
        <w:tc>
          <w:tcPr>
            <w:tcW w:w="1575" w:type="dxa"/>
            <w:gridSpan w:val="3"/>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57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22.08 </w:t>
            </w: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19"/>
        </w:trPr>
        <w:tc>
          <w:tcPr>
            <w:tcW w:w="1307"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2010912</w:t>
            </w:r>
          </w:p>
        </w:tc>
        <w:tc>
          <w:tcPr>
            <w:tcW w:w="3676" w:type="dxa"/>
            <w:gridSpan w:val="4"/>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检验检疫</w:t>
            </w:r>
          </w:p>
        </w:tc>
        <w:tc>
          <w:tcPr>
            <w:tcW w:w="178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373.97 </w:t>
            </w:r>
          </w:p>
        </w:tc>
        <w:tc>
          <w:tcPr>
            <w:tcW w:w="1575" w:type="dxa"/>
            <w:gridSpan w:val="3"/>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57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373.97 </w:t>
            </w: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19"/>
        </w:trPr>
        <w:tc>
          <w:tcPr>
            <w:tcW w:w="1307"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2010950</w:t>
            </w:r>
          </w:p>
        </w:tc>
        <w:tc>
          <w:tcPr>
            <w:tcW w:w="3676" w:type="dxa"/>
            <w:gridSpan w:val="4"/>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事业运行</w:t>
            </w:r>
          </w:p>
        </w:tc>
        <w:tc>
          <w:tcPr>
            <w:tcW w:w="178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1,680.52 </w:t>
            </w:r>
          </w:p>
        </w:tc>
        <w:tc>
          <w:tcPr>
            <w:tcW w:w="1575" w:type="dxa"/>
            <w:gridSpan w:val="3"/>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1,680.52 </w:t>
            </w:r>
          </w:p>
        </w:tc>
        <w:tc>
          <w:tcPr>
            <w:tcW w:w="157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19"/>
        </w:trPr>
        <w:tc>
          <w:tcPr>
            <w:tcW w:w="1307"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221</w:t>
            </w:r>
          </w:p>
        </w:tc>
        <w:tc>
          <w:tcPr>
            <w:tcW w:w="3676" w:type="dxa"/>
            <w:gridSpan w:val="4"/>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住房保障支出</w:t>
            </w:r>
          </w:p>
        </w:tc>
        <w:tc>
          <w:tcPr>
            <w:tcW w:w="178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74.21 </w:t>
            </w:r>
          </w:p>
        </w:tc>
        <w:tc>
          <w:tcPr>
            <w:tcW w:w="1575" w:type="dxa"/>
            <w:gridSpan w:val="3"/>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74.21 </w:t>
            </w:r>
          </w:p>
        </w:tc>
        <w:tc>
          <w:tcPr>
            <w:tcW w:w="157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19"/>
        </w:trPr>
        <w:tc>
          <w:tcPr>
            <w:tcW w:w="1307"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22102</w:t>
            </w:r>
          </w:p>
        </w:tc>
        <w:tc>
          <w:tcPr>
            <w:tcW w:w="3676" w:type="dxa"/>
            <w:gridSpan w:val="4"/>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住房改革支出</w:t>
            </w:r>
          </w:p>
        </w:tc>
        <w:tc>
          <w:tcPr>
            <w:tcW w:w="178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74.21 </w:t>
            </w:r>
          </w:p>
        </w:tc>
        <w:tc>
          <w:tcPr>
            <w:tcW w:w="1575" w:type="dxa"/>
            <w:gridSpan w:val="3"/>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74.21 </w:t>
            </w:r>
          </w:p>
        </w:tc>
        <w:tc>
          <w:tcPr>
            <w:tcW w:w="157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19"/>
        </w:trPr>
        <w:tc>
          <w:tcPr>
            <w:tcW w:w="1307"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2210201</w:t>
            </w:r>
          </w:p>
        </w:tc>
        <w:tc>
          <w:tcPr>
            <w:tcW w:w="3676" w:type="dxa"/>
            <w:gridSpan w:val="4"/>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住房公积金</w:t>
            </w:r>
          </w:p>
        </w:tc>
        <w:tc>
          <w:tcPr>
            <w:tcW w:w="178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40.31 </w:t>
            </w:r>
          </w:p>
        </w:tc>
        <w:tc>
          <w:tcPr>
            <w:tcW w:w="1575" w:type="dxa"/>
            <w:gridSpan w:val="3"/>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40.31 </w:t>
            </w:r>
          </w:p>
        </w:tc>
        <w:tc>
          <w:tcPr>
            <w:tcW w:w="157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19"/>
        </w:trPr>
        <w:tc>
          <w:tcPr>
            <w:tcW w:w="1307"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2210203</w:t>
            </w:r>
          </w:p>
        </w:tc>
        <w:tc>
          <w:tcPr>
            <w:tcW w:w="3676" w:type="dxa"/>
            <w:gridSpan w:val="4"/>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购房补贴</w:t>
            </w:r>
          </w:p>
        </w:tc>
        <w:tc>
          <w:tcPr>
            <w:tcW w:w="178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33.90 </w:t>
            </w:r>
          </w:p>
        </w:tc>
        <w:tc>
          <w:tcPr>
            <w:tcW w:w="1575" w:type="dxa"/>
            <w:gridSpan w:val="3"/>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33.90 </w:t>
            </w:r>
          </w:p>
        </w:tc>
        <w:tc>
          <w:tcPr>
            <w:tcW w:w="157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19"/>
        </w:trPr>
        <w:tc>
          <w:tcPr>
            <w:tcW w:w="1307"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229</w:t>
            </w:r>
          </w:p>
        </w:tc>
        <w:tc>
          <w:tcPr>
            <w:tcW w:w="3676" w:type="dxa"/>
            <w:gridSpan w:val="4"/>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其他支出</w:t>
            </w:r>
          </w:p>
        </w:tc>
        <w:tc>
          <w:tcPr>
            <w:tcW w:w="178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104.89 </w:t>
            </w:r>
          </w:p>
        </w:tc>
        <w:tc>
          <w:tcPr>
            <w:tcW w:w="1575" w:type="dxa"/>
            <w:gridSpan w:val="3"/>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57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104.89 </w:t>
            </w: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19"/>
        </w:trPr>
        <w:tc>
          <w:tcPr>
            <w:tcW w:w="1307"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22998</w:t>
            </w:r>
          </w:p>
        </w:tc>
        <w:tc>
          <w:tcPr>
            <w:tcW w:w="3676" w:type="dxa"/>
            <w:gridSpan w:val="4"/>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超长期特别国债安排的其他支出</w:t>
            </w:r>
          </w:p>
        </w:tc>
        <w:tc>
          <w:tcPr>
            <w:tcW w:w="178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104.89 </w:t>
            </w:r>
          </w:p>
        </w:tc>
        <w:tc>
          <w:tcPr>
            <w:tcW w:w="1575" w:type="dxa"/>
            <w:gridSpan w:val="3"/>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57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104.89 </w:t>
            </w: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19"/>
        </w:trPr>
        <w:tc>
          <w:tcPr>
            <w:tcW w:w="1307"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2299899</w:t>
            </w:r>
          </w:p>
        </w:tc>
        <w:tc>
          <w:tcPr>
            <w:tcW w:w="3676" w:type="dxa"/>
            <w:gridSpan w:val="4"/>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其他支出</w:t>
            </w:r>
          </w:p>
        </w:tc>
        <w:tc>
          <w:tcPr>
            <w:tcW w:w="178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104.89 </w:t>
            </w:r>
          </w:p>
        </w:tc>
        <w:tc>
          <w:tcPr>
            <w:tcW w:w="1575" w:type="dxa"/>
            <w:gridSpan w:val="3"/>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57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104.89 </w:t>
            </w: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36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94"/>
          <w:gridAfter w:val="1"/>
          <w:wAfter w:w="216" w:type="dxa"/>
        </w:trPr>
        <w:tc>
          <w:tcPr>
            <w:tcW w:w="13899" w:type="dxa"/>
            <w:gridSpan w:val="18"/>
            <w:tcBorders>
              <w:top w:val="nil"/>
              <w:left w:val="nil"/>
              <w:bottom w:val="nil"/>
              <w:right w:val="nil"/>
              <w:tl2br w:val="nil"/>
              <w:tr2bl w:val="nil"/>
            </w:tcBorders>
            <w:noWrap/>
            <w:vAlign w:val="center"/>
          </w:tcPr>
          <w:p>
            <w:pPr>
              <w:jc w:val="center"/>
              <w:rPr>
                <w:rFonts w:ascii="宋体" w:eastAsia="宋体" w:cs="宋体"/>
                <w:color w:val="000000"/>
                <w:sz w:val="38"/>
              </w:rPr>
            </w:pPr>
            <w:r>
              <w:rPr>
                <w:rFonts w:ascii="宋体" w:eastAsia="宋体" w:cs="宋体"/>
                <w:color w:val="000000"/>
                <w:sz w:val="38"/>
              </w:rPr>
              <w:t>财政拨款收入支出决算批复表</w:t>
            </w:r>
          </w:p>
        </w:tc>
      </w:tr>
      <w:tr>
        <w:trPr>
          <w:trHeight w:val="284"/>
          <w:gridAfter w:val="1"/>
          <w:wAfter w:w="216" w:type="dxa"/>
        </w:trPr>
        <w:tc>
          <w:tcPr>
            <w:tcW w:w="1962" w:type="dxa"/>
            <w:gridSpan w:val="4"/>
            <w:tcBorders>
              <w:top w:val="nil"/>
              <w:left w:val="nil"/>
              <w:bottom w:val="nil"/>
              <w:right w:val="nil"/>
              <w:tl2br w:val="nil"/>
              <w:tr2bl w:val="nil"/>
            </w:tcBorders>
            <w:noWrap/>
            <w:vAlign w:val="center"/>
          </w:tcPr>
          <w:p>
            <w:pPr>
              <w:rPr>
                <w:rFonts w:ascii="Times New Roman" w:eastAsia="宋体" w:hAnsi="Times New Roman"/>
                <w:sz w:val="24"/>
              </w:rPr>
            </w:pPr>
          </w:p>
        </w:tc>
        <w:tc>
          <w:tcPr>
            <w:tcW w:w="54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50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3134" w:type="dxa"/>
            <w:gridSpan w:val="3"/>
            <w:tcBorders>
              <w:top w:val="nil"/>
              <w:left w:val="nil"/>
              <w:bottom w:val="nil"/>
              <w:right w:val="nil"/>
              <w:tl2br w:val="nil"/>
              <w:tr2bl w:val="nil"/>
            </w:tcBorders>
            <w:noWrap/>
            <w:vAlign w:val="center"/>
          </w:tcPr>
          <w:p>
            <w:pPr>
              <w:rPr>
                <w:rFonts w:ascii="Times New Roman" w:eastAsia="宋体" w:hAnsi="Times New Roman"/>
                <w:sz w:val="24"/>
              </w:rPr>
            </w:pPr>
          </w:p>
        </w:tc>
        <w:tc>
          <w:tcPr>
            <w:tcW w:w="60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335" w:type="dxa"/>
            <w:gridSpan w:val="2"/>
            <w:tcBorders>
              <w:top w:val="nil"/>
              <w:left w:val="nil"/>
              <w:bottom w:val="nil"/>
              <w:right w:val="nil"/>
              <w:tl2br w:val="nil"/>
              <w:tr2bl w:val="nil"/>
            </w:tcBorders>
            <w:noWrap/>
            <w:vAlign w:val="center"/>
          </w:tcPr>
          <w:p>
            <w:pPr>
              <w:rPr>
                <w:rFonts w:ascii="Times New Roman" w:eastAsia="宋体" w:hAnsi="Times New Roman"/>
                <w:sz w:val="24"/>
              </w:rPr>
            </w:pPr>
          </w:p>
        </w:tc>
        <w:tc>
          <w:tcPr>
            <w:tcW w:w="1634" w:type="dxa"/>
            <w:gridSpan w:val="2"/>
            <w:tcBorders>
              <w:top w:val="nil"/>
              <w:left w:val="nil"/>
              <w:bottom w:val="nil"/>
              <w:right w:val="nil"/>
              <w:tl2br w:val="nil"/>
              <w:tr2bl w:val="nil"/>
            </w:tcBorders>
            <w:noWrap/>
            <w:vAlign w:val="center"/>
          </w:tcPr>
          <w:p>
            <w:pPr>
              <w:rPr>
                <w:rFonts w:ascii="Times New Roman" w:eastAsia="宋体" w:hAnsi="Times New Roman"/>
                <w:sz w:val="24"/>
              </w:rPr>
            </w:pPr>
          </w:p>
        </w:tc>
        <w:tc>
          <w:tcPr>
            <w:tcW w:w="3194" w:type="dxa"/>
            <w:gridSpan w:val="4"/>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财决批复04表</w:t>
            </w:r>
          </w:p>
        </w:tc>
      </w:tr>
      <w:tr>
        <w:trPr>
          <w:trHeight w:val="284"/>
          <w:gridAfter w:val="1"/>
          <w:wAfter w:w="216" w:type="dxa"/>
        </w:trPr>
        <w:tc>
          <w:tcPr>
            <w:tcW w:w="7135" w:type="dxa"/>
            <w:gridSpan w:val="9"/>
            <w:tcBorders>
              <w:top w:val="nil"/>
              <w:left w:val="nil"/>
              <w:bottom w:val="nil"/>
              <w:right w:val="nil"/>
              <w:tl2br w:val="nil"/>
              <w:tr2bl w:val="nil"/>
            </w:tcBorders>
            <w:noWrap/>
            <w:vAlign w:val="center"/>
          </w:tcPr>
          <w:p>
            <w:pPr>
              <w:rPr>
                <w:rFonts w:ascii="宋体" w:eastAsia="宋体" w:cs="宋体"/>
                <w:color w:val="000000"/>
                <w:sz w:val="20"/>
              </w:rPr>
            </w:pPr>
            <w:r>
              <w:rPr>
                <w:rFonts w:ascii="宋体" w:eastAsia="宋体" w:cs="宋体"/>
                <w:color w:val="000000"/>
                <w:sz w:val="20"/>
              </w:rPr>
              <w:t>单位：呼和浩特国际旅行卫生保健中心(呼和浩特海关口岸门诊部）</w:t>
            </w:r>
          </w:p>
        </w:tc>
        <w:tc>
          <w:tcPr>
            <w:tcW w:w="60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335" w:type="dxa"/>
            <w:gridSpan w:val="2"/>
            <w:tcBorders>
              <w:top w:val="nil"/>
              <w:left w:val="nil"/>
              <w:bottom w:val="nil"/>
              <w:right w:val="nil"/>
              <w:tl2br w:val="nil"/>
              <w:tr2bl w:val="nil"/>
            </w:tcBorders>
            <w:noWrap/>
            <w:vAlign w:val="center"/>
          </w:tcPr>
          <w:p>
            <w:pPr>
              <w:rPr>
                <w:rFonts w:ascii="Times New Roman" w:eastAsia="宋体" w:hAnsi="Times New Roman"/>
                <w:sz w:val="24"/>
              </w:rPr>
            </w:pPr>
          </w:p>
        </w:tc>
        <w:tc>
          <w:tcPr>
            <w:tcW w:w="1634" w:type="dxa"/>
            <w:gridSpan w:val="2"/>
            <w:tcBorders>
              <w:top w:val="nil"/>
              <w:left w:val="nil"/>
              <w:bottom w:val="nil"/>
              <w:right w:val="nil"/>
              <w:tl2br w:val="nil"/>
              <w:tr2bl w:val="nil"/>
            </w:tcBorders>
            <w:noWrap/>
            <w:vAlign w:val="center"/>
          </w:tcPr>
          <w:p>
            <w:pPr>
              <w:rPr>
                <w:rFonts w:ascii="Times New Roman" w:eastAsia="宋体" w:hAnsi="Times New Roman"/>
                <w:sz w:val="24"/>
              </w:rPr>
            </w:pPr>
          </w:p>
        </w:tc>
        <w:tc>
          <w:tcPr>
            <w:tcW w:w="3194" w:type="dxa"/>
            <w:gridSpan w:val="4"/>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金额单位：万元</w:t>
            </w:r>
          </w:p>
        </w:tc>
      </w:tr>
      <w:tr>
        <w:trPr>
          <w:trHeight w:val="284"/>
          <w:gridAfter w:val="1"/>
          <w:wAfter w:w="216" w:type="dxa"/>
        </w:trPr>
        <w:tc>
          <w:tcPr>
            <w:tcW w:w="4001" w:type="dxa"/>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收     入</w:t>
            </w:r>
          </w:p>
        </w:tc>
        <w:tc>
          <w:tcPr>
            <w:tcW w:w="9898" w:type="dxa"/>
            <w:gridSpan w:val="12"/>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支     出</w:t>
            </w:r>
          </w:p>
        </w:tc>
      </w:tr>
      <w:tr>
        <w:trPr>
          <w:trHeight w:val="479"/>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项目</w:t>
            </w: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行次</w:t>
            </w:r>
          </w:p>
        </w:tc>
        <w:tc>
          <w:tcPr>
            <w:tcW w:w="15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金额</w:t>
            </w:r>
          </w:p>
        </w:tc>
        <w:tc>
          <w:tcPr>
            <w:tcW w:w="3134" w:type="dxa"/>
            <w:gridSpan w:val="3"/>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项目</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行次</w:t>
            </w:r>
          </w:p>
        </w:tc>
        <w:tc>
          <w:tcPr>
            <w:tcW w:w="1335" w:type="dxa"/>
            <w:gridSpan w:val="2"/>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合计</w:t>
            </w:r>
          </w:p>
        </w:tc>
        <w:tc>
          <w:tcPr>
            <w:tcW w:w="1634" w:type="dxa"/>
            <w:gridSpan w:val="2"/>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一般公共预算财政拨款</w:t>
            </w:r>
          </w:p>
        </w:tc>
        <w:tc>
          <w:tcPr>
            <w:tcW w:w="1469" w:type="dxa"/>
            <w:gridSpan w:val="2"/>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政府性基金预算财政拨款</w:t>
            </w:r>
          </w:p>
        </w:tc>
        <w:tc>
          <w:tcPr>
            <w:tcW w:w="1725" w:type="dxa"/>
            <w:gridSpan w:val="2"/>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国有资本经营预算财政拨款</w:t>
            </w: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栏次</w:t>
            </w: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sz w:val="20"/>
              </w:rPr>
            </w:pPr>
          </w:p>
        </w:tc>
        <w:tc>
          <w:tcPr>
            <w:tcW w:w="15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w:t>
            </w:r>
          </w:p>
        </w:tc>
        <w:tc>
          <w:tcPr>
            <w:tcW w:w="3134" w:type="dxa"/>
            <w:gridSpan w:val="3"/>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栏次</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sz w:val="20"/>
              </w:rPr>
            </w:pPr>
          </w:p>
        </w:tc>
        <w:tc>
          <w:tcPr>
            <w:tcW w:w="1335" w:type="dxa"/>
            <w:gridSpan w:val="2"/>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w:t>
            </w:r>
          </w:p>
        </w:tc>
        <w:tc>
          <w:tcPr>
            <w:tcW w:w="1634" w:type="dxa"/>
            <w:gridSpan w:val="2"/>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w:t>
            </w:r>
          </w:p>
        </w:tc>
        <w:tc>
          <w:tcPr>
            <w:tcW w:w="1469" w:type="dxa"/>
            <w:gridSpan w:val="2"/>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w:t>
            </w:r>
          </w:p>
        </w:tc>
        <w:tc>
          <w:tcPr>
            <w:tcW w:w="1725" w:type="dxa"/>
            <w:gridSpan w:val="2"/>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w:t>
            </w: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一、一般公共预算财政拨款</w:t>
            </w: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614.18</w:t>
            </w: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一、一般公共服务支出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33</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564.95</w:t>
            </w: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564.95</w:t>
            </w: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二、政府性基金预算财政拨款</w:t>
            </w: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640.00</w:t>
            </w: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二、外交支出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34</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79"/>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三、国有资本经营预算财政拨款</w:t>
            </w: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三、国防支出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35</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四、公共安全支出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36</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五、教育支出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37</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6</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六、科学技术支出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38</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7</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七、文化旅游体育与传媒支出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39</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8</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八、社会保障和就业支出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40</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9</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九、卫生健康支出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41</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10</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十、节能环保支出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42</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11</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十一、城乡社区支出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43</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12</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十二、农林水支出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44</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13</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十三、交通运输支出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45</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14</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十四、资源勘探工业信息等支出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46</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15</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十五、商业服务业等支出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47</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16</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十六、金融支出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48</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17</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十七、援助其他地区支出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49</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18</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十八、自然资源海洋气象等支出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50</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19</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十九、住房保障支出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51</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30.94</w:t>
            </w: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30.94</w:t>
            </w: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20</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二十、粮油物资储备支出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52</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21</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二十一、国有资本经营预算支出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53</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22</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二十二、灾害防治及应急管理支出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54</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23</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二十三、其他支出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55</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104.89</w:t>
            </w: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104.89</w:t>
            </w: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24</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二十四、债务还本支出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56</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25</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二十五、债务付息支出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57</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26</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二十六、抗疫特别国债安排的支出</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58</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本年收入合计</w:t>
            </w: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27</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1,254.18</w:t>
            </w:r>
          </w:p>
        </w:tc>
        <w:tc>
          <w:tcPr>
            <w:tcW w:w="3134" w:type="dxa"/>
            <w:gridSpan w:val="3"/>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本年支出合计</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59</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700.78</w:t>
            </w: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595.89</w:t>
            </w: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104.89</w:t>
            </w: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年初结转和结余</w:t>
            </w: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28</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44.14</w:t>
            </w: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年末结转和结余</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60</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597.55</w:t>
            </w: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18.29</w:t>
            </w: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579.25</w:t>
            </w: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一般公共预算财政拨款</w:t>
            </w: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29</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sz w:val="20"/>
              </w:rPr>
            </w:pP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61</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政府性基金预算财政拨款</w:t>
            </w: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30</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44.14</w:t>
            </w: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sz w:val="20"/>
              </w:rPr>
            </w:pP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62</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79"/>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国有资本经营预算财政拨款</w:t>
            </w: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31</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3134" w:type="dxa"/>
            <w:gridSpan w:val="3"/>
            <w:tcBorders>
              <w:top w:val="nil"/>
              <w:left w:val="nil"/>
              <w:bottom w:val="single" w:sz="6" w:space="0" w:color="000000"/>
              <w:right w:val="single" w:sz="6" w:space="0" w:color="000000"/>
              <w:tl2br w:val="nil"/>
              <w:tr2bl w:val="nil"/>
            </w:tcBorders>
            <w:noWrap/>
            <w:vAlign w:val="center"/>
          </w:tcPr>
          <w:p>
            <w:pPr>
              <w:rPr>
                <w:rFonts w:ascii="宋体" w:eastAsia="宋体"/>
                <w:sz w:val="20"/>
              </w:rPr>
            </w:pP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63</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gridAfter w:val="1"/>
          <w:wAfter w:w="216" w:type="dxa"/>
        </w:trPr>
        <w:tc>
          <w:tcPr>
            <w:tcW w:w="1962" w:type="dxa"/>
            <w:gridSpan w:val="4"/>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总计</w:t>
            </w:r>
          </w:p>
        </w:tc>
        <w:tc>
          <w:tcPr>
            <w:tcW w:w="5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32</w:t>
            </w:r>
          </w:p>
        </w:tc>
        <w:tc>
          <w:tcPr>
            <w:tcW w:w="150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1,298.32</w:t>
            </w:r>
          </w:p>
        </w:tc>
        <w:tc>
          <w:tcPr>
            <w:tcW w:w="3134" w:type="dxa"/>
            <w:gridSpan w:val="3"/>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总计</w:t>
            </w:r>
          </w:p>
        </w:tc>
        <w:tc>
          <w:tcPr>
            <w:tcW w:w="60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64</w:t>
            </w:r>
          </w:p>
        </w:tc>
        <w:tc>
          <w:tcPr>
            <w:tcW w:w="133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1,298.32</w:t>
            </w:r>
          </w:p>
        </w:tc>
        <w:tc>
          <w:tcPr>
            <w:tcW w:w="1634"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614.18</w:t>
            </w:r>
          </w:p>
        </w:tc>
        <w:tc>
          <w:tcPr>
            <w:tcW w:w="1469"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684.14</w:t>
            </w:r>
          </w:p>
        </w:tc>
        <w:tc>
          <w:tcPr>
            <w:tcW w:w="1725" w:type="dxa"/>
            <w:gridSpan w:val="2"/>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bl>
    <w:p/>
    <w:p/>
    <w:p/>
    <w:p/>
    <w:p/>
    <w:p/>
    <w:p>
      <w:pPr>
        <w:pStyle w:val="34"/>
        <w:rPr>
          <w:rFonts w:hint="eastAsia"/>
        </w:rPr>
      </w:pPr>
    </w:p>
    <w:p>
      <w:pPr>
        <w:pStyle w:val="34"/>
        <w:rPr>
          <w:rFonts w:hint="eastAsia"/>
        </w:rPr>
      </w:pPr>
    </w:p>
    <w:p>
      <w:pPr>
        <w:pStyle w:val="34"/>
        <w:rPr>
          <w:rFonts w:hint="eastAsia"/>
        </w:rPr>
      </w:pPr>
    </w:p>
    <w:p>
      <w:pPr>
        <w:pStyle w:val="34"/>
        <w:rPr>
          <w:rFonts w:hint="eastAsia"/>
        </w:rPr>
      </w:pPr>
    </w:p>
    <w:p>
      <w:pPr>
        <w:pStyle w:val="34"/>
        <w:rPr>
          <w:rFonts w:hint="eastAsia"/>
        </w:rPr>
      </w:pPr>
    </w:p>
    <w:p>
      <w:pPr>
        <w:pStyle w:val="34"/>
        <w:rPr>
          <w:rFonts w:hint="eastAsia"/>
        </w:rPr>
      </w:pPr>
    </w:p>
    <w:p>
      <w:pPr>
        <w:pStyle w:val="34"/>
        <w:rPr>
          <w:rFonts w:hint="eastAsia"/>
        </w:rPr>
      </w:pPr>
    </w:p>
    <w:p/>
    <w:tbl>
      <w:tblPr>
        <w:jc w:val="lef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449"/>
        <w:gridCol w:w="415"/>
        <w:gridCol w:w="420"/>
        <w:gridCol w:w="1814"/>
        <w:gridCol w:w="517"/>
        <w:gridCol w:w="524"/>
        <w:gridCol w:w="629"/>
        <w:gridCol w:w="1054"/>
        <w:gridCol w:w="1050"/>
        <w:gridCol w:w="1050"/>
        <w:gridCol w:w="1050"/>
        <w:gridCol w:w="1050"/>
        <w:gridCol w:w="1051"/>
        <w:gridCol w:w="735"/>
        <w:gridCol w:w="735"/>
        <w:gridCol w:w="735"/>
        <w:gridCol w:w="631"/>
      </w:tblGrid>
      <w:tr>
        <w:trPr>
          <w:trHeight w:val="434"/>
        </w:trPr>
        <w:tc>
          <w:tcPr>
            <w:tcW w:w="13908" w:type="dxa"/>
            <w:gridSpan w:val="17"/>
            <w:tcBorders>
              <w:top w:val="nil"/>
              <w:left w:val="nil"/>
              <w:bottom w:val="nil"/>
              <w:right w:val="nil"/>
              <w:tl2br w:val="nil"/>
              <w:tr2bl w:val="nil"/>
            </w:tcBorders>
            <w:noWrap/>
            <w:vAlign w:val="center"/>
          </w:tcPr>
          <w:p>
            <w:pPr>
              <w:jc w:val="center"/>
              <w:rPr>
                <w:rFonts w:ascii="宋体" w:eastAsia="宋体" w:cs="宋体"/>
                <w:color w:val="000000"/>
                <w:sz w:val="38"/>
              </w:rPr>
            </w:pPr>
            <w:r>
              <w:rPr>
                <w:rFonts w:ascii="宋体" w:eastAsia="宋体" w:cs="宋体"/>
                <w:color w:val="000000"/>
                <w:sz w:val="38"/>
              </w:rPr>
              <w:t>一般公共预算财政拨款收入支出决算批复表</w:t>
            </w:r>
          </w:p>
        </w:tc>
      </w:tr>
      <w:tr>
        <w:trPr>
          <w:trHeight w:val="434"/>
        </w:trPr>
        <w:tc>
          <w:tcPr>
            <w:tcW w:w="449" w:type="dxa"/>
            <w:tcBorders>
              <w:top w:val="nil"/>
              <w:left w:val="nil"/>
              <w:bottom w:val="nil"/>
              <w:right w:val="nil"/>
              <w:tl2br w:val="nil"/>
              <w:tr2bl w:val="nil"/>
            </w:tcBorders>
            <w:noWrap/>
            <w:vAlign w:val="center"/>
          </w:tcPr>
          <w:p>
            <w:pPr>
              <w:rPr>
                <w:rFonts w:ascii="Times New Roman" w:eastAsia="宋体" w:hAnsi="Times New Roman"/>
                <w:sz w:val="24"/>
              </w:rPr>
            </w:pPr>
          </w:p>
        </w:tc>
        <w:tc>
          <w:tcPr>
            <w:tcW w:w="41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42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814" w:type="dxa"/>
            <w:tcBorders>
              <w:top w:val="nil"/>
              <w:left w:val="nil"/>
              <w:bottom w:val="nil"/>
              <w:right w:val="nil"/>
              <w:tl2br w:val="nil"/>
              <w:tr2bl w:val="nil"/>
            </w:tcBorders>
            <w:noWrap/>
            <w:vAlign w:val="center"/>
          </w:tcPr>
          <w:p>
            <w:pPr>
              <w:rPr>
                <w:rFonts w:ascii="Times New Roman" w:eastAsia="宋体" w:hAnsi="Times New Roman"/>
                <w:sz w:val="24"/>
              </w:rPr>
            </w:pPr>
          </w:p>
        </w:tc>
        <w:tc>
          <w:tcPr>
            <w:tcW w:w="517" w:type="dxa"/>
            <w:tcBorders>
              <w:top w:val="nil"/>
              <w:left w:val="nil"/>
              <w:bottom w:val="nil"/>
              <w:right w:val="nil"/>
              <w:tl2br w:val="nil"/>
              <w:tr2bl w:val="nil"/>
            </w:tcBorders>
            <w:noWrap/>
            <w:vAlign w:val="center"/>
          </w:tcPr>
          <w:p>
            <w:pPr>
              <w:rPr>
                <w:rFonts w:ascii="Times New Roman" w:eastAsia="宋体" w:hAnsi="Times New Roman"/>
                <w:sz w:val="24"/>
              </w:rPr>
            </w:pPr>
          </w:p>
        </w:tc>
        <w:tc>
          <w:tcPr>
            <w:tcW w:w="524" w:type="dxa"/>
            <w:tcBorders>
              <w:top w:val="nil"/>
              <w:left w:val="nil"/>
              <w:bottom w:val="nil"/>
              <w:right w:val="nil"/>
              <w:tl2br w:val="nil"/>
              <w:tr2bl w:val="nil"/>
            </w:tcBorders>
            <w:noWrap/>
            <w:vAlign w:val="center"/>
          </w:tcPr>
          <w:p>
            <w:pPr>
              <w:rPr>
                <w:rFonts w:ascii="Times New Roman" w:eastAsia="宋体" w:hAnsi="Times New Roman"/>
                <w:sz w:val="24"/>
              </w:rPr>
            </w:pPr>
          </w:p>
        </w:tc>
        <w:tc>
          <w:tcPr>
            <w:tcW w:w="629"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54"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5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5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5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5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5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73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73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366" w:type="dxa"/>
            <w:gridSpan w:val="2"/>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财决批复05表</w:t>
            </w:r>
          </w:p>
        </w:tc>
      </w:tr>
      <w:tr>
        <w:trPr>
          <w:trHeight w:val="434"/>
        </w:trPr>
        <w:tc>
          <w:tcPr>
            <w:tcW w:w="3614" w:type="dxa"/>
            <w:gridSpan w:val="5"/>
            <w:tcBorders>
              <w:top w:val="nil"/>
              <w:left w:val="nil"/>
              <w:bottom w:val="nil"/>
              <w:right w:val="nil"/>
              <w:tl2br w:val="nil"/>
              <w:tr2bl w:val="nil"/>
            </w:tcBorders>
            <w:noWrap/>
            <w:vAlign w:val="center"/>
          </w:tcPr>
          <w:p>
            <w:pPr>
              <w:rPr>
                <w:rFonts w:ascii="宋体" w:eastAsia="宋体" w:cs="宋体"/>
                <w:color w:val="000000"/>
                <w:sz w:val="20"/>
              </w:rPr>
            </w:pPr>
            <w:r>
              <w:rPr>
                <w:rFonts w:ascii="宋体" w:eastAsia="宋体" w:cs="宋体"/>
                <w:color w:val="000000"/>
                <w:sz w:val="20"/>
              </w:rPr>
              <w:t>单位：呼和浩特国际旅行卫生保健中心(呼和浩特海关口岸门诊部）</w:t>
            </w:r>
          </w:p>
        </w:tc>
        <w:tc>
          <w:tcPr>
            <w:tcW w:w="524" w:type="dxa"/>
            <w:tcBorders>
              <w:top w:val="nil"/>
              <w:left w:val="nil"/>
              <w:bottom w:val="nil"/>
              <w:right w:val="nil"/>
              <w:tl2br w:val="nil"/>
              <w:tr2bl w:val="nil"/>
            </w:tcBorders>
            <w:noWrap/>
            <w:vAlign w:val="center"/>
          </w:tcPr>
          <w:p>
            <w:pPr>
              <w:rPr>
                <w:rFonts w:ascii="Times New Roman" w:eastAsia="宋体" w:hAnsi="Times New Roman"/>
                <w:sz w:val="24"/>
              </w:rPr>
            </w:pPr>
          </w:p>
        </w:tc>
        <w:tc>
          <w:tcPr>
            <w:tcW w:w="629"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54"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5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5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5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5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5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73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73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366" w:type="dxa"/>
            <w:gridSpan w:val="2"/>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金额单位：万元</w:t>
            </w:r>
          </w:p>
        </w:tc>
      </w:tr>
      <w:tr>
        <w:trPr>
          <w:trHeight w:val="284"/>
        </w:trPr>
        <w:tc>
          <w:tcPr>
            <w:tcW w:w="1283" w:type="dxa"/>
            <w:gridSpan w:val="3"/>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科目代码</w:t>
            </w:r>
          </w:p>
        </w:tc>
        <w:tc>
          <w:tcPr>
            <w:tcW w:w="1814" w:type="dxa"/>
            <w:vMerge w:val="restart"/>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科目名称</w:t>
            </w:r>
          </w:p>
        </w:tc>
        <w:tc>
          <w:tcPr>
            <w:tcW w:w="1670" w:type="dxa"/>
            <w:gridSpan w:val="3"/>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年初结转和结余</w:t>
            </w:r>
          </w:p>
        </w:tc>
        <w:tc>
          <w:tcPr>
            <w:tcW w:w="3154" w:type="dxa"/>
            <w:gridSpan w:val="3"/>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本年收入</w:t>
            </w:r>
          </w:p>
        </w:tc>
        <w:tc>
          <w:tcPr>
            <w:tcW w:w="3151" w:type="dxa"/>
            <w:gridSpan w:val="3"/>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本年支出</w:t>
            </w:r>
          </w:p>
        </w:tc>
        <w:tc>
          <w:tcPr>
            <w:tcW w:w="2836" w:type="dxa"/>
            <w:gridSpan w:val="4"/>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年末结转和结余</w:t>
            </w:r>
          </w:p>
        </w:tc>
      </w:tr>
      <w:tr>
        <w:trPr>
          <w:trHeight w:val="284"/>
        </w:trPr>
        <w:tc>
          <w:tcPr>
            <w:tcW w:w="1284" w:type="dxa"/>
            <w:gridSpan w:val="3"/>
            <w:vMerge/>
            <w:tcBorders>
              <w:top w:val="nil"/>
              <w:left w:val="single" w:sz="6" w:space="0" w:color="000000"/>
              <w:bottom w:val="single" w:sz="6" w:space="0" w:color="000000"/>
              <w:right w:val="single" w:sz="6" w:space="0" w:color="000000"/>
              <w:tl2br w:val="nil"/>
              <w:tr2bl w:val="nil"/>
            </w:tcBorders>
            <w:noWrap/>
            <w:vAlign w:val="center"/>
          </w:tcPr>
          <w:p/>
        </w:tc>
        <w:tc>
          <w:tcPr>
            <w:tcW w:w="1813" w:type="dxa"/>
            <w:vMerge/>
            <w:tcBorders>
              <w:top w:val="nil"/>
              <w:left w:val="nil"/>
              <w:bottom w:val="single" w:sz="6" w:space="0" w:color="000000"/>
              <w:right w:val="single" w:sz="6" w:space="0" w:color="000000"/>
              <w:tl2br w:val="nil"/>
              <w:tr2bl w:val="nil"/>
            </w:tcBorders>
            <w:noWrap/>
            <w:vAlign w:val="center"/>
          </w:tcPr>
          <w:p/>
        </w:tc>
        <w:tc>
          <w:tcPr>
            <w:tcW w:w="517"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合计</w:t>
            </w:r>
          </w:p>
        </w:tc>
        <w:tc>
          <w:tcPr>
            <w:tcW w:w="524"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基本支出结转</w:t>
            </w:r>
          </w:p>
        </w:tc>
        <w:tc>
          <w:tcPr>
            <w:tcW w:w="629"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项目支出结转和结余</w:t>
            </w:r>
          </w:p>
        </w:tc>
        <w:tc>
          <w:tcPr>
            <w:tcW w:w="1054"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合计</w:t>
            </w:r>
          </w:p>
        </w:tc>
        <w:tc>
          <w:tcPr>
            <w:tcW w:w="1050"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基本支出</w:t>
            </w:r>
          </w:p>
        </w:tc>
        <w:tc>
          <w:tcPr>
            <w:tcW w:w="1050"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项目支出</w:t>
            </w:r>
          </w:p>
        </w:tc>
        <w:tc>
          <w:tcPr>
            <w:tcW w:w="1050"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合计</w:t>
            </w:r>
          </w:p>
        </w:tc>
        <w:tc>
          <w:tcPr>
            <w:tcW w:w="1050"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基本支出</w:t>
            </w:r>
          </w:p>
        </w:tc>
        <w:tc>
          <w:tcPr>
            <w:tcW w:w="1050"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项目支出</w:t>
            </w:r>
          </w:p>
        </w:tc>
        <w:tc>
          <w:tcPr>
            <w:tcW w:w="735"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合计</w:t>
            </w:r>
          </w:p>
        </w:tc>
        <w:tc>
          <w:tcPr>
            <w:tcW w:w="735"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基本支出结转</w:t>
            </w:r>
          </w:p>
        </w:tc>
        <w:tc>
          <w:tcPr>
            <w:tcW w:w="1366" w:type="dxa"/>
            <w:gridSpan w:val="2"/>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项目支出结转和结余</w:t>
            </w:r>
          </w:p>
        </w:tc>
      </w:tr>
      <w:tr>
        <w:trPr>
          <w:trHeight w:val="284"/>
        </w:trPr>
        <w:tc>
          <w:tcPr>
            <w:tcW w:w="1284" w:type="dxa"/>
            <w:gridSpan w:val="3"/>
            <w:vMerge/>
            <w:tcBorders>
              <w:top w:val="nil"/>
              <w:left w:val="single" w:sz="6" w:space="0" w:color="000000"/>
              <w:bottom w:val="single" w:sz="6" w:space="0" w:color="000000"/>
              <w:right w:val="single" w:sz="6" w:space="0" w:color="000000"/>
              <w:tl2br w:val="nil"/>
              <w:tr2bl w:val="nil"/>
            </w:tcBorders>
            <w:noWrap/>
            <w:vAlign w:val="center"/>
          </w:tcPr>
          <w:p/>
        </w:tc>
        <w:tc>
          <w:tcPr>
            <w:tcW w:w="1813" w:type="dxa"/>
            <w:vMerge/>
            <w:tcBorders>
              <w:top w:val="nil"/>
              <w:left w:val="nil"/>
              <w:bottom w:val="single" w:sz="6" w:space="0" w:color="000000"/>
              <w:right w:val="single" w:sz="6" w:space="0" w:color="000000"/>
              <w:tl2br w:val="nil"/>
              <w:tr2bl w:val="nil"/>
            </w:tcBorders>
            <w:noWrap/>
            <w:vAlign w:val="center"/>
          </w:tcPr>
          <w:p/>
        </w:tc>
        <w:tc>
          <w:tcPr>
            <w:tcW w:w="517" w:type="dxa"/>
            <w:vMerge/>
            <w:tcBorders>
              <w:top w:val="nil"/>
              <w:left w:val="nil"/>
              <w:bottom w:val="single" w:sz="6" w:space="0" w:color="000000"/>
              <w:right w:val="single" w:sz="6" w:space="0" w:color="000000"/>
              <w:tl2br w:val="nil"/>
              <w:tr2bl w:val="nil"/>
            </w:tcBorders>
            <w:noWrap/>
            <w:vAlign w:val="center"/>
          </w:tcPr>
          <w:p/>
        </w:tc>
        <w:tc>
          <w:tcPr>
            <w:tcW w:w="524" w:type="dxa"/>
            <w:vMerge/>
            <w:tcBorders>
              <w:top w:val="nil"/>
              <w:left w:val="nil"/>
              <w:bottom w:val="single" w:sz="6" w:space="0" w:color="000000"/>
              <w:right w:val="single" w:sz="6" w:space="0" w:color="000000"/>
              <w:tl2br w:val="nil"/>
              <w:tr2bl w:val="nil"/>
            </w:tcBorders>
            <w:noWrap/>
            <w:vAlign w:val="center"/>
          </w:tcPr>
          <w:p/>
        </w:tc>
        <w:tc>
          <w:tcPr>
            <w:tcW w:w="629" w:type="dxa"/>
            <w:vMerge/>
            <w:tcBorders>
              <w:top w:val="nil"/>
              <w:left w:val="nil"/>
              <w:bottom w:val="single" w:sz="6" w:space="0" w:color="000000"/>
              <w:right w:val="single" w:sz="6" w:space="0" w:color="000000"/>
              <w:tl2br w:val="nil"/>
              <w:tr2bl w:val="nil"/>
            </w:tcBorders>
            <w:noWrap/>
            <w:vAlign w:val="center"/>
          </w:tcPr>
          <w:p/>
        </w:tc>
        <w:tc>
          <w:tcPr>
            <w:tcW w:w="1054" w:type="dxa"/>
            <w:vMerge/>
            <w:tcBorders>
              <w:top w:val="nil"/>
              <w:left w:val="nil"/>
              <w:bottom w:val="single" w:sz="6" w:space="0" w:color="000000"/>
              <w:right w:val="single" w:sz="6" w:space="0" w:color="000000"/>
              <w:tl2br w:val="nil"/>
              <w:tr2bl w:val="nil"/>
            </w:tcBorders>
            <w:noWrap/>
            <w:vAlign w:val="center"/>
          </w:tcPr>
          <w:p/>
        </w:tc>
        <w:tc>
          <w:tcPr>
            <w:tcW w:w="1050" w:type="dxa"/>
            <w:vMerge/>
            <w:tcBorders>
              <w:top w:val="nil"/>
              <w:left w:val="nil"/>
              <w:bottom w:val="single" w:sz="6" w:space="0" w:color="000000"/>
              <w:right w:val="single" w:sz="6" w:space="0" w:color="000000"/>
              <w:tl2br w:val="nil"/>
              <w:tr2bl w:val="nil"/>
            </w:tcBorders>
            <w:noWrap/>
            <w:vAlign w:val="center"/>
          </w:tcPr>
          <w:p/>
        </w:tc>
        <w:tc>
          <w:tcPr>
            <w:tcW w:w="1050" w:type="dxa"/>
            <w:vMerge/>
            <w:tcBorders>
              <w:top w:val="nil"/>
              <w:left w:val="nil"/>
              <w:bottom w:val="single" w:sz="6" w:space="0" w:color="000000"/>
              <w:right w:val="single" w:sz="6" w:space="0" w:color="000000"/>
              <w:tl2br w:val="nil"/>
              <w:tr2bl w:val="nil"/>
            </w:tcBorders>
            <w:noWrap/>
            <w:vAlign w:val="center"/>
          </w:tcPr>
          <w:p/>
        </w:tc>
        <w:tc>
          <w:tcPr>
            <w:tcW w:w="1050" w:type="dxa"/>
            <w:vMerge/>
            <w:tcBorders>
              <w:top w:val="nil"/>
              <w:left w:val="nil"/>
              <w:bottom w:val="single" w:sz="6" w:space="0" w:color="000000"/>
              <w:right w:val="single" w:sz="6" w:space="0" w:color="000000"/>
              <w:tl2br w:val="nil"/>
              <w:tr2bl w:val="nil"/>
            </w:tcBorders>
            <w:noWrap/>
            <w:vAlign w:val="center"/>
          </w:tcPr>
          <w:p/>
        </w:tc>
        <w:tc>
          <w:tcPr>
            <w:tcW w:w="1050" w:type="dxa"/>
            <w:vMerge/>
            <w:tcBorders>
              <w:top w:val="nil"/>
              <w:left w:val="nil"/>
              <w:bottom w:val="single" w:sz="6" w:space="0" w:color="000000"/>
              <w:right w:val="single" w:sz="6" w:space="0" w:color="000000"/>
              <w:tl2br w:val="nil"/>
              <w:tr2bl w:val="nil"/>
            </w:tcBorders>
            <w:noWrap/>
            <w:vAlign w:val="center"/>
          </w:tcPr>
          <w:p/>
        </w:tc>
        <w:tc>
          <w:tcPr>
            <w:tcW w:w="1050" w:type="dxa"/>
            <w:vMerge/>
            <w:tcBorders>
              <w:top w:val="nil"/>
              <w:left w:val="nil"/>
              <w:bottom w:val="single" w:sz="6" w:space="0" w:color="000000"/>
              <w:right w:val="single" w:sz="6" w:space="0" w:color="000000"/>
              <w:tl2br w:val="nil"/>
              <w:tr2bl w:val="nil"/>
            </w:tcBorders>
            <w:noWrap/>
            <w:vAlign w:val="center"/>
          </w:tcPr>
          <w:p/>
        </w:tc>
        <w:tc>
          <w:tcPr>
            <w:tcW w:w="735" w:type="dxa"/>
            <w:vMerge/>
            <w:tcBorders>
              <w:top w:val="nil"/>
              <w:left w:val="nil"/>
              <w:bottom w:val="single" w:sz="6" w:space="0" w:color="000000"/>
              <w:right w:val="single" w:sz="6" w:space="0" w:color="000000"/>
              <w:tl2br w:val="nil"/>
              <w:tr2bl w:val="nil"/>
            </w:tcBorders>
            <w:noWrap/>
            <w:vAlign w:val="center"/>
          </w:tcPr>
          <w:p/>
        </w:tc>
        <w:tc>
          <w:tcPr>
            <w:tcW w:w="735" w:type="dxa"/>
            <w:vMerge/>
            <w:tcBorders>
              <w:top w:val="nil"/>
              <w:left w:val="nil"/>
              <w:bottom w:val="single" w:sz="6" w:space="0" w:color="000000"/>
              <w:right w:val="single" w:sz="6" w:space="0" w:color="000000"/>
              <w:tl2br w:val="nil"/>
              <w:tr2bl w:val="nil"/>
            </w:tcBorders>
            <w:noWrap/>
            <w:vAlign w:val="center"/>
          </w:tcPr>
          <w:p/>
        </w:tc>
        <w:tc>
          <w:tcPr>
            <w:tcW w:w="73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项目支出结转</w:t>
            </w:r>
          </w:p>
        </w:tc>
        <w:tc>
          <w:tcPr>
            <w:tcW w:w="63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项目支出结余</w:t>
            </w:r>
          </w:p>
        </w:tc>
      </w:tr>
      <w:tr>
        <w:trPr>
          <w:trHeight w:val="284"/>
        </w:trPr>
        <w:tc>
          <w:tcPr>
            <w:tcW w:w="449" w:type="dxa"/>
            <w:vMerge w:val="restart"/>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类</w:t>
            </w:r>
          </w:p>
        </w:tc>
        <w:tc>
          <w:tcPr>
            <w:tcW w:w="415"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款</w:t>
            </w:r>
          </w:p>
        </w:tc>
        <w:tc>
          <w:tcPr>
            <w:tcW w:w="420"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w:t>
            </w:r>
          </w:p>
        </w:tc>
        <w:tc>
          <w:tcPr>
            <w:tcW w:w="1814"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栏次</w:t>
            </w:r>
          </w:p>
        </w:tc>
        <w:tc>
          <w:tcPr>
            <w:tcW w:w="517"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w:t>
            </w:r>
          </w:p>
        </w:tc>
        <w:tc>
          <w:tcPr>
            <w:tcW w:w="524"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w:t>
            </w:r>
          </w:p>
        </w:tc>
        <w:tc>
          <w:tcPr>
            <w:tcW w:w="62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w:t>
            </w:r>
          </w:p>
        </w:tc>
        <w:tc>
          <w:tcPr>
            <w:tcW w:w="1054"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w:t>
            </w:r>
          </w:p>
        </w:tc>
        <w:tc>
          <w:tcPr>
            <w:tcW w:w="105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w:t>
            </w:r>
          </w:p>
        </w:tc>
        <w:tc>
          <w:tcPr>
            <w:tcW w:w="105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6</w:t>
            </w:r>
          </w:p>
        </w:tc>
        <w:tc>
          <w:tcPr>
            <w:tcW w:w="105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7</w:t>
            </w:r>
          </w:p>
        </w:tc>
        <w:tc>
          <w:tcPr>
            <w:tcW w:w="105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8</w:t>
            </w:r>
          </w:p>
        </w:tc>
        <w:tc>
          <w:tcPr>
            <w:tcW w:w="105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9</w:t>
            </w:r>
          </w:p>
        </w:tc>
        <w:tc>
          <w:tcPr>
            <w:tcW w:w="73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10</w:t>
            </w:r>
          </w:p>
        </w:tc>
        <w:tc>
          <w:tcPr>
            <w:tcW w:w="73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11</w:t>
            </w:r>
          </w:p>
        </w:tc>
        <w:tc>
          <w:tcPr>
            <w:tcW w:w="73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12</w:t>
            </w:r>
          </w:p>
        </w:tc>
        <w:tc>
          <w:tcPr>
            <w:tcW w:w="63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13</w:t>
            </w:r>
          </w:p>
        </w:tc>
      </w:tr>
      <w:tr>
        <w:trPr>
          <w:trHeight w:val="284"/>
        </w:trPr>
        <w:tc>
          <w:tcPr>
            <w:tcW w:w="449" w:type="dxa"/>
            <w:vMerge/>
            <w:tcBorders>
              <w:top w:val="nil"/>
              <w:left w:val="single" w:sz="6" w:space="0" w:color="000000"/>
              <w:bottom w:val="single" w:sz="6" w:space="0" w:color="000000"/>
              <w:right w:val="single" w:sz="6" w:space="0" w:color="000000"/>
              <w:tl2br w:val="nil"/>
              <w:tr2bl w:val="nil"/>
            </w:tcBorders>
            <w:noWrap/>
            <w:vAlign w:val="center"/>
          </w:tcPr>
          <w:p/>
        </w:tc>
        <w:tc>
          <w:tcPr>
            <w:tcW w:w="415" w:type="dxa"/>
            <w:vMerge/>
            <w:tcBorders>
              <w:top w:val="nil"/>
              <w:left w:val="nil"/>
              <w:bottom w:val="single" w:sz="6" w:space="0" w:color="000000"/>
              <w:right w:val="single" w:sz="6" w:space="0" w:color="000000"/>
              <w:tl2br w:val="nil"/>
              <w:tr2bl w:val="nil"/>
            </w:tcBorders>
            <w:noWrap/>
            <w:vAlign w:val="center"/>
          </w:tcPr>
          <w:p/>
        </w:tc>
        <w:tc>
          <w:tcPr>
            <w:tcW w:w="420" w:type="dxa"/>
            <w:vMerge/>
            <w:tcBorders>
              <w:top w:val="nil"/>
              <w:left w:val="nil"/>
              <w:bottom w:val="single" w:sz="6" w:space="0" w:color="000000"/>
              <w:right w:val="single" w:sz="6" w:space="0" w:color="000000"/>
              <w:tl2br w:val="nil"/>
              <w:tr2bl w:val="nil"/>
            </w:tcBorders>
            <w:noWrap/>
            <w:vAlign w:val="center"/>
          </w:tcPr>
          <w:p/>
        </w:tc>
        <w:tc>
          <w:tcPr>
            <w:tcW w:w="1814"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合计</w:t>
            </w:r>
          </w:p>
        </w:tc>
        <w:tc>
          <w:tcPr>
            <w:tcW w:w="517"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52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629"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614.18</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178.13</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436.05</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595.89</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178.13</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417.76</w:t>
            </w: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18.29</w:t>
            </w: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18.29</w:t>
            </w:r>
          </w:p>
        </w:tc>
        <w:tc>
          <w:tcPr>
            <w:tcW w:w="63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34"/>
        </w:trPr>
        <w:tc>
          <w:tcPr>
            <w:tcW w:w="1283"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w:t>
            </w:r>
          </w:p>
        </w:tc>
        <w:tc>
          <w:tcPr>
            <w:tcW w:w="1814"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一般公共服务支出</w:t>
            </w:r>
          </w:p>
        </w:tc>
        <w:tc>
          <w:tcPr>
            <w:tcW w:w="517"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52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629"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583.24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147.19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436.05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564.95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147.19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417.76 </w:t>
            </w: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18.29 </w:t>
            </w: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18.29 </w:t>
            </w:r>
          </w:p>
        </w:tc>
        <w:tc>
          <w:tcPr>
            <w:tcW w:w="63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34"/>
        </w:trPr>
        <w:tc>
          <w:tcPr>
            <w:tcW w:w="1283"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20109</w:t>
            </w:r>
          </w:p>
        </w:tc>
        <w:tc>
          <w:tcPr>
            <w:tcW w:w="1814"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海关事务</w:t>
            </w:r>
          </w:p>
        </w:tc>
        <w:tc>
          <w:tcPr>
            <w:tcW w:w="517"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52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629"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583.24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147.19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436.05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564.95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147.19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417.76 </w:t>
            </w: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18.29 </w:t>
            </w: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18.29 </w:t>
            </w:r>
          </w:p>
        </w:tc>
        <w:tc>
          <w:tcPr>
            <w:tcW w:w="63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34"/>
        </w:trPr>
        <w:tc>
          <w:tcPr>
            <w:tcW w:w="1283"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2010908</w:t>
            </w:r>
          </w:p>
        </w:tc>
        <w:tc>
          <w:tcPr>
            <w:tcW w:w="1814"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信息化建设</w:t>
            </w:r>
          </w:p>
        </w:tc>
        <w:tc>
          <w:tcPr>
            <w:tcW w:w="517"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52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629"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40.00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40.00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21.71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21.71 </w:t>
            </w: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18.29 </w:t>
            </w: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18.29 </w:t>
            </w:r>
          </w:p>
        </w:tc>
        <w:tc>
          <w:tcPr>
            <w:tcW w:w="63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34"/>
        </w:trPr>
        <w:tc>
          <w:tcPr>
            <w:tcW w:w="1283"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2010909</w:t>
            </w:r>
          </w:p>
        </w:tc>
        <w:tc>
          <w:tcPr>
            <w:tcW w:w="1814"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海关关务</w:t>
            </w:r>
          </w:p>
        </w:tc>
        <w:tc>
          <w:tcPr>
            <w:tcW w:w="517"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52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629"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22.08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22.08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22.08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22.08 </w:t>
            </w: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63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34"/>
        </w:trPr>
        <w:tc>
          <w:tcPr>
            <w:tcW w:w="1283"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2010912</w:t>
            </w:r>
          </w:p>
        </w:tc>
        <w:tc>
          <w:tcPr>
            <w:tcW w:w="1814"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检验检疫</w:t>
            </w:r>
          </w:p>
        </w:tc>
        <w:tc>
          <w:tcPr>
            <w:tcW w:w="517"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52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629"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373.97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373.97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373.97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373.97 </w:t>
            </w: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63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34"/>
        </w:trPr>
        <w:tc>
          <w:tcPr>
            <w:tcW w:w="1283"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2010950</w:t>
            </w:r>
          </w:p>
        </w:tc>
        <w:tc>
          <w:tcPr>
            <w:tcW w:w="1814"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事业运行</w:t>
            </w:r>
          </w:p>
        </w:tc>
        <w:tc>
          <w:tcPr>
            <w:tcW w:w="517"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52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629"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147.19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147.19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147.19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147.19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63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34"/>
        </w:trPr>
        <w:tc>
          <w:tcPr>
            <w:tcW w:w="1283"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221</w:t>
            </w:r>
          </w:p>
        </w:tc>
        <w:tc>
          <w:tcPr>
            <w:tcW w:w="1814"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住房保障支出</w:t>
            </w:r>
          </w:p>
        </w:tc>
        <w:tc>
          <w:tcPr>
            <w:tcW w:w="517"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52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629"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30.94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30.94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30.94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30.94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63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34"/>
        </w:trPr>
        <w:tc>
          <w:tcPr>
            <w:tcW w:w="1283"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22102</w:t>
            </w:r>
          </w:p>
        </w:tc>
        <w:tc>
          <w:tcPr>
            <w:tcW w:w="1814"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住房改革支出</w:t>
            </w:r>
          </w:p>
        </w:tc>
        <w:tc>
          <w:tcPr>
            <w:tcW w:w="517"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52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629"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30.94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30.94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30.94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30.94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63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34"/>
        </w:trPr>
        <w:tc>
          <w:tcPr>
            <w:tcW w:w="1283"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2210201</w:t>
            </w:r>
          </w:p>
        </w:tc>
        <w:tc>
          <w:tcPr>
            <w:tcW w:w="1814"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住房公积金</w:t>
            </w:r>
          </w:p>
        </w:tc>
        <w:tc>
          <w:tcPr>
            <w:tcW w:w="517"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52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629"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30.94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30.94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30.94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30.94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73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63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bl>
    <w:p/>
    <w:tbl>
      <w:tblPr>
        <w:jc w:val="left"/>
        <w:tblW w:w="13906"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00"/>
        <w:gridCol w:w="2823"/>
        <w:gridCol w:w="1155"/>
        <w:gridCol w:w="945"/>
        <w:gridCol w:w="2100"/>
        <w:gridCol w:w="944"/>
        <w:gridCol w:w="945"/>
        <w:gridCol w:w="2835"/>
        <w:gridCol w:w="1260"/>
      </w:tblGrid>
      <w:tr>
        <w:trPr>
          <w:trHeight w:val="494"/>
        </w:trPr>
        <w:tc>
          <w:tcPr>
            <w:tcW w:w="13906" w:type="dxa"/>
            <w:gridSpan w:val="9"/>
            <w:tcBorders>
              <w:top w:val="nil"/>
              <w:left w:val="nil"/>
              <w:bottom w:val="nil"/>
              <w:right w:val="nil"/>
              <w:tl2br w:val="nil"/>
              <w:tr2bl w:val="nil"/>
            </w:tcBorders>
            <w:noWrap/>
            <w:vAlign w:val="center"/>
          </w:tcPr>
          <w:p>
            <w:pPr>
              <w:jc w:val="center"/>
              <w:rPr>
                <w:rFonts w:ascii="宋体" w:eastAsia="宋体" w:cs="宋体"/>
                <w:color w:val="000000"/>
                <w:sz w:val="38"/>
              </w:rPr>
            </w:pPr>
            <w:r>
              <w:rPr>
                <w:rFonts w:ascii="宋体" w:eastAsia="宋体" w:cs="宋体"/>
                <w:color w:val="000000"/>
                <w:sz w:val="38"/>
              </w:rPr>
              <w:t>一般公共预算财政拨款基本支出决算明细批复表</w:t>
            </w:r>
          </w:p>
        </w:tc>
      </w:tr>
      <w:tr>
        <w:trPr>
          <w:trHeight w:val="284"/>
        </w:trPr>
        <w:tc>
          <w:tcPr>
            <w:tcW w:w="90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2823"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15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94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210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944" w:type="dxa"/>
            <w:tcBorders>
              <w:top w:val="nil"/>
              <w:left w:val="nil"/>
              <w:bottom w:val="nil"/>
              <w:right w:val="nil"/>
              <w:tl2br w:val="nil"/>
              <w:tr2bl w:val="nil"/>
            </w:tcBorders>
            <w:noWrap/>
            <w:vAlign w:val="center"/>
          </w:tcPr>
          <w:p>
            <w:pPr>
              <w:rPr>
                <w:rFonts w:ascii="Times New Roman" w:eastAsia="宋体" w:hAnsi="Times New Roman"/>
                <w:sz w:val="24"/>
              </w:rPr>
            </w:pPr>
          </w:p>
        </w:tc>
        <w:tc>
          <w:tcPr>
            <w:tcW w:w="94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4095" w:type="dxa"/>
            <w:gridSpan w:val="2"/>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财决批复06表</w:t>
            </w:r>
          </w:p>
        </w:tc>
      </w:tr>
      <w:tr>
        <w:trPr>
          <w:trHeight w:val="284"/>
        </w:trPr>
        <w:tc>
          <w:tcPr>
            <w:tcW w:w="5823" w:type="dxa"/>
            <w:gridSpan w:val="4"/>
            <w:tcBorders>
              <w:top w:val="nil"/>
              <w:left w:val="nil"/>
              <w:bottom w:val="nil"/>
              <w:right w:val="nil"/>
              <w:tl2br w:val="nil"/>
              <w:tr2bl w:val="nil"/>
            </w:tcBorders>
            <w:noWrap/>
            <w:vAlign w:val="center"/>
          </w:tcPr>
          <w:p>
            <w:pPr>
              <w:rPr>
                <w:rFonts w:ascii="宋体" w:eastAsia="宋体" w:cs="宋体"/>
                <w:color w:val="000000"/>
                <w:sz w:val="20"/>
              </w:rPr>
            </w:pPr>
            <w:r>
              <w:rPr>
                <w:rFonts w:ascii="宋体" w:eastAsia="宋体" w:cs="宋体"/>
                <w:color w:val="000000"/>
                <w:sz w:val="20"/>
              </w:rPr>
              <w:t>单位：呼和浩特国际旅行卫生保健中心(呼和浩特海关口岸门诊部）</w:t>
            </w:r>
          </w:p>
        </w:tc>
        <w:tc>
          <w:tcPr>
            <w:tcW w:w="210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944" w:type="dxa"/>
            <w:tcBorders>
              <w:top w:val="nil"/>
              <w:left w:val="nil"/>
              <w:bottom w:val="nil"/>
              <w:right w:val="nil"/>
              <w:tl2br w:val="nil"/>
              <w:tr2bl w:val="nil"/>
            </w:tcBorders>
            <w:noWrap/>
            <w:vAlign w:val="center"/>
          </w:tcPr>
          <w:p>
            <w:pPr>
              <w:rPr>
                <w:rFonts w:ascii="Times New Roman" w:eastAsia="宋体" w:hAnsi="Times New Roman"/>
                <w:sz w:val="24"/>
              </w:rPr>
            </w:pPr>
          </w:p>
        </w:tc>
        <w:tc>
          <w:tcPr>
            <w:tcW w:w="94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4095" w:type="dxa"/>
            <w:gridSpan w:val="2"/>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金额单位：万元</w:t>
            </w:r>
          </w:p>
        </w:tc>
      </w:tr>
      <w:tr>
        <w:trPr>
          <w:trHeight w:val="479"/>
        </w:trPr>
        <w:tc>
          <w:tcPr>
            <w:tcW w:w="90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科目代码</w:t>
            </w:r>
          </w:p>
        </w:tc>
        <w:tc>
          <w:tcPr>
            <w:tcW w:w="2823"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科目名称</w:t>
            </w:r>
          </w:p>
        </w:tc>
        <w:tc>
          <w:tcPr>
            <w:tcW w:w="1155"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决算数</w:t>
            </w:r>
          </w:p>
        </w:tc>
        <w:tc>
          <w:tcPr>
            <w:tcW w:w="945"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科目代码</w:t>
            </w:r>
          </w:p>
        </w:tc>
        <w:tc>
          <w:tcPr>
            <w:tcW w:w="2100"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科目名称</w:t>
            </w:r>
          </w:p>
        </w:tc>
        <w:tc>
          <w:tcPr>
            <w:tcW w:w="944"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决算数</w:t>
            </w:r>
          </w:p>
        </w:tc>
        <w:tc>
          <w:tcPr>
            <w:tcW w:w="945"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科目代码</w:t>
            </w:r>
          </w:p>
        </w:tc>
        <w:tc>
          <w:tcPr>
            <w:tcW w:w="2835"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科目名称</w:t>
            </w:r>
          </w:p>
        </w:tc>
        <w:tc>
          <w:tcPr>
            <w:tcW w:w="1260"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决算数</w:t>
            </w: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301</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工资福利支出</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146.47</w:t>
            </w: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商品和服务支出</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20.66</w:t>
            </w: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307</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债务利息及费用支出</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30101</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基本工资</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75.77</w:t>
            </w: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30201</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办公费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6.35</w:t>
            </w: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30701</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国内债务付息</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30102</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津贴补贴</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39.76</w:t>
            </w: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30202</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印刷费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30702</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国外债务付息</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30103</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奖金</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30204</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手续费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310</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资本性支出</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11.00</w:t>
            </w: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30106</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伙食补助费</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30205</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水费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1.17</w:t>
            </w: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31001</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房屋建筑物购建</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30107</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绩效工资</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30206</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电费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31002</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办公设备购置</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11.00</w:t>
            </w:r>
          </w:p>
        </w:tc>
      </w:tr>
      <w:tr>
        <w:trPr>
          <w:trHeight w:val="479"/>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30108</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机关事业单位基本养老保险缴费</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30207</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邮电费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31003</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专用设备购置</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30109</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职业年金缴费</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30208</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取暖费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31005</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基础设施建设</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30110</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职工基本医疗保险缴费</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30209</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物业管理费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31006</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大型修缮</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30111</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公务员医疗补助缴费</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30211</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差旅费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31007</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信息网络及软件购置更新</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79"/>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30112</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其他社会保障缴费</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30212</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因公出国（境）费用</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31008</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物资储备</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30113</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住房公积金</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30.94</w:t>
            </w: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30213</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维修（护）费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1.14</w:t>
            </w: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31009</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土地补偿</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30114</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医疗费</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30214</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租赁费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31010</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安置补助</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30199</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其他工资福利支出</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30215</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会议费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31011</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地上附着物和青苗补偿</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303</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对个人和家庭的补助</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30216</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培训费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31012</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拆迁补偿</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30301</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离休费</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30217</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公务接待费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31013</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公务用车购置</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30302</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退休费</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30218</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专用材料费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31019</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其他交通工具购置</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30303</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退职（役）费</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30224</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被装购置费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31021</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文物和陈列品购置</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30304</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抚恤金</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30225</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专用燃料费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31022</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无形资产购置</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30305</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生活补助</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30226</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劳务费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31099</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其他资本性支出</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30306</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救济费</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30227</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委托业务费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399</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其他支出</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30307</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医疗费补助</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30228</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工会经费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39907</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国家赔偿费用支出</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79"/>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30308</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助学金</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30229</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福利费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39908</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对民间非营利组织和群众性自治组织补贴</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79"/>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30309</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奖励金</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30231</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公务用车运行维护费</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12.00</w:t>
            </w: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39909</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经常性赠与</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30310</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个人农业生产补贴</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30239</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其他交通费用</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39910</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资本性赠与</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30311</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代缴社会保险费</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30240</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税金及附加费用</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39999</w:t>
            </w: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其他支出</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r>
        <w:trPr>
          <w:trHeight w:val="479"/>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30399</w:t>
            </w: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其他对个人和家庭的补助</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30299</w:t>
            </w: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其他商品和服务支出</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sz w:val="20"/>
              </w:rPr>
            </w:pP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sz w:val="20"/>
              </w:rPr>
            </w:pPr>
          </w:p>
        </w:tc>
        <w:tc>
          <w:tcPr>
            <w:tcW w:w="1260" w:type="dxa"/>
            <w:tcBorders>
              <w:top w:val="nil"/>
              <w:left w:val="nil"/>
              <w:bottom w:val="single" w:sz="6" w:space="0" w:color="000000"/>
              <w:right w:val="single" w:sz="6" w:space="0" w:color="000000"/>
              <w:tl2br w:val="nil"/>
              <w:tr2bl w:val="nil"/>
            </w:tcBorders>
            <w:noWrap/>
            <w:vAlign w:val="center"/>
          </w:tcPr>
          <w:p>
            <w:pPr>
              <w:rPr>
                <w:rFonts w:ascii="宋体" w:eastAsia="宋体"/>
                <w:sz w:val="20"/>
              </w:rPr>
            </w:pPr>
          </w:p>
        </w:tc>
      </w:tr>
      <w:tr>
        <w:trPr>
          <w:trHeight w:val="284"/>
        </w:trPr>
        <w:tc>
          <w:tcPr>
            <w:tcW w:w="900" w:type="dxa"/>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sz w:val="20"/>
              </w:rPr>
            </w:pPr>
          </w:p>
        </w:tc>
        <w:tc>
          <w:tcPr>
            <w:tcW w:w="2823" w:type="dxa"/>
            <w:tcBorders>
              <w:top w:val="nil"/>
              <w:left w:val="nil"/>
              <w:bottom w:val="single" w:sz="6" w:space="0" w:color="000000"/>
              <w:right w:val="single" w:sz="6" w:space="0" w:color="000000"/>
              <w:tl2br w:val="nil"/>
              <w:tr2bl w:val="nil"/>
            </w:tcBorders>
            <w:noWrap/>
            <w:vAlign w:val="center"/>
          </w:tcPr>
          <w:p>
            <w:pPr>
              <w:rPr>
                <w:rFonts w:ascii="宋体" w:eastAsia="宋体"/>
                <w:sz w:val="20"/>
              </w:rPr>
            </w:pPr>
          </w:p>
        </w:tc>
        <w:tc>
          <w:tcPr>
            <w:tcW w:w="1155" w:type="dxa"/>
            <w:tcBorders>
              <w:top w:val="nil"/>
              <w:left w:val="nil"/>
              <w:bottom w:val="single" w:sz="6" w:space="0" w:color="000000"/>
              <w:right w:val="single" w:sz="6" w:space="0" w:color="000000"/>
              <w:tl2br w:val="nil"/>
              <w:tr2bl w:val="nil"/>
            </w:tcBorders>
            <w:noWrap/>
            <w:vAlign w:val="center"/>
          </w:tcPr>
          <w:p>
            <w:pPr>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sz w:val="20"/>
              </w:rPr>
            </w:pPr>
          </w:p>
        </w:tc>
        <w:tc>
          <w:tcPr>
            <w:tcW w:w="2100" w:type="dxa"/>
            <w:tcBorders>
              <w:top w:val="nil"/>
              <w:left w:val="nil"/>
              <w:bottom w:val="single" w:sz="6" w:space="0" w:color="000000"/>
              <w:right w:val="single" w:sz="6" w:space="0" w:color="000000"/>
              <w:tl2br w:val="nil"/>
              <w:tr2bl w:val="nil"/>
            </w:tcBorders>
            <w:noWrap/>
            <w:vAlign w:val="center"/>
          </w:tcPr>
          <w:p>
            <w:pPr>
              <w:rPr>
                <w:rFonts w:ascii="宋体" w:eastAsia="宋体"/>
                <w:sz w:val="20"/>
              </w:rPr>
            </w:pPr>
          </w:p>
        </w:tc>
        <w:tc>
          <w:tcPr>
            <w:tcW w:w="944" w:type="dxa"/>
            <w:tcBorders>
              <w:top w:val="nil"/>
              <w:left w:val="nil"/>
              <w:bottom w:val="single" w:sz="6" w:space="0" w:color="000000"/>
              <w:right w:val="single" w:sz="6" w:space="0" w:color="000000"/>
              <w:tl2br w:val="nil"/>
              <w:tr2bl w:val="nil"/>
            </w:tcBorders>
            <w:noWrap/>
            <w:vAlign w:val="center"/>
          </w:tcPr>
          <w:p>
            <w:pPr>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rPr>
                <w:rFonts w:ascii="宋体" w:eastAsia="宋体"/>
                <w:sz w:val="20"/>
              </w:rPr>
            </w:pPr>
          </w:p>
        </w:tc>
        <w:tc>
          <w:tcPr>
            <w:tcW w:w="2835" w:type="dxa"/>
            <w:tcBorders>
              <w:top w:val="nil"/>
              <w:left w:val="nil"/>
              <w:bottom w:val="single" w:sz="6" w:space="0" w:color="000000"/>
              <w:right w:val="single" w:sz="6" w:space="0" w:color="000000"/>
              <w:tl2br w:val="nil"/>
              <w:tr2bl w:val="nil"/>
            </w:tcBorders>
            <w:noWrap/>
            <w:vAlign w:val="center"/>
          </w:tcPr>
          <w:p>
            <w:pPr>
              <w:rPr>
                <w:rFonts w:ascii="宋体" w:eastAsia="宋体"/>
                <w:sz w:val="20"/>
              </w:rPr>
            </w:pPr>
          </w:p>
        </w:tc>
        <w:tc>
          <w:tcPr>
            <w:tcW w:w="1260" w:type="dxa"/>
            <w:tcBorders>
              <w:top w:val="nil"/>
              <w:left w:val="nil"/>
              <w:bottom w:val="single" w:sz="6" w:space="0" w:color="000000"/>
              <w:right w:val="single" w:sz="6" w:space="0" w:color="000000"/>
              <w:tl2br w:val="nil"/>
              <w:tr2bl w:val="nil"/>
            </w:tcBorders>
            <w:noWrap/>
            <w:vAlign w:val="center"/>
          </w:tcPr>
          <w:p>
            <w:pPr>
              <w:rPr>
                <w:rFonts w:ascii="宋体" w:eastAsia="宋体"/>
                <w:sz w:val="20"/>
              </w:rPr>
            </w:pPr>
          </w:p>
        </w:tc>
      </w:tr>
      <w:tr>
        <w:trPr>
          <w:trHeight w:val="284"/>
        </w:trPr>
        <w:tc>
          <w:tcPr>
            <w:tcW w:w="3723" w:type="dxa"/>
            <w:gridSpan w:val="2"/>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人员经费合计</w:t>
            </w:r>
          </w:p>
        </w:tc>
        <w:tc>
          <w:tcPr>
            <w:tcW w:w="115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146.47</w:t>
            </w:r>
          </w:p>
        </w:tc>
        <w:tc>
          <w:tcPr>
            <w:tcW w:w="7768" w:type="dxa"/>
            <w:gridSpan w:val="5"/>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公用经费合计</w:t>
            </w:r>
          </w:p>
        </w:tc>
        <w:tc>
          <w:tcPr>
            <w:tcW w:w="126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31.66</w:t>
            </w:r>
          </w:p>
        </w:tc>
      </w:tr>
    </w:tbl>
    <w:p/>
    <w:p/>
    <w:p/>
    <w:p/>
    <w:p/>
    <w:p/>
    <w:p/>
    <w:p/>
    <w:p/>
    <w:p/>
    <w:p/>
    <w:p/>
    <w:p/>
    <w:p/>
    <w:p/>
    <w:p/>
    <w:p/>
    <w:p/>
    <w:p/>
    <w:p/>
    <w:tbl>
      <w:tblPr>
        <w:jc w:val="left"/>
        <w:tblW w:w="14008"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63"/>
        <w:gridCol w:w="314"/>
        <w:gridCol w:w="315"/>
        <w:gridCol w:w="1995"/>
        <w:gridCol w:w="839"/>
        <w:gridCol w:w="422"/>
        <w:gridCol w:w="943"/>
        <w:gridCol w:w="947"/>
        <w:gridCol w:w="525"/>
        <w:gridCol w:w="945"/>
        <w:gridCol w:w="1050"/>
        <w:gridCol w:w="525"/>
        <w:gridCol w:w="1049"/>
        <w:gridCol w:w="1049"/>
        <w:gridCol w:w="734"/>
        <w:gridCol w:w="1049"/>
        <w:gridCol w:w="946"/>
      </w:tblGrid>
      <w:tr>
        <w:trPr>
          <w:trHeight w:val="404"/>
        </w:trPr>
        <w:tc>
          <w:tcPr>
            <w:tcW w:w="14008" w:type="dxa"/>
            <w:gridSpan w:val="17"/>
            <w:tcBorders>
              <w:top w:val="nil"/>
              <w:left w:val="nil"/>
              <w:bottom w:val="nil"/>
              <w:right w:val="nil"/>
              <w:tl2br w:val="nil"/>
              <w:tr2bl w:val="nil"/>
            </w:tcBorders>
            <w:noWrap/>
            <w:vAlign w:val="center"/>
          </w:tcPr>
          <w:p>
            <w:pPr>
              <w:jc w:val="center"/>
              <w:rPr>
                <w:rFonts w:ascii="宋体" w:eastAsia="宋体" w:cs="宋体"/>
                <w:color w:val="000000"/>
                <w:sz w:val="38"/>
              </w:rPr>
            </w:pPr>
            <w:r>
              <w:rPr>
                <w:rFonts w:ascii="宋体" w:eastAsia="宋体" w:cs="宋体"/>
                <w:color w:val="000000"/>
                <w:sz w:val="38"/>
              </w:rPr>
              <w:t>政府性基金预算财政拨款收入支出决算批复表</w:t>
            </w:r>
          </w:p>
        </w:tc>
      </w:tr>
      <w:tr>
        <w:trPr>
          <w:trHeight w:val="404"/>
        </w:trPr>
        <w:tc>
          <w:tcPr>
            <w:tcW w:w="363" w:type="dxa"/>
            <w:tcBorders>
              <w:top w:val="nil"/>
              <w:left w:val="nil"/>
              <w:bottom w:val="nil"/>
              <w:right w:val="nil"/>
              <w:tl2br w:val="nil"/>
              <w:tr2bl w:val="nil"/>
            </w:tcBorders>
            <w:noWrap/>
            <w:vAlign w:val="center"/>
          </w:tcPr>
          <w:p>
            <w:pPr>
              <w:rPr>
                <w:rFonts w:ascii="Times New Roman" w:eastAsia="宋体" w:hAnsi="Times New Roman"/>
                <w:sz w:val="24"/>
              </w:rPr>
            </w:pPr>
          </w:p>
        </w:tc>
        <w:tc>
          <w:tcPr>
            <w:tcW w:w="314" w:type="dxa"/>
            <w:tcBorders>
              <w:top w:val="nil"/>
              <w:left w:val="nil"/>
              <w:bottom w:val="nil"/>
              <w:right w:val="nil"/>
              <w:tl2br w:val="nil"/>
              <w:tr2bl w:val="nil"/>
            </w:tcBorders>
            <w:noWrap/>
            <w:vAlign w:val="center"/>
          </w:tcPr>
          <w:p>
            <w:pPr>
              <w:rPr>
                <w:rFonts w:ascii="Times New Roman" w:eastAsia="宋体" w:hAnsi="Times New Roman"/>
                <w:sz w:val="24"/>
              </w:rPr>
            </w:pPr>
          </w:p>
        </w:tc>
        <w:tc>
          <w:tcPr>
            <w:tcW w:w="31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99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839" w:type="dxa"/>
            <w:tcBorders>
              <w:top w:val="nil"/>
              <w:left w:val="nil"/>
              <w:bottom w:val="nil"/>
              <w:right w:val="nil"/>
              <w:tl2br w:val="nil"/>
              <w:tr2bl w:val="nil"/>
            </w:tcBorders>
            <w:noWrap/>
            <w:vAlign w:val="center"/>
          </w:tcPr>
          <w:p>
            <w:pPr>
              <w:rPr>
                <w:rFonts w:ascii="Times New Roman" w:eastAsia="宋体" w:hAnsi="Times New Roman"/>
                <w:sz w:val="24"/>
              </w:rPr>
            </w:pPr>
          </w:p>
        </w:tc>
        <w:tc>
          <w:tcPr>
            <w:tcW w:w="422" w:type="dxa"/>
            <w:tcBorders>
              <w:top w:val="nil"/>
              <w:left w:val="nil"/>
              <w:bottom w:val="nil"/>
              <w:right w:val="nil"/>
              <w:tl2br w:val="nil"/>
              <w:tr2bl w:val="nil"/>
            </w:tcBorders>
            <w:noWrap/>
            <w:vAlign w:val="center"/>
          </w:tcPr>
          <w:p>
            <w:pPr>
              <w:rPr>
                <w:rFonts w:ascii="Times New Roman" w:eastAsia="宋体" w:hAnsi="Times New Roman"/>
                <w:sz w:val="24"/>
              </w:rPr>
            </w:pPr>
          </w:p>
        </w:tc>
        <w:tc>
          <w:tcPr>
            <w:tcW w:w="942" w:type="dxa"/>
            <w:tcBorders>
              <w:top w:val="nil"/>
              <w:left w:val="nil"/>
              <w:bottom w:val="nil"/>
              <w:right w:val="nil"/>
              <w:tl2br w:val="nil"/>
              <w:tr2bl w:val="nil"/>
            </w:tcBorders>
            <w:noWrap/>
            <w:vAlign w:val="center"/>
          </w:tcPr>
          <w:p>
            <w:pPr>
              <w:rPr>
                <w:rFonts w:ascii="Times New Roman" w:eastAsia="宋体" w:hAnsi="Times New Roman"/>
                <w:sz w:val="24"/>
              </w:rPr>
            </w:pPr>
          </w:p>
        </w:tc>
        <w:tc>
          <w:tcPr>
            <w:tcW w:w="947" w:type="dxa"/>
            <w:tcBorders>
              <w:top w:val="nil"/>
              <w:left w:val="nil"/>
              <w:bottom w:val="nil"/>
              <w:right w:val="nil"/>
              <w:tl2br w:val="nil"/>
              <w:tr2bl w:val="nil"/>
            </w:tcBorders>
            <w:noWrap/>
            <w:vAlign w:val="center"/>
          </w:tcPr>
          <w:p>
            <w:pPr>
              <w:rPr>
                <w:rFonts w:ascii="Times New Roman" w:eastAsia="宋体" w:hAnsi="Times New Roman"/>
                <w:sz w:val="24"/>
              </w:rPr>
            </w:pPr>
          </w:p>
        </w:tc>
        <w:tc>
          <w:tcPr>
            <w:tcW w:w="52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94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5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52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49"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49" w:type="dxa"/>
            <w:tcBorders>
              <w:top w:val="nil"/>
              <w:left w:val="nil"/>
              <w:bottom w:val="nil"/>
              <w:right w:val="nil"/>
              <w:tl2br w:val="nil"/>
              <w:tr2bl w:val="nil"/>
            </w:tcBorders>
            <w:noWrap/>
            <w:vAlign w:val="center"/>
          </w:tcPr>
          <w:p>
            <w:pPr>
              <w:rPr>
                <w:rFonts w:ascii="Times New Roman" w:eastAsia="宋体" w:hAnsi="Times New Roman"/>
                <w:sz w:val="24"/>
              </w:rPr>
            </w:pPr>
          </w:p>
        </w:tc>
        <w:tc>
          <w:tcPr>
            <w:tcW w:w="734"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994" w:type="dxa"/>
            <w:gridSpan w:val="2"/>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财决批复07表</w:t>
            </w:r>
          </w:p>
        </w:tc>
      </w:tr>
      <w:tr>
        <w:trPr>
          <w:trHeight w:val="404"/>
        </w:trPr>
        <w:tc>
          <w:tcPr>
            <w:tcW w:w="3826" w:type="dxa"/>
            <w:gridSpan w:val="5"/>
            <w:tcBorders>
              <w:top w:val="nil"/>
              <w:left w:val="nil"/>
              <w:bottom w:val="nil"/>
              <w:right w:val="nil"/>
              <w:tl2br w:val="nil"/>
              <w:tr2bl w:val="nil"/>
            </w:tcBorders>
            <w:noWrap/>
            <w:vAlign w:val="center"/>
          </w:tcPr>
          <w:p>
            <w:pPr>
              <w:rPr>
                <w:rFonts w:ascii="宋体" w:eastAsia="宋体" w:cs="宋体"/>
                <w:color w:val="000000"/>
                <w:sz w:val="20"/>
              </w:rPr>
            </w:pPr>
            <w:r>
              <w:rPr>
                <w:rFonts w:ascii="宋体" w:eastAsia="宋体" w:cs="宋体"/>
                <w:color w:val="000000"/>
                <w:sz w:val="20"/>
              </w:rPr>
              <w:t>单位：呼和浩特国际旅行卫生保健中心(呼和浩特海关口岸门诊部）</w:t>
            </w:r>
          </w:p>
        </w:tc>
        <w:tc>
          <w:tcPr>
            <w:tcW w:w="422" w:type="dxa"/>
            <w:tcBorders>
              <w:top w:val="nil"/>
              <w:left w:val="nil"/>
              <w:bottom w:val="nil"/>
              <w:right w:val="nil"/>
              <w:tl2br w:val="nil"/>
              <w:tr2bl w:val="nil"/>
            </w:tcBorders>
            <w:noWrap/>
            <w:vAlign w:val="center"/>
          </w:tcPr>
          <w:p>
            <w:pPr>
              <w:rPr>
                <w:rFonts w:ascii="Times New Roman" w:eastAsia="宋体" w:hAnsi="Times New Roman"/>
                <w:sz w:val="24"/>
              </w:rPr>
            </w:pPr>
          </w:p>
        </w:tc>
        <w:tc>
          <w:tcPr>
            <w:tcW w:w="942" w:type="dxa"/>
            <w:tcBorders>
              <w:top w:val="nil"/>
              <w:left w:val="nil"/>
              <w:bottom w:val="nil"/>
              <w:right w:val="nil"/>
              <w:tl2br w:val="nil"/>
              <w:tr2bl w:val="nil"/>
            </w:tcBorders>
            <w:noWrap/>
            <w:vAlign w:val="center"/>
          </w:tcPr>
          <w:p>
            <w:pPr>
              <w:rPr>
                <w:rFonts w:ascii="Times New Roman" w:eastAsia="宋体" w:hAnsi="Times New Roman"/>
                <w:sz w:val="24"/>
              </w:rPr>
            </w:pPr>
          </w:p>
        </w:tc>
        <w:tc>
          <w:tcPr>
            <w:tcW w:w="947" w:type="dxa"/>
            <w:tcBorders>
              <w:top w:val="nil"/>
              <w:left w:val="nil"/>
              <w:bottom w:val="nil"/>
              <w:right w:val="nil"/>
              <w:tl2br w:val="nil"/>
              <w:tr2bl w:val="nil"/>
            </w:tcBorders>
            <w:noWrap/>
            <w:vAlign w:val="center"/>
          </w:tcPr>
          <w:p>
            <w:pPr>
              <w:rPr>
                <w:rFonts w:ascii="Times New Roman" w:eastAsia="宋体" w:hAnsi="Times New Roman"/>
                <w:sz w:val="24"/>
              </w:rPr>
            </w:pPr>
          </w:p>
        </w:tc>
        <w:tc>
          <w:tcPr>
            <w:tcW w:w="52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94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5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52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49"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49" w:type="dxa"/>
            <w:tcBorders>
              <w:top w:val="nil"/>
              <w:left w:val="nil"/>
              <w:bottom w:val="nil"/>
              <w:right w:val="nil"/>
              <w:tl2br w:val="nil"/>
              <w:tr2bl w:val="nil"/>
            </w:tcBorders>
            <w:noWrap/>
            <w:vAlign w:val="center"/>
          </w:tcPr>
          <w:p>
            <w:pPr>
              <w:rPr>
                <w:rFonts w:ascii="Times New Roman" w:eastAsia="宋体" w:hAnsi="Times New Roman"/>
                <w:sz w:val="24"/>
              </w:rPr>
            </w:pPr>
          </w:p>
        </w:tc>
        <w:tc>
          <w:tcPr>
            <w:tcW w:w="734"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994" w:type="dxa"/>
            <w:gridSpan w:val="2"/>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金额单位：万元</w:t>
            </w:r>
          </w:p>
        </w:tc>
      </w:tr>
      <w:tr>
        <w:trPr>
          <w:trHeight w:val="284"/>
        </w:trPr>
        <w:tc>
          <w:tcPr>
            <w:tcW w:w="992" w:type="dxa"/>
            <w:gridSpan w:val="3"/>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科目代码</w:t>
            </w:r>
          </w:p>
        </w:tc>
        <w:tc>
          <w:tcPr>
            <w:tcW w:w="1995" w:type="dxa"/>
            <w:vMerge w:val="restart"/>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科目名称</w:t>
            </w:r>
          </w:p>
        </w:tc>
        <w:tc>
          <w:tcPr>
            <w:tcW w:w="2204" w:type="dxa"/>
            <w:gridSpan w:val="3"/>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年初结转和结余</w:t>
            </w:r>
          </w:p>
        </w:tc>
        <w:tc>
          <w:tcPr>
            <w:tcW w:w="2417" w:type="dxa"/>
            <w:gridSpan w:val="3"/>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本年收入</w:t>
            </w:r>
          </w:p>
        </w:tc>
        <w:tc>
          <w:tcPr>
            <w:tcW w:w="2624" w:type="dxa"/>
            <w:gridSpan w:val="3"/>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本年支出</w:t>
            </w:r>
          </w:p>
        </w:tc>
        <w:tc>
          <w:tcPr>
            <w:tcW w:w="3778" w:type="dxa"/>
            <w:gridSpan w:val="4"/>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年末结转和结余</w:t>
            </w:r>
          </w:p>
        </w:tc>
      </w:tr>
      <w:tr>
        <w:trPr>
          <w:trHeight w:val="284"/>
        </w:trPr>
        <w:tc>
          <w:tcPr>
            <w:tcW w:w="992" w:type="dxa"/>
            <w:gridSpan w:val="3"/>
            <w:vMerge/>
            <w:tcBorders>
              <w:top w:val="nil"/>
              <w:left w:val="single" w:sz="6" w:space="0" w:color="000000"/>
              <w:bottom w:val="single" w:sz="6" w:space="0" w:color="000000"/>
              <w:right w:val="single" w:sz="6" w:space="0" w:color="000000"/>
              <w:tl2br w:val="nil"/>
              <w:tr2bl w:val="nil"/>
            </w:tcBorders>
            <w:noWrap/>
            <w:vAlign w:val="center"/>
          </w:tcPr>
          <w:p/>
        </w:tc>
        <w:tc>
          <w:tcPr>
            <w:tcW w:w="1995" w:type="dxa"/>
            <w:vMerge/>
            <w:tcBorders>
              <w:top w:val="nil"/>
              <w:left w:val="nil"/>
              <w:bottom w:val="single" w:sz="6" w:space="0" w:color="000000"/>
              <w:right w:val="single" w:sz="6" w:space="0" w:color="000000"/>
              <w:tl2br w:val="nil"/>
              <w:tr2bl w:val="nil"/>
            </w:tcBorders>
            <w:noWrap/>
            <w:vAlign w:val="center"/>
          </w:tcPr>
          <w:p/>
        </w:tc>
        <w:tc>
          <w:tcPr>
            <w:tcW w:w="839"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合计</w:t>
            </w:r>
          </w:p>
        </w:tc>
        <w:tc>
          <w:tcPr>
            <w:tcW w:w="422"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基本支出结转</w:t>
            </w:r>
          </w:p>
        </w:tc>
        <w:tc>
          <w:tcPr>
            <w:tcW w:w="942"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项目支出结转和结余</w:t>
            </w:r>
          </w:p>
        </w:tc>
        <w:tc>
          <w:tcPr>
            <w:tcW w:w="947"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合计</w:t>
            </w:r>
          </w:p>
        </w:tc>
        <w:tc>
          <w:tcPr>
            <w:tcW w:w="525"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基本支出</w:t>
            </w:r>
          </w:p>
        </w:tc>
        <w:tc>
          <w:tcPr>
            <w:tcW w:w="945"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项目支出</w:t>
            </w:r>
          </w:p>
        </w:tc>
        <w:tc>
          <w:tcPr>
            <w:tcW w:w="1050"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合计</w:t>
            </w:r>
          </w:p>
        </w:tc>
        <w:tc>
          <w:tcPr>
            <w:tcW w:w="525"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基本支出</w:t>
            </w:r>
          </w:p>
        </w:tc>
        <w:tc>
          <w:tcPr>
            <w:tcW w:w="1049"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项目支出</w:t>
            </w:r>
          </w:p>
        </w:tc>
        <w:tc>
          <w:tcPr>
            <w:tcW w:w="1049"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合计</w:t>
            </w:r>
          </w:p>
        </w:tc>
        <w:tc>
          <w:tcPr>
            <w:tcW w:w="734"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基本支出结转</w:t>
            </w:r>
          </w:p>
        </w:tc>
        <w:tc>
          <w:tcPr>
            <w:tcW w:w="1994" w:type="dxa"/>
            <w:gridSpan w:val="2"/>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项目支出结转和结余</w:t>
            </w:r>
          </w:p>
        </w:tc>
      </w:tr>
      <w:tr>
        <w:trPr>
          <w:trHeight w:val="284"/>
        </w:trPr>
        <w:tc>
          <w:tcPr>
            <w:tcW w:w="992" w:type="dxa"/>
            <w:gridSpan w:val="3"/>
            <w:vMerge/>
            <w:tcBorders>
              <w:top w:val="nil"/>
              <w:left w:val="single" w:sz="6" w:space="0" w:color="000000"/>
              <w:bottom w:val="single" w:sz="6" w:space="0" w:color="000000"/>
              <w:right w:val="single" w:sz="6" w:space="0" w:color="000000"/>
              <w:tl2br w:val="nil"/>
              <w:tr2bl w:val="nil"/>
            </w:tcBorders>
            <w:noWrap/>
            <w:vAlign w:val="center"/>
          </w:tcPr>
          <w:p/>
        </w:tc>
        <w:tc>
          <w:tcPr>
            <w:tcW w:w="1995" w:type="dxa"/>
            <w:vMerge/>
            <w:tcBorders>
              <w:top w:val="nil"/>
              <w:left w:val="nil"/>
              <w:bottom w:val="single" w:sz="6" w:space="0" w:color="000000"/>
              <w:right w:val="single" w:sz="6" w:space="0" w:color="000000"/>
              <w:tl2br w:val="nil"/>
              <w:tr2bl w:val="nil"/>
            </w:tcBorders>
            <w:noWrap/>
            <w:vAlign w:val="center"/>
          </w:tcPr>
          <w:p/>
        </w:tc>
        <w:tc>
          <w:tcPr>
            <w:tcW w:w="839" w:type="dxa"/>
            <w:vMerge/>
            <w:tcBorders>
              <w:top w:val="nil"/>
              <w:left w:val="nil"/>
              <w:bottom w:val="single" w:sz="6" w:space="0" w:color="000000"/>
              <w:right w:val="single" w:sz="6" w:space="0" w:color="000000"/>
              <w:tl2br w:val="nil"/>
              <w:tr2bl w:val="nil"/>
            </w:tcBorders>
            <w:noWrap/>
            <w:vAlign w:val="center"/>
          </w:tcPr>
          <w:p/>
        </w:tc>
        <w:tc>
          <w:tcPr>
            <w:tcW w:w="422" w:type="dxa"/>
            <w:vMerge/>
            <w:tcBorders>
              <w:top w:val="nil"/>
              <w:left w:val="nil"/>
              <w:bottom w:val="single" w:sz="6" w:space="0" w:color="000000"/>
              <w:right w:val="single" w:sz="6" w:space="0" w:color="000000"/>
              <w:tl2br w:val="nil"/>
              <w:tr2bl w:val="nil"/>
            </w:tcBorders>
            <w:noWrap/>
            <w:vAlign w:val="center"/>
          </w:tcPr>
          <w:p/>
        </w:tc>
        <w:tc>
          <w:tcPr>
            <w:tcW w:w="942" w:type="dxa"/>
            <w:vMerge/>
            <w:tcBorders>
              <w:top w:val="nil"/>
              <w:left w:val="nil"/>
              <w:bottom w:val="single" w:sz="6" w:space="0" w:color="000000"/>
              <w:right w:val="single" w:sz="6" w:space="0" w:color="000000"/>
              <w:tl2br w:val="nil"/>
              <w:tr2bl w:val="nil"/>
            </w:tcBorders>
            <w:noWrap/>
            <w:vAlign w:val="center"/>
          </w:tcPr>
          <w:p/>
        </w:tc>
        <w:tc>
          <w:tcPr>
            <w:tcW w:w="947" w:type="dxa"/>
            <w:vMerge/>
            <w:tcBorders>
              <w:top w:val="nil"/>
              <w:left w:val="nil"/>
              <w:bottom w:val="single" w:sz="6" w:space="0" w:color="000000"/>
              <w:right w:val="single" w:sz="6" w:space="0" w:color="000000"/>
              <w:tl2br w:val="nil"/>
              <w:tr2bl w:val="nil"/>
            </w:tcBorders>
            <w:noWrap/>
            <w:vAlign w:val="center"/>
          </w:tcPr>
          <w:p/>
        </w:tc>
        <w:tc>
          <w:tcPr>
            <w:tcW w:w="525" w:type="dxa"/>
            <w:vMerge/>
            <w:tcBorders>
              <w:top w:val="nil"/>
              <w:left w:val="nil"/>
              <w:bottom w:val="single" w:sz="6" w:space="0" w:color="000000"/>
              <w:right w:val="single" w:sz="6" w:space="0" w:color="000000"/>
              <w:tl2br w:val="nil"/>
              <w:tr2bl w:val="nil"/>
            </w:tcBorders>
            <w:noWrap/>
            <w:vAlign w:val="center"/>
          </w:tcPr>
          <w:p/>
        </w:tc>
        <w:tc>
          <w:tcPr>
            <w:tcW w:w="945" w:type="dxa"/>
            <w:vMerge/>
            <w:tcBorders>
              <w:top w:val="nil"/>
              <w:left w:val="nil"/>
              <w:bottom w:val="single" w:sz="6" w:space="0" w:color="000000"/>
              <w:right w:val="single" w:sz="6" w:space="0" w:color="000000"/>
              <w:tl2br w:val="nil"/>
              <w:tr2bl w:val="nil"/>
            </w:tcBorders>
            <w:noWrap/>
            <w:vAlign w:val="center"/>
          </w:tcPr>
          <w:p/>
        </w:tc>
        <w:tc>
          <w:tcPr>
            <w:tcW w:w="1050" w:type="dxa"/>
            <w:vMerge/>
            <w:tcBorders>
              <w:top w:val="nil"/>
              <w:left w:val="nil"/>
              <w:bottom w:val="single" w:sz="6" w:space="0" w:color="000000"/>
              <w:right w:val="single" w:sz="6" w:space="0" w:color="000000"/>
              <w:tl2br w:val="nil"/>
              <w:tr2bl w:val="nil"/>
            </w:tcBorders>
            <w:noWrap/>
            <w:vAlign w:val="center"/>
          </w:tcPr>
          <w:p/>
        </w:tc>
        <w:tc>
          <w:tcPr>
            <w:tcW w:w="525" w:type="dxa"/>
            <w:vMerge/>
            <w:tcBorders>
              <w:top w:val="nil"/>
              <w:left w:val="nil"/>
              <w:bottom w:val="single" w:sz="6" w:space="0" w:color="000000"/>
              <w:right w:val="single" w:sz="6" w:space="0" w:color="000000"/>
              <w:tl2br w:val="nil"/>
              <w:tr2bl w:val="nil"/>
            </w:tcBorders>
            <w:noWrap/>
            <w:vAlign w:val="center"/>
          </w:tcPr>
          <w:p/>
        </w:tc>
        <w:tc>
          <w:tcPr>
            <w:tcW w:w="1049" w:type="dxa"/>
            <w:vMerge/>
            <w:tcBorders>
              <w:top w:val="nil"/>
              <w:left w:val="nil"/>
              <w:bottom w:val="single" w:sz="6" w:space="0" w:color="000000"/>
              <w:right w:val="single" w:sz="6" w:space="0" w:color="000000"/>
              <w:tl2br w:val="nil"/>
              <w:tr2bl w:val="nil"/>
            </w:tcBorders>
            <w:noWrap/>
            <w:vAlign w:val="center"/>
          </w:tcPr>
          <w:p/>
        </w:tc>
        <w:tc>
          <w:tcPr>
            <w:tcW w:w="1049" w:type="dxa"/>
            <w:vMerge/>
            <w:tcBorders>
              <w:top w:val="nil"/>
              <w:left w:val="nil"/>
              <w:bottom w:val="single" w:sz="6" w:space="0" w:color="000000"/>
              <w:right w:val="single" w:sz="6" w:space="0" w:color="000000"/>
              <w:tl2br w:val="nil"/>
              <w:tr2bl w:val="nil"/>
            </w:tcBorders>
            <w:noWrap/>
            <w:vAlign w:val="center"/>
          </w:tcPr>
          <w:p/>
        </w:tc>
        <w:tc>
          <w:tcPr>
            <w:tcW w:w="734" w:type="dxa"/>
            <w:vMerge/>
            <w:tcBorders>
              <w:top w:val="nil"/>
              <w:left w:val="nil"/>
              <w:bottom w:val="single" w:sz="6" w:space="0" w:color="000000"/>
              <w:right w:val="single" w:sz="6" w:space="0" w:color="000000"/>
              <w:tl2br w:val="nil"/>
              <w:tr2bl w:val="nil"/>
            </w:tcBorders>
            <w:noWrap/>
            <w:vAlign w:val="center"/>
          </w:tcPr>
          <w:p/>
        </w:tc>
        <w:tc>
          <w:tcPr>
            <w:tcW w:w="104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项目支出结转</w:t>
            </w:r>
          </w:p>
        </w:tc>
        <w:tc>
          <w:tcPr>
            <w:tcW w:w="944"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项目支出结余</w:t>
            </w:r>
          </w:p>
        </w:tc>
      </w:tr>
      <w:tr>
        <w:trPr>
          <w:trHeight w:val="410"/>
        </w:trPr>
        <w:tc>
          <w:tcPr>
            <w:tcW w:w="363" w:type="dxa"/>
            <w:vMerge w:val="restart"/>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类</w:t>
            </w:r>
          </w:p>
        </w:tc>
        <w:tc>
          <w:tcPr>
            <w:tcW w:w="314"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款</w:t>
            </w:r>
          </w:p>
        </w:tc>
        <w:tc>
          <w:tcPr>
            <w:tcW w:w="315"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项</w:t>
            </w:r>
          </w:p>
        </w:tc>
        <w:tc>
          <w:tcPr>
            <w:tcW w:w="199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栏次</w:t>
            </w:r>
          </w:p>
        </w:tc>
        <w:tc>
          <w:tcPr>
            <w:tcW w:w="83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w:t>
            </w:r>
          </w:p>
        </w:tc>
        <w:tc>
          <w:tcPr>
            <w:tcW w:w="422"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w:t>
            </w:r>
          </w:p>
        </w:tc>
        <w:tc>
          <w:tcPr>
            <w:tcW w:w="942"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w:t>
            </w:r>
          </w:p>
        </w:tc>
        <w:tc>
          <w:tcPr>
            <w:tcW w:w="947"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w:t>
            </w:r>
          </w:p>
        </w:tc>
        <w:tc>
          <w:tcPr>
            <w:tcW w:w="52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w:t>
            </w:r>
          </w:p>
        </w:tc>
        <w:tc>
          <w:tcPr>
            <w:tcW w:w="9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6</w:t>
            </w:r>
          </w:p>
        </w:tc>
        <w:tc>
          <w:tcPr>
            <w:tcW w:w="105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7</w:t>
            </w:r>
          </w:p>
        </w:tc>
        <w:tc>
          <w:tcPr>
            <w:tcW w:w="52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8</w:t>
            </w:r>
          </w:p>
        </w:tc>
        <w:tc>
          <w:tcPr>
            <w:tcW w:w="104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9</w:t>
            </w:r>
          </w:p>
        </w:tc>
        <w:tc>
          <w:tcPr>
            <w:tcW w:w="104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10</w:t>
            </w:r>
          </w:p>
        </w:tc>
        <w:tc>
          <w:tcPr>
            <w:tcW w:w="734"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11</w:t>
            </w:r>
          </w:p>
        </w:tc>
        <w:tc>
          <w:tcPr>
            <w:tcW w:w="1049"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12</w:t>
            </w:r>
          </w:p>
        </w:tc>
        <w:tc>
          <w:tcPr>
            <w:tcW w:w="944"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13</w:t>
            </w:r>
          </w:p>
        </w:tc>
      </w:tr>
      <w:tr>
        <w:trPr>
          <w:trHeight w:val="422"/>
        </w:trPr>
        <w:tc>
          <w:tcPr>
            <w:tcW w:w="363" w:type="dxa"/>
            <w:vMerge/>
            <w:tcBorders>
              <w:top w:val="nil"/>
              <w:left w:val="single" w:sz="6" w:space="0" w:color="000000"/>
              <w:bottom w:val="single" w:sz="6" w:space="0" w:color="000000"/>
              <w:right w:val="single" w:sz="6" w:space="0" w:color="000000"/>
              <w:tl2br w:val="nil"/>
              <w:tr2bl w:val="nil"/>
            </w:tcBorders>
            <w:noWrap/>
            <w:vAlign w:val="center"/>
          </w:tcPr>
          <w:p/>
        </w:tc>
        <w:tc>
          <w:tcPr>
            <w:tcW w:w="314" w:type="dxa"/>
            <w:vMerge/>
            <w:tcBorders>
              <w:top w:val="nil"/>
              <w:left w:val="nil"/>
              <w:bottom w:val="single" w:sz="6" w:space="0" w:color="000000"/>
              <w:right w:val="single" w:sz="6" w:space="0" w:color="000000"/>
              <w:tl2br w:val="nil"/>
              <w:tr2bl w:val="nil"/>
            </w:tcBorders>
            <w:noWrap/>
            <w:vAlign w:val="center"/>
          </w:tcPr>
          <w:p/>
        </w:tc>
        <w:tc>
          <w:tcPr>
            <w:tcW w:w="315" w:type="dxa"/>
            <w:vMerge/>
            <w:tcBorders>
              <w:top w:val="nil"/>
              <w:left w:val="nil"/>
              <w:bottom w:val="single" w:sz="6" w:space="0" w:color="000000"/>
              <w:right w:val="single" w:sz="6" w:space="0" w:color="000000"/>
              <w:tl2br w:val="nil"/>
              <w:tr2bl w:val="nil"/>
            </w:tcBorders>
            <w:noWrap/>
            <w:vAlign w:val="center"/>
          </w:tcPr>
          <w:p/>
        </w:tc>
        <w:tc>
          <w:tcPr>
            <w:tcW w:w="199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合计</w:t>
            </w:r>
          </w:p>
        </w:tc>
        <w:tc>
          <w:tcPr>
            <w:tcW w:w="83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44.14</w:t>
            </w:r>
          </w:p>
        </w:tc>
        <w:tc>
          <w:tcPr>
            <w:tcW w:w="422"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2"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44.14</w:t>
            </w:r>
          </w:p>
        </w:tc>
        <w:tc>
          <w:tcPr>
            <w:tcW w:w="947"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640.00</w:t>
            </w:r>
          </w:p>
        </w:tc>
        <w:tc>
          <w:tcPr>
            <w:tcW w:w="52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640.00</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104.89</w:t>
            </w:r>
          </w:p>
        </w:tc>
        <w:tc>
          <w:tcPr>
            <w:tcW w:w="52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4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104.89</w:t>
            </w:r>
          </w:p>
        </w:tc>
        <w:tc>
          <w:tcPr>
            <w:tcW w:w="104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579.25</w:t>
            </w:r>
          </w:p>
        </w:tc>
        <w:tc>
          <w:tcPr>
            <w:tcW w:w="73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4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535.11</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44.14</w:t>
            </w:r>
          </w:p>
        </w:tc>
      </w:tr>
      <w:tr>
        <w:trPr>
          <w:trHeight w:val="404"/>
        </w:trPr>
        <w:tc>
          <w:tcPr>
            <w:tcW w:w="992"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229</w:t>
            </w:r>
          </w:p>
        </w:tc>
        <w:tc>
          <w:tcPr>
            <w:tcW w:w="199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其他支出</w:t>
            </w:r>
          </w:p>
        </w:tc>
        <w:tc>
          <w:tcPr>
            <w:tcW w:w="83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44.14 </w:t>
            </w:r>
          </w:p>
        </w:tc>
        <w:tc>
          <w:tcPr>
            <w:tcW w:w="422"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2"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44.14 </w:t>
            </w:r>
          </w:p>
        </w:tc>
        <w:tc>
          <w:tcPr>
            <w:tcW w:w="947"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640.00 </w:t>
            </w:r>
          </w:p>
        </w:tc>
        <w:tc>
          <w:tcPr>
            <w:tcW w:w="52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640.00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104.89 </w:t>
            </w:r>
          </w:p>
        </w:tc>
        <w:tc>
          <w:tcPr>
            <w:tcW w:w="52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4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104.89 </w:t>
            </w:r>
          </w:p>
        </w:tc>
        <w:tc>
          <w:tcPr>
            <w:tcW w:w="104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579.25 </w:t>
            </w:r>
          </w:p>
        </w:tc>
        <w:tc>
          <w:tcPr>
            <w:tcW w:w="73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4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535.11 </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44.14 </w:t>
            </w:r>
          </w:p>
        </w:tc>
      </w:tr>
      <w:tr>
        <w:trPr>
          <w:trHeight w:val="584"/>
        </w:trPr>
        <w:tc>
          <w:tcPr>
            <w:tcW w:w="992"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22998</w:t>
            </w:r>
          </w:p>
        </w:tc>
        <w:tc>
          <w:tcPr>
            <w:tcW w:w="199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超长期特别国债安排的其他支出</w:t>
            </w:r>
          </w:p>
        </w:tc>
        <w:tc>
          <w:tcPr>
            <w:tcW w:w="83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44.14 </w:t>
            </w:r>
          </w:p>
        </w:tc>
        <w:tc>
          <w:tcPr>
            <w:tcW w:w="422"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2"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44.14 </w:t>
            </w:r>
          </w:p>
        </w:tc>
        <w:tc>
          <w:tcPr>
            <w:tcW w:w="947"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640.00 </w:t>
            </w:r>
          </w:p>
        </w:tc>
        <w:tc>
          <w:tcPr>
            <w:tcW w:w="52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640.00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104.89 </w:t>
            </w:r>
          </w:p>
        </w:tc>
        <w:tc>
          <w:tcPr>
            <w:tcW w:w="52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4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104.89 </w:t>
            </w:r>
          </w:p>
        </w:tc>
        <w:tc>
          <w:tcPr>
            <w:tcW w:w="104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579.25 </w:t>
            </w:r>
          </w:p>
        </w:tc>
        <w:tc>
          <w:tcPr>
            <w:tcW w:w="73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4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535.11 </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44.14 </w:t>
            </w:r>
          </w:p>
        </w:tc>
      </w:tr>
      <w:tr>
        <w:trPr>
          <w:trHeight w:val="404"/>
        </w:trPr>
        <w:tc>
          <w:tcPr>
            <w:tcW w:w="992" w:type="dxa"/>
            <w:gridSpan w:val="3"/>
            <w:tcBorders>
              <w:top w:val="nil"/>
              <w:left w:val="single" w:sz="6" w:space="0" w:color="000000"/>
              <w:bottom w:val="single" w:sz="6" w:space="0" w:color="000000"/>
              <w:right w:val="single" w:sz="6" w:space="0" w:color="000000"/>
              <w:tl2br w:val="nil"/>
              <w:tr2bl w:val="nil"/>
            </w:tcBorders>
            <w:noWrap/>
            <w:vAlign w:val="center"/>
          </w:tcPr>
          <w:p>
            <w:pPr>
              <w:rPr>
                <w:rFonts w:ascii="宋体" w:eastAsia="宋体" w:cs="宋体"/>
                <w:color w:val="000000"/>
                <w:sz w:val="20"/>
              </w:rPr>
            </w:pPr>
            <w:r>
              <w:rPr>
                <w:rFonts w:ascii="宋体" w:eastAsia="宋体" w:cs="宋体"/>
                <w:color w:val="000000"/>
                <w:sz w:val="20"/>
              </w:rPr>
              <w:t>2299899</w:t>
            </w:r>
          </w:p>
        </w:tc>
        <w:tc>
          <w:tcPr>
            <w:tcW w:w="1995" w:type="dxa"/>
            <w:tcBorders>
              <w:top w:val="nil"/>
              <w:left w:val="nil"/>
              <w:bottom w:val="single" w:sz="6" w:space="0" w:color="000000"/>
              <w:right w:val="single" w:sz="6" w:space="0" w:color="000000"/>
              <w:tl2br w:val="nil"/>
              <w:tr2bl w:val="nil"/>
            </w:tcBorders>
            <w:noWrap/>
            <w:vAlign w:val="center"/>
          </w:tcPr>
          <w:p>
            <w:pPr>
              <w:rPr>
                <w:rFonts w:ascii="宋体" w:eastAsia="宋体" w:cs="宋体"/>
                <w:sz w:val="20"/>
              </w:rPr>
            </w:pPr>
            <w:r>
              <w:rPr>
                <w:rFonts w:ascii="宋体" w:eastAsia="宋体" w:cs="宋体"/>
                <w:sz w:val="20"/>
              </w:rPr>
              <w:t xml:space="preserve">    其他支出</w:t>
            </w:r>
          </w:p>
        </w:tc>
        <w:tc>
          <w:tcPr>
            <w:tcW w:w="83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44.14 </w:t>
            </w:r>
          </w:p>
        </w:tc>
        <w:tc>
          <w:tcPr>
            <w:tcW w:w="422"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2"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44.14 </w:t>
            </w:r>
          </w:p>
        </w:tc>
        <w:tc>
          <w:tcPr>
            <w:tcW w:w="947"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640.00 </w:t>
            </w:r>
          </w:p>
        </w:tc>
        <w:tc>
          <w:tcPr>
            <w:tcW w:w="52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94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640.00 </w:t>
            </w:r>
          </w:p>
        </w:tc>
        <w:tc>
          <w:tcPr>
            <w:tcW w:w="105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104.89 </w:t>
            </w:r>
          </w:p>
        </w:tc>
        <w:tc>
          <w:tcPr>
            <w:tcW w:w="52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4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104.89 </w:t>
            </w:r>
          </w:p>
        </w:tc>
        <w:tc>
          <w:tcPr>
            <w:tcW w:w="104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579.25 </w:t>
            </w:r>
          </w:p>
        </w:tc>
        <w:tc>
          <w:tcPr>
            <w:tcW w:w="734"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49"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535.11 </w:t>
            </w:r>
          </w:p>
        </w:tc>
        <w:tc>
          <w:tcPr>
            <w:tcW w:w="944"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 xml:space="preserve">44.14 </w:t>
            </w:r>
          </w:p>
        </w:tc>
      </w:tr>
    </w:tbl>
    <w:p/>
    <w:p/>
    <w:p/>
    <w:p/>
    <w:p/>
    <w:p/>
    <w:p/>
    <w:p/>
    <w:p/>
    <w:p/>
    <w:p/>
    <w:p/>
    <w:tbl>
      <w:tblPr>
        <w:jc w:val="lef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30"/>
        <w:gridCol w:w="1140"/>
        <w:gridCol w:w="1290"/>
        <w:gridCol w:w="1080"/>
        <w:gridCol w:w="1275"/>
        <w:gridCol w:w="945"/>
        <w:gridCol w:w="1005"/>
        <w:gridCol w:w="1275"/>
        <w:gridCol w:w="1275"/>
        <w:gridCol w:w="1275"/>
        <w:gridCol w:w="1275"/>
        <w:gridCol w:w="1020"/>
      </w:tblGrid>
      <w:tr>
        <w:trPr>
          <w:trHeight w:val="584"/>
        </w:trPr>
        <w:tc>
          <w:tcPr>
            <w:tcW w:w="13785" w:type="dxa"/>
            <w:gridSpan w:val="12"/>
            <w:tcBorders>
              <w:top w:val="nil"/>
              <w:left w:val="nil"/>
              <w:bottom w:val="nil"/>
              <w:right w:val="nil"/>
              <w:tl2br w:val="nil"/>
              <w:tr2bl w:val="nil"/>
            </w:tcBorders>
            <w:noWrap/>
            <w:vAlign w:val="center"/>
          </w:tcPr>
          <w:p>
            <w:pPr>
              <w:jc w:val="center"/>
              <w:rPr>
                <w:rFonts w:ascii="宋体" w:eastAsia="宋体" w:cs="宋体"/>
                <w:color w:val="000000"/>
                <w:sz w:val="38"/>
              </w:rPr>
            </w:pPr>
            <w:r>
              <w:rPr>
                <w:rFonts w:ascii="宋体" w:eastAsia="宋体" w:cs="宋体"/>
                <w:color w:val="000000"/>
                <w:sz w:val="38"/>
              </w:rPr>
              <w:t>财政拨款“三公”经费支出决算批复表</w:t>
            </w:r>
          </w:p>
        </w:tc>
      </w:tr>
      <w:tr>
        <w:trPr>
          <w:trHeight w:val="584"/>
        </w:trPr>
        <w:tc>
          <w:tcPr>
            <w:tcW w:w="93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14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29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80"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27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94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0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27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27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27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2295" w:type="dxa"/>
            <w:gridSpan w:val="2"/>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财决批复09表</w:t>
            </w:r>
          </w:p>
        </w:tc>
      </w:tr>
      <w:tr>
        <w:trPr>
          <w:trHeight w:val="584"/>
        </w:trPr>
        <w:tc>
          <w:tcPr>
            <w:tcW w:w="4440" w:type="dxa"/>
            <w:gridSpan w:val="4"/>
            <w:tcBorders>
              <w:top w:val="nil"/>
              <w:left w:val="nil"/>
              <w:bottom w:val="nil"/>
              <w:right w:val="nil"/>
              <w:tl2br w:val="nil"/>
              <w:tr2bl w:val="nil"/>
            </w:tcBorders>
            <w:noWrap/>
            <w:vAlign w:val="center"/>
          </w:tcPr>
          <w:p>
            <w:pPr>
              <w:rPr>
                <w:rFonts w:ascii="宋体" w:eastAsia="宋体" w:cs="宋体"/>
                <w:color w:val="000000"/>
                <w:sz w:val="20"/>
              </w:rPr>
            </w:pPr>
            <w:r>
              <w:rPr>
                <w:rFonts w:ascii="宋体" w:eastAsia="宋体" w:cs="宋体"/>
                <w:color w:val="000000"/>
                <w:sz w:val="20"/>
              </w:rPr>
              <w:t>单位：呼和浩特国际旅行卫生保健中心(呼和浩特海关口岸门诊部）</w:t>
            </w:r>
          </w:p>
        </w:tc>
        <w:tc>
          <w:tcPr>
            <w:tcW w:w="127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94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00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27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27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1275" w:type="dxa"/>
            <w:tcBorders>
              <w:top w:val="nil"/>
              <w:left w:val="nil"/>
              <w:bottom w:val="nil"/>
              <w:right w:val="nil"/>
              <w:tl2br w:val="nil"/>
              <w:tr2bl w:val="nil"/>
            </w:tcBorders>
            <w:noWrap/>
            <w:vAlign w:val="center"/>
          </w:tcPr>
          <w:p>
            <w:pPr>
              <w:rPr>
                <w:rFonts w:ascii="Times New Roman" w:eastAsia="宋体" w:hAnsi="Times New Roman"/>
                <w:sz w:val="24"/>
              </w:rPr>
            </w:pPr>
          </w:p>
        </w:tc>
        <w:tc>
          <w:tcPr>
            <w:tcW w:w="2295" w:type="dxa"/>
            <w:gridSpan w:val="2"/>
            <w:tcBorders>
              <w:top w:val="nil"/>
              <w:left w:val="nil"/>
              <w:bottom w:val="nil"/>
              <w:right w:val="nil"/>
              <w:tl2br w:val="nil"/>
              <w:tr2bl w:val="nil"/>
            </w:tcBorders>
            <w:noWrap/>
            <w:vAlign w:val="center"/>
          </w:tcPr>
          <w:p>
            <w:pPr>
              <w:jc w:val="right"/>
              <w:rPr>
                <w:rFonts w:ascii="宋体" w:eastAsia="宋体" w:cs="宋体"/>
                <w:color w:val="000000"/>
                <w:sz w:val="20"/>
              </w:rPr>
            </w:pPr>
            <w:r>
              <w:rPr>
                <w:rFonts w:ascii="宋体" w:eastAsia="宋体" w:cs="宋体"/>
                <w:color w:val="000000"/>
                <w:sz w:val="20"/>
              </w:rPr>
              <w:t>金额单位：万元</w:t>
            </w:r>
          </w:p>
        </w:tc>
      </w:tr>
      <w:tr>
        <w:trPr>
          <w:trHeight w:val="584"/>
        </w:trPr>
        <w:tc>
          <w:tcPr>
            <w:tcW w:w="6660" w:type="dxa"/>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预算数</w:t>
            </w:r>
          </w:p>
        </w:tc>
        <w:tc>
          <w:tcPr>
            <w:tcW w:w="7125" w:type="dxa"/>
            <w:gridSpan w:val="6"/>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决算数</w:t>
            </w:r>
          </w:p>
        </w:tc>
      </w:tr>
      <w:tr>
        <w:trPr>
          <w:trHeight w:val="284"/>
        </w:trPr>
        <w:tc>
          <w:tcPr>
            <w:tcW w:w="930" w:type="dxa"/>
            <w:vMerge w:val="restart"/>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合计</w:t>
            </w:r>
          </w:p>
        </w:tc>
        <w:tc>
          <w:tcPr>
            <w:tcW w:w="1140"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因公出国</w:t>
            </w:r>
          </w:p>
          <w:p>
            <w:pPr>
              <w:jc w:val="center"/>
              <w:rPr>
                <w:rFonts w:ascii="宋体" w:eastAsia="宋体" w:cs="宋体"/>
                <w:color w:val="000000"/>
                <w:sz w:val="20"/>
              </w:rPr>
            </w:pPr>
            <w:r>
              <w:rPr>
                <w:rFonts w:ascii="宋体" w:eastAsia="宋体" w:cs="宋体"/>
                <w:color w:val="000000"/>
                <w:sz w:val="20"/>
              </w:rPr>
              <w:t>（境）费</w:t>
            </w:r>
          </w:p>
        </w:tc>
        <w:tc>
          <w:tcPr>
            <w:tcW w:w="3645" w:type="dxa"/>
            <w:gridSpan w:val="3"/>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公务用车购置及运行维护费</w:t>
            </w:r>
          </w:p>
        </w:tc>
        <w:tc>
          <w:tcPr>
            <w:tcW w:w="945"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公务接待费</w:t>
            </w:r>
          </w:p>
        </w:tc>
        <w:tc>
          <w:tcPr>
            <w:tcW w:w="1005"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合计</w:t>
            </w:r>
          </w:p>
        </w:tc>
        <w:tc>
          <w:tcPr>
            <w:tcW w:w="1275"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因公出国（境）费</w:t>
            </w:r>
          </w:p>
        </w:tc>
        <w:tc>
          <w:tcPr>
            <w:tcW w:w="3825" w:type="dxa"/>
            <w:gridSpan w:val="3"/>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公务用车购置及运行维护费</w:t>
            </w:r>
          </w:p>
        </w:tc>
        <w:tc>
          <w:tcPr>
            <w:tcW w:w="1020" w:type="dxa"/>
            <w:vMerge w:val="restart"/>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公务接待费</w:t>
            </w:r>
          </w:p>
        </w:tc>
      </w:tr>
      <w:tr>
        <w:trPr>
          <w:trHeight w:val="284"/>
        </w:trPr>
        <w:tc>
          <w:tcPr>
            <w:tcW w:w="930" w:type="dxa"/>
            <w:vMerge/>
            <w:tcBorders>
              <w:top w:val="nil"/>
              <w:left w:val="single" w:sz="6" w:space="0" w:color="000000"/>
              <w:bottom w:val="single" w:sz="6" w:space="0" w:color="000000"/>
              <w:right w:val="single" w:sz="6" w:space="0" w:color="000000"/>
              <w:tl2br w:val="nil"/>
              <w:tr2bl w:val="nil"/>
            </w:tcBorders>
            <w:noWrap/>
            <w:vAlign w:val="center"/>
          </w:tcPr>
          <w:p/>
        </w:tc>
        <w:tc>
          <w:tcPr>
            <w:tcW w:w="1140" w:type="dxa"/>
            <w:vMerge/>
            <w:tcBorders>
              <w:top w:val="nil"/>
              <w:left w:val="nil"/>
              <w:bottom w:val="single" w:sz="6" w:space="0" w:color="000000"/>
              <w:right w:val="single" w:sz="6" w:space="0" w:color="000000"/>
              <w:tl2br w:val="nil"/>
              <w:tr2bl w:val="nil"/>
            </w:tcBorders>
            <w:noWrap/>
            <w:vAlign w:val="center"/>
          </w:tcPr>
          <w:p/>
        </w:tc>
        <w:tc>
          <w:tcPr>
            <w:tcW w:w="129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小计</w:t>
            </w:r>
          </w:p>
        </w:tc>
        <w:tc>
          <w:tcPr>
            <w:tcW w:w="108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公务用车购置费</w:t>
            </w:r>
          </w:p>
        </w:tc>
        <w:tc>
          <w:tcPr>
            <w:tcW w:w="127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公务用车运行维护费</w:t>
            </w:r>
          </w:p>
        </w:tc>
        <w:tc>
          <w:tcPr>
            <w:tcW w:w="945" w:type="dxa"/>
            <w:vMerge/>
            <w:tcBorders>
              <w:top w:val="nil"/>
              <w:left w:val="nil"/>
              <w:bottom w:val="single" w:sz="6" w:space="0" w:color="000000"/>
              <w:right w:val="single" w:sz="6" w:space="0" w:color="000000"/>
              <w:tl2br w:val="nil"/>
              <w:tr2bl w:val="nil"/>
            </w:tcBorders>
            <w:noWrap/>
            <w:vAlign w:val="center"/>
          </w:tcPr>
          <w:p/>
        </w:tc>
        <w:tc>
          <w:tcPr>
            <w:tcW w:w="1005" w:type="dxa"/>
            <w:vMerge/>
            <w:tcBorders>
              <w:top w:val="nil"/>
              <w:left w:val="nil"/>
              <w:bottom w:val="single" w:sz="6" w:space="0" w:color="000000"/>
              <w:right w:val="single" w:sz="6" w:space="0" w:color="000000"/>
              <w:tl2br w:val="nil"/>
              <w:tr2bl w:val="nil"/>
            </w:tcBorders>
            <w:noWrap/>
            <w:vAlign w:val="center"/>
          </w:tcPr>
          <w:p/>
        </w:tc>
        <w:tc>
          <w:tcPr>
            <w:tcW w:w="1275" w:type="dxa"/>
            <w:vMerge/>
            <w:tcBorders>
              <w:top w:val="nil"/>
              <w:left w:val="nil"/>
              <w:bottom w:val="single" w:sz="6" w:space="0" w:color="000000"/>
              <w:right w:val="single" w:sz="6" w:space="0" w:color="000000"/>
              <w:tl2br w:val="nil"/>
              <w:tr2bl w:val="nil"/>
            </w:tcBorders>
            <w:noWrap/>
            <w:vAlign w:val="center"/>
          </w:tcPr>
          <w:p/>
        </w:tc>
        <w:tc>
          <w:tcPr>
            <w:tcW w:w="127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小计</w:t>
            </w:r>
          </w:p>
        </w:tc>
        <w:tc>
          <w:tcPr>
            <w:tcW w:w="127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公务用车购置费</w:t>
            </w:r>
          </w:p>
        </w:tc>
        <w:tc>
          <w:tcPr>
            <w:tcW w:w="127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sz w:val="20"/>
              </w:rPr>
            </w:pPr>
            <w:r>
              <w:rPr>
                <w:rFonts w:ascii="宋体" w:eastAsia="宋体" w:cs="宋体"/>
                <w:sz w:val="20"/>
              </w:rPr>
              <w:t>公务用车运行维护费</w:t>
            </w:r>
          </w:p>
        </w:tc>
        <w:tc>
          <w:tcPr>
            <w:tcW w:w="1020" w:type="dxa"/>
            <w:vMerge/>
            <w:tcBorders>
              <w:top w:val="nil"/>
              <w:left w:val="nil"/>
              <w:bottom w:val="single" w:sz="6" w:space="0" w:color="000000"/>
              <w:right w:val="single" w:sz="6" w:space="0" w:color="000000"/>
              <w:tl2br w:val="nil"/>
              <w:tr2bl w:val="nil"/>
            </w:tcBorders>
            <w:noWrap/>
            <w:vAlign w:val="center"/>
          </w:tcPr>
          <w:p/>
        </w:tc>
      </w:tr>
      <w:tr>
        <w:trPr>
          <w:trHeight w:val="584"/>
        </w:trPr>
        <w:tc>
          <w:tcPr>
            <w:tcW w:w="930" w:type="dxa"/>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w:t>
            </w:r>
          </w:p>
        </w:tc>
        <w:tc>
          <w:tcPr>
            <w:tcW w:w="114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2</w:t>
            </w:r>
          </w:p>
        </w:tc>
        <w:tc>
          <w:tcPr>
            <w:tcW w:w="129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3</w:t>
            </w:r>
          </w:p>
        </w:tc>
        <w:tc>
          <w:tcPr>
            <w:tcW w:w="108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4</w:t>
            </w:r>
          </w:p>
        </w:tc>
        <w:tc>
          <w:tcPr>
            <w:tcW w:w="127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5</w:t>
            </w:r>
          </w:p>
        </w:tc>
        <w:tc>
          <w:tcPr>
            <w:tcW w:w="94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6</w:t>
            </w:r>
          </w:p>
        </w:tc>
        <w:tc>
          <w:tcPr>
            <w:tcW w:w="100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7</w:t>
            </w:r>
          </w:p>
        </w:tc>
        <w:tc>
          <w:tcPr>
            <w:tcW w:w="127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8</w:t>
            </w:r>
          </w:p>
        </w:tc>
        <w:tc>
          <w:tcPr>
            <w:tcW w:w="127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9</w:t>
            </w:r>
          </w:p>
        </w:tc>
        <w:tc>
          <w:tcPr>
            <w:tcW w:w="127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10</w:t>
            </w:r>
          </w:p>
        </w:tc>
        <w:tc>
          <w:tcPr>
            <w:tcW w:w="1275"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11</w:t>
            </w:r>
          </w:p>
        </w:tc>
        <w:tc>
          <w:tcPr>
            <w:tcW w:w="1020" w:type="dxa"/>
            <w:tcBorders>
              <w:top w:val="nil"/>
              <w:left w:val="nil"/>
              <w:bottom w:val="single" w:sz="6" w:space="0" w:color="000000"/>
              <w:right w:val="single" w:sz="6" w:space="0" w:color="000000"/>
              <w:tl2br w:val="nil"/>
              <w:tr2bl w:val="nil"/>
            </w:tcBorders>
            <w:noWrap/>
            <w:vAlign w:val="center"/>
          </w:tcPr>
          <w:p>
            <w:pPr>
              <w:jc w:val="center"/>
              <w:rPr>
                <w:rFonts w:ascii="宋体" w:eastAsia="宋体" w:cs="宋体"/>
                <w:color w:val="000000"/>
                <w:sz w:val="20"/>
              </w:rPr>
            </w:pPr>
            <w:r>
              <w:rPr>
                <w:rFonts w:ascii="宋体" w:eastAsia="宋体" w:cs="宋体"/>
                <w:color w:val="000000"/>
                <w:sz w:val="20"/>
              </w:rPr>
              <w:t>12</w:t>
            </w:r>
          </w:p>
        </w:tc>
      </w:tr>
      <w:tr>
        <w:trPr>
          <w:trHeight w:val="584"/>
        </w:trPr>
        <w:tc>
          <w:tcPr>
            <w:tcW w:w="930" w:type="dxa"/>
            <w:tcBorders>
              <w:top w:val="nil"/>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color w:val="000000"/>
                <w:sz w:val="20"/>
              </w:rPr>
            </w:pPr>
            <w:r>
              <w:rPr>
                <w:rFonts w:ascii="宋体" w:eastAsia="宋体" w:cs="宋体"/>
                <w:color w:val="000000"/>
                <w:sz w:val="20"/>
              </w:rPr>
              <w:t>12.00</w:t>
            </w:r>
          </w:p>
        </w:tc>
        <w:tc>
          <w:tcPr>
            <w:tcW w:w="114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90"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12.00</w:t>
            </w:r>
          </w:p>
        </w:tc>
        <w:tc>
          <w:tcPr>
            <w:tcW w:w="108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7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12.00</w:t>
            </w:r>
          </w:p>
        </w:tc>
        <w:tc>
          <w:tcPr>
            <w:tcW w:w="94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00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12.00</w:t>
            </w:r>
          </w:p>
        </w:tc>
        <w:tc>
          <w:tcPr>
            <w:tcW w:w="127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7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12.00</w:t>
            </w:r>
          </w:p>
        </w:tc>
        <w:tc>
          <w:tcPr>
            <w:tcW w:w="1275"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c>
          <w:tcPr>
            <w:tcW w:w="1275" w:type="dxa"/>
            <w:tcBorders>
              <w:top w:val="nil"/>
              <w:left w:val="nil"/>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12.00</w:t>
            </w:r>
          </w:p>
        </w:tc>
        <w:tc>
          <w:tcPr>
            <w:tcW w:w="1020" w:type="dxa"/>
            <w:tcBorders>
              <w:top w:val="nil"/>
              <w:left w:val="nil"/>
              <w:bottom w:val="single" w:sz="6" w:space="0" w:color="000000"/>
              <w:right w:val="single" w:sz="6" w:space="0" w:color="000000"/>
              <w:tl2br w:val="nil"/>
              <w:tr2bl w:val="nil"/>
            </w:tcBorders>
            <w:noWrap/>
            <w:vAlign w:val="center"/>
          </w:tcPr>
          <w:p>
            <w:pPr>
              <w:jc w:val="right"/>
              <w:rPr>
                <w:rFonts w:ascii="宋体" w:eastAsia="宋体"/>
                <w:sz w:val="20"/>
              </w:rPr>
            </w:pPr>
          </w:p>
        </w:tc>
      </w:tr>
    </w:tbl>
    <w:p>
      <w:pPr>
        <w:rPr>
          <w:rFonts w:hint="eastAsia"/>
        </w:rPr>
        <w:sectPr>
          <w:pgSz w:w="16840" w:h="11907" w:orient="landscape"/>
          <w:pgMar w:top="1701" w:right="1440" w:bottom="1701" w:left="1440" w:header="851" w:footer="992" w:gutter="0"/>
          <w:pgNumType/>
          <w:docGrid w:linePitch="312" w:charSpace="0"/>
        </w:sectPr>
      </w:pPr>
    </w:p>
    <w:p>
      <w:pPr>
        <w:pStyle w:val="35"/>
        <w:rPr>
          <w:rFonts w:hint="eastAsia"/>
        </w:rPr>
      </w:pPr>
    </w:p>
    <w:p>
      <w:pPr>
        <w:pStyle w:val="1"/>
        <w:spacing w:line="1200" w:lineRule="exact"/>
        <w:ind w:firstLineChars="600" w:firstLine="1920"/>
        <w:rPr>
          <w:rFonts w:eastAsia="方正黑体_GBK" w:hint="eastAsia"/>
          <w:b w:val="0"/>
          <w:bCs w:val="0"/>
          <w:kern w:val="2"/>
          <w:sz w:val="32"/>
          <w:szCs w:val="32"/>
        </w:rPr>
      </w:pPr>
    </w:p>
    <w:p>
      <w:pPr>
        <w:pStyle w:val="1"/>
        <w:spacing w:line="1200" w:lineRule="exact"/>
        <w:ind w:firstLineChars="600" w:firstLine="1920"/>
        <w:rPr>
          <w:rFonts w:eastAsia="方正黑体_GBK"/>
          <w:b w:val="0"/>
          <w:bCs w:val="0"/>
          <w:kern w:val="2"/>
          <w:sz w:val="32"/>
          <w:szCs w:val="32"/>
        </w:rPr>
      </w:pPr>
      <w:r>
        <w:rPr>
          <w:rFonts w:eastAsia="方正黑体_GBK"/>
          <w:b w:val="0"/>
          <w:bCs w:val="0"/>
          <w:kern w:val="2"/>
          <w:sz w:val="32"/>
          <w:szCs w:val="32"/>
        </w:rPr>
        <w:t xml:space="preserve">    </w:t>
      </w:r>
    </w:p>
    <w:p/>
    <w:p>
      <w:pPr>
        <w:pStyle w:val="36"/>
        <w:spacing w:before="277" w:line="1200" w:lineRule="exact"/>
        <w:ind w:left="51"/>
        <w:jc w:val="center"/>
        <w:rPr>
          <w:rFonts w:eastAsia="黑体" w:cs="Times New Roman"/>
          <w:sz w:val="72"/>
          <w:szCs w:val="72"/>
          <w:lang w:bidi="ar-SA"/>
        </w:rPr>
      </w:pPr>
      <w:r>
        <w:rPr>
          <w:rFonts w:eastAsia="黑体" w:cs="Times New Roman"/>
          <w:sz w:val="72"/>
          <w:szCs w:val="72"/>
          <w:lang w:bidi="ar-SA"/>
        </w:rPr>
        <w:t>第三部分</w:t>
      </w:r>
    </w:p>
    <w:p>
      <w:pPr>
        <w:pStyle w:val="36"/>
        <w:spacing w:before="277" w:line="1200" w:lineRule="exact"/>
        <w:ind w:left="51"/>
        <w:jc w:val="center"/>
        <w:rPr>
          <w:rFonts w:eastAsia="黑体" w:cs="Times New Roman"/>
          <w:sz w:val="72"/>
          <w:szCs w:val="72"/>
          <w:lang w:bidi="ar-SA"/>
        </w:rPr>
      </w:pPr>
      <w:r>
        <w:rPr>
          <w:rFonts w:eastAsia="黑体" w:cs="Times New Roman"/>
          <w:sz w:val="72"/>
          <w:szCs w:val="72"/>
          <w:lang w:bidi="ar-SA"/>
        </w:rPr>
        <w:t>2025年度部门决算情况</w:t>
      </w:r>
    </w:p>
    <w:p>
      <w:pPr>
        <w:pStyle w:val="36"/>
        <w:spacing w:before="277" w:line="1200" w:lineRule="exact"/>
        <w:ind w:left="51"/>
        <w:jc w:val="center"/>
        <w:rPr>
          <w:rFonts w:eastAsia="黑体" w:cs="Times New Roman"/>
          <w:sz w:val="72"/>
          <w:szCs w:val="72"/>
          <w:lang w:bidi="ar-SA"/>
        </w:rPr>
      </w:pPr>
      <w:r>
        <w:rPr>
          <w:rFonts w:eastAsia="黑体" w:cs="Times New Roman"/>
          <w:sz w:val="72"/>
          <w:szCs w:val="72"/>
          <w:lang w:bidi="ar-SA"/>
        </w:rPr>
        <w:t>说明</w:t>
      </w:r>
    </w:p>
    <w:p>
      <w:pPr>
        <w:pStyle w:val="37"/>
        <w:autoSpaceDN w:val="0"/>
        <w:spacing w:line="700" w:lineRule="exact"/>
        <w:ind w:firstLineChars="200" w:firstLine="1680"/>
        <w:rPr>
          <w:rFonts w:eastAsia="方正楷体_GBK"/>
          <w:b/>
          <w:bCs/>
          <w:sz w:val="84"/>
          <w:szCs w:val="84"/>
        </w:rPr>
      </w:pPr>
    </w:p>
    <w:p>
      <w:pPr>
        <w:pStyle w:val="38"/>
        <w:autoSpaceDN w:val="0"/>
        <w:spacing w:line="560" w:lineRule="exact"/>
        <w:ind w:firstLineChars="200" w:firstLine="640"/>
        <w:rPr>
          <w:rFonts w:ascii="方正楷体_GBK" w:eastAsia="方正楷体_GBK" w:hint="eastAsia"/>
          <w:b/>
          <w:bCs/>
          <w:sz w:val="32"/>
          <w:szCs w:val="32"/>
        </w:rPr>
      </w:pPr>
    </w:p>
    <w:p>
      <w:pPr>
        <w:pStyle w:val="38"/>
        <w:autoSpaceDN w:val="0"/>
        <w:spacing w:line="560" w:lineRule="exact"/>
        <w:ind w:firstLineChars="200" w:firstLine="640"/>
        <w:rPr>
          <w:rFonts w:ascii="方正楷体_GBK" w:eastAsia="方正楷体_GBK" w:hint="eastAsia"/>
          <w:b/>
          <w:bCs/>
          <w:sz w:val="32"/>
          <w:szCs w:val="32"/>
        </w:rPr>
      </w:pPr>
    </w:p>
    <w:p>
      <w:pPr>
        <w:pStyle w:val="38"/>
        <w:autoSpaceDN w:val="0"/>
        <w:spacing w:line="560" w:lineRule="exact"/>
        <w:ind w:firstLineChars="200" w:firstLine="640"/>
        <w:rPr>
          <w:rFonts w:ascii="方正楷体_GBK" w:eastAsia="方正楷体_GBK" w:hint="eastAsia"/>
          <w:b/>
          <w:bCs/>
          <w:sz w:val="32"/>
          <w:szCs w:val="32"/>
        </w:rPr>
      </w:pPr>
    </w:p>
    <w:p>
      <w:pPr>
        <w:pStyle w:val="38"/>
        <w:autoSpaceDN w:val="0"/>
        <w:spacing w:line="560" w:lineRule="exact"/>
        <w:ind w:firstLineChars="200" w:firstLine="640"/>
        <w:rPr>
          <w:rFonts w:ascii="方正楷体_GBK" w:eastAsia="方正楷体_GBK" w:hint="eastAsia"/>
          <w:b/>
          <w:bCs/>
          <w:sz w:val="32"/>
          <w:szCs w:val="32"/>
        </w:rPr>
      </w:pPr>
    </w:p>
    <w:p>
      <w:pPr>
        <w:pStyle w:val="38"/>
        <w:autoSpaceDN w:val="0"/>
        <w:spacing w:line="560" w:lineRule="exact"/>
        <w:ind w:firstLineChars="200" w:firstLine="640"/>
        <w:rPr>
          <w:rFonts w:ascii="方正楷体_GBK" w:eastAsia="方正楷体_GBK" w:hint="eastAsia"/>
          <w:b/>
          <w:bCs/>
          <w:sz w:val="32"/>
          <w:szCs w:val="32"/>
        </w:rPr>
      </w:pPr>
    </w:p>
    <w:p>
      <w:pPr>
        <w:pStyle w:val="38"/>
        <w:autoSpaceDN w:val="0"/>
        <w:spacing w:line="560" w:lineRule="exact"/>
        <w:ind w:firstLineChars="200" w:firstLine="640"/>
        <w:rPr>
          <w:rFonts w:ascii="方正楷体_GBK" w:eastAsia="方正楷体_GBK" w:hint="eastAsia"/>
          <w:b/>
          <w:bCs/>
          <w:sz w:val="32"/>
          <w:szCs w:val="32"/>
        </w:rPr>
      </w:pPr>
    </w:p>
    <w:p>
      <w:pPr>
        <w:pStyle w:val="38"/>
        <w:autoSpaceDN w:val="0"/>
        <w:spacing w:line="560" w:lineRule="exact"/>
        <w:rPr>
          <w:rFonts w:ascii="方正楷体_GBK" w:eastAsia="方正楷体_GBK" w:hint="eastAsia"/>
          <w:b/>
          <w:bCs/>
          <w:sz w:val="32"/>
          <w:szCs w:val="32"/>
        </w:rPr>
      </w:pPr>
    </w:p>
    <w:p>
      <w:pPr>
        <w:pStyle w:val="38"/>
        <w:autoSpaceDN w:val="0"/>
        <w:spacing w:line="560" w:lineRule="exact"/>
        <w:rPr>
          <w:rFonts w:ascii="方正楷体_GBK" w:eastAsia="方正楷体_GBK" w:hint="eastAsia"/>
          <w:b/>
          <w:bCs/>
          <w:sz w:val="32"/>
          <w:szCs w:val="32"/>
        </w:rPr>
      </w:pPr>
    </w:p>
    <w:p>
      <w:pPr>
        <w:pStyle w:val="39"/>
        <w:spacing w:line="560" w:lineRule="exact"/>
        <w:ind w:firstLineChars="200" w:firstLine="640"/>
        <w:rPr>
          <w:rFonts w:ascii="方正黑体_GBK" w:eastAsia="方正黑体_GBK" w:cs="方正黑体_GBK" w:hint="eastAsia"/>
          <w:color w:val="000000"/>
          <w:sz w:val="32"/>
          <w:szCs w:val="32"/>
          <w:lang w:bidi="ar-SA"/>
        </w:rPr>
      </w:pPr>
      <w:bookmarkStart w:id="12" w:name="_Toc73694385"/>
      <w:r>
        <w:rPr>
          <w:rFonts w:ascii="方正黑体_GBK" w:eastAsia="方正黑体_GBK" w:cs="方正黑体_GBK" w:hint="eastAsia"/>
          <w:color w:val="000000"/>
          <w:sz w:val="32"/>
          <w:szCs w:val="32"/>
          <w:lang w:bidi="ar-SA"/>
        </w:rPr>
        <w:t>一、收入支出决算总体情况说明</w:t>
      </w:r>
    </w:p>
    <w:p>
      <w:pPr>
        <w:pStyle w:val="39"/>
        <w:spacing w:line="560" w:lineRule="exact"/>
        <w:ind w:firstLineChars="200" w:firstLine="640"/>
        <w:jc w:val="both"/>
        <w:rPr>
          <w:rFonts w:ascii="Times New Roman" w:eastAsia="方正仿宋_GBK" w:cs="Times New Roman" w:hAnsi="Times New Roman"/>
          <w:color w:val="000000"/>
          <w:sz w:val="32"/>
          <w:szCs w:val="32"/>
          <w:lang w:bidi="ar-SA"/>
        </w:rPr>
      </w:pPr>
      <w:r>
        <w:rPr>
          <w:rFonts w:ascii="Times New Roman" w:eastAsia="方正仿宋_GBK" w:cs="Times New Roman" w:hAnsi="Times New Roman"/>
          <w:color w:val="000000"/>
          <w:sz w:val="32"/>
          <w:szCs w:val="32"/>
          <w:lang w:bidi="ar-SA"/>
        </w:rPr>
        <w:t>2025年度收、支总计2891.66万元。与2024年度相比，收、支总计各增加575.89万元，</w:t>
      </w:r>
      <w:r>
        <w:rPr>
          <w:rFonts w:ascii="Times New Roman" w:eastAsia="方正仿宋_GBK" w:cs="Times New Roman" w:hAnsi="Times New Roman" w:hint="eastAsia"/>
          <w:color w:val="000000"/>
          <w:sz w:val="32"/>
          <w:szCs w:val="32"/>
          <w:lang w:bidi="ar-SA"/>
        </w:rPr>
        <w:t>增长</w:t>
      </w:r>
      <w:r>
        <w:rPr>
          <w:rFonts w:ascii="Times New Roman" w:eastAsia="方正仿宋_GBK" w:cs="Times New Roman" w:hAnsi="Times New Roman"/>
          <w:color w:val="000000"/>
          <w:sz w:val="32"/>
          <w:szCs w:val="32"/>
          <w:lang w:bidi="ar-SA"/>
        </w:rPr>
        <w:t>24.87%。主要原因：</w:t>
      </w:r>
      <w:r>
        <w:rPr>
          <w:rFonts w:ascii="Times New Roman" w:eastAsia="方正仿宋_GBK" w:cs="Times New Roman" w:hAnsi="Times New Roman" w:hint="eastAsia"/>
          <w:color w:val="000000"/>
          <w:sz w:val="32"/>
          <w:szCs w:val="32"/>
          <w:lang w:bidi="ar-SA"/>
        </w:rPr>
        <w:t>事业收入</w:t>
      </w:r>
      <w:r>
        <w:rPr>
          <w:rFonts w:ascii="Times New Roman" w:eastAsia="方正仿宋_GBK" w:cs="Times New Roman" w:hAnsi="Times New Roman"/>
          <w:color w:val="000000"/>
          <w:sz w:val="32"/>
          <w:szCs w:val="32"/>
          <w:lang w:bidi="ar-SA"/>
        </w:rPr>
        <w:t>增多。</w:t>
      </w:r>
      <w:bookmarkEnd w:id="12"/>
    </w:p>
    <w:p>
      <w:pPr>
        <w:pStyle w:val="38"/>
        <w:tabs>
          <w:tab w:val="left" w:pos="2100"/>
        </w:tabs>
        <w:autoSpaceDN w:val="0"/>
        <w:snapToGrid w:val="0"/>
        <w:spacing w:line="560" w:lineRule="exact"/>
        <w:jc w:val="center"/>
        <w:rPr>
          <w:rFonts w:ascii="方正楷体_GBK" w:eastAsia="方正楷体_GBK" w:hint="eastAsia"/>
          <w:b/>
          <w:bCs/>
          <w:sz w:val="32"/>
          <w:szCs w:val="32"/>
        </w:rPr>
      </w:pPr>
      <w:r>
        <w:rPr>
          <w:rFonts w:ascii="方正楷体_GBK" w:eastAsia="方正楷体_GBK" w:hint="eastAsia"/>
          <w:b/>
          <w:bCs/>
          <w:sz w:val="32"/>
          <w:szCs w:val="32"/>
        </w:rPr>
        <w:t>图1：收、支决算总计变动情况</w:t>
      </w:r>
    </w:p>
    <w:p>
      <w:pPr>
        <w:pStyle w:val="38"/>
        <w:tabs>
          <w:tab w:val="left" w:pos="2100"/>
        </w:tabs>
        <w:autoSpaceDN w:val="0"/>
        <w:snapToGrid w:val="0"/>
        <w:spacing w:line="560" w:lineRule="exact"/>
        <w:jc w:val="center"/>
        <w:rPr>
          <w:rFonts w:ascii="方正楷体_GBK" w:eastAsia="方正楷体_GBK"/>
          <w:b/>
          <w:bCs/>
          <w:sz w:val="32"/>
          <w:szCs w:val="32"/>
        </w:rPr>
      </w:pPr>
      <w:r>
        <w:rPr>
          <w:rFonts w:ascii="方正楷体_GBK" w:eastAsia="方正楷体_GBK" w:hint="eastAsia"/>
          <w:b/>
          <w:bCs/>
          <w:sz w:val="32"/>
          <w:szCs w:val="32"/>
        </w:rPr>
        <w:t>（单位：万元）</w:t>
      </w:r>
    </w:p>
    <w:p>
      <w:pPr>
        <w:pStyle w:val="51"/>
        <w:kinsoku/>
        <w:wordWrap/>
        <w:overflowPunct/>
        <w:topLinePunct w:val="0"/>
        <w:autoSpaceDE w:val="0"/>
        <w:autoSpaceDN w:val="0"/>
        <w:jc w:val="center"/>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367.65137pt;height:188.73703pt;" o:ole="">
            <v:stroke color="#000000"/>
            <v:imagedata r:id="rId5" o:title="2858332281786672730028"/>
            <o:lock aspectratio="t"/>
          </v:shape>
          <o:OLEObject Type="Embed" ProgID="Package" ShapeID="_x0000_i1" DrawAspect="Icon" ObjectID="_1393063351" r:id="rId6"/>
        </w:object>
      </w:r>
    </w:p>
    <w:p>
      <w:pPr>
        <w:pStyle w:val="38"/>
        <w:tabs>
          <w:tab w:val="left" w:pos="2100"/>
        </w:tabs>
        <w:autoSpaceDN w:val="0"/>
        <w:snapToGrid w:val="0"/>
        <w:spacing w:line="560" w:lineRule="exact"/>
        <w:rPr>
          <w:rFonts w:ascii="方正楷体_GBK" w:eastAsia="方正楷体_GBK" w:hint="eastAsia"/>
          <w:b/>
          <w:bCs/>
          <w:sz w:val="32"/>
          <w:szCs w:val="32"/>
        </w:rPr>
      </w:pPr>
    </w:p>
    <w:p>
      <w:pPr>
        <w:pStyle w:val="2"/>
        <w:tabs>
          <w:tab w:val="left" w:pos="2100"/>
        </w:tabs>
        <w:snapToGrid w:val="0"/>
        <w:spacing w:before="0" w:after="0" w:line="560" w:lineRule="exact"/>
        <w:ind w:firstLineChars="200" w:firstLine="640"/>
        <w:rPr>
          <w:rFonts w:ascii="方正黑体_GBK" w:eastAsia="方正黑体_GBK" w:hint="eastAsia"/>
          <w:b w:val="0"/>
          <w:bCs w:val="0"/>
        </w:rPr>
      </w:pPr>
      <w:bookmarkStart w:id="13" w:name="_Toc73694386"/>
      <w:r>
        <w:rPr>
          <w:rFonts w:ascii="方正黑体_GBK" w:eastAsia="方正黑体_GBK" w:hint="eastAsia"/>
          <w:b w:val="0"/>
          <w:bCs w:val="0"/>
        </w:rPr>
        <w:t xml:space="preserve">二、收入决算情况说明 </w:t>
      </w:r>
      <w:bookmarkEnd w:id="13"/>
    </w:p>
    <w:p>
      <w:pPr>
        <w:pStyle w:val="40"/>
        <w:spacing w:line="560" w:lineRule="exact"/>
        <w:ind w:firstLineChars="200" w:firstLine="640"/>
        <w:jc w:val="both"/>
        <w:rPr>
          <w:rFonts w:ascii="Times New Roman" w:eastAsia="方正仿宋_GBK" w:cs="Times New Roman" w:hAnsi="Times New Roman"/>
          <w:color w:val="000000"/>
          <w:sz w:val="32"/>
          <w:lang w:bidi="ar-SA"/>
        </w:rPr>
      </w:pPr>
      <w:r>
        <w:rPr>
          <w:rFonts w:ascii="Times New Roman" w:eastAsia="方正仿宋_GBK" w:cs="Times New Roman" w:hAnsi="Times New Roman"/>
          <w:color w:val="000000"/>
          <w:sz w:val="32"/>
          <w:lang w:bidi="ar-SA"/>
        </w:rPr>
        <w:t>2025年度收入合计2847.52万元。其中：财政拨款收入1254.18万元，占44.05%；事业收入1567.12万元，占55.03%</w:t>
      </w:r>
      <w:r>
        <w:rPr>
          <w:rFonts w:ascii="Times New Roman" w:eastAsia="方正仿宋_GBK" w:cs="Times New Roman" w:hAnsi="Times New Roman" w:hint="eastAsia"/>
          <w:color w:val="000000"/>
          <w:sz w:val="32"/>
          <w:lang w:bidi="ar-SA"/>
        </w:rPr>
        <w:t>；</w:t>
      </w:r>
      <w:r>
        <w:rPr>
          <w:rFonts w:ascii="Times New Roman" w:eastAsia="方正仿宋_GBK" w:cs="Times New Roman" w:hAnsi="Times New Roman"/>
          <w:color w:val="000000"/>
          <w:sz w:val="32"/>
          <w:lang w:bidi="ar-SA"/>
        </w:rPr>
        <w:t>其他收入26.22万元，占0.92%。</w:t>
      </w:r>
    </w:p>
    <w:p>
      <w:pPr>
        <w:pStyle w:val="41"/>
        <w:tabs>
          <w:tab w:val="left" w:pos="2100"/>
        </w:tabs>
        <w:autoSpaceDN w:val="0"/>
        <w:snapToGrid w:val="0"/>
        <w:spacing w:line="560" w:lineRule="exact"/>
        <w:jc w:val="center"/>
        <w:rPr>
          <w:rFonts w:ascii="方正楷体_GBK" w:eastAsia="方正楷体_GBK"/>
          <w:b/>
          <w:bCs/>
          <w:sz w:val="32"/>
          <w:szCs w:val="32"/>
        </w:rPr>
      </w:pPr>
      <w:r>
        <w:rPr>
          <w:rFonts w:ascii="方正楷体_GBK" w:eastAsia="方正楷体_GBK" w:hint="eastAsia"/>
          <w:b/>
          <w:bCs/>
          <w:sz w:val="32"/>
          <w:szCs w:val="32"/>
        </w:rPr>
        <w:t>图2：收入决算</w:t>
      </w:r>
    </w:p>
    <w:p>
      <w:pPr>
        <w:jc w:val="center"/>
      </w:pPr>
      <w:r>
        <w:object>
          <v:shape id="_x0000_i2" type="#_x0000_t75" filled="f" stroked="f" style="width:320.4014pt;height:164.35756pt;" o:ole="">
            <v:stroke color="#000000"/>
            <v:imagedata r:id="rId7" o:title="7980292011786672730049"/>
            <o:lock aspectratio="t"/>
          </v:shape>
          <o:OLEObject Type="Embed" ProgID="Package" ShapeID="_x0000_i2" DrawAspect="Icon" ObjectID="_1393063352" r:id="rId8"/>
        </w:object>
      </w:r>
    </w:p>
    <w:p>
      <w:pPr>
        <w:ind w:left="0"/>
        <w:rPr>
          <w:rFonts w:ascii="方正黑体_GBK" w:eastAsia="方正黑体_GBK" w:hint="eastAsia"/>
          <w:sz w:val="32"/>
          <w:szCs w:val="32"/>
        </w:rPr>
      </w:pPr>
      <w:r>
        <w:object>
          <v:shape id="_x0000_i3" type="#_x0000_t75" filled="f" stroked="f" style="position:absolute;margin-left:21.449667pt;margin-top:132.7555pt;width:259.58188pt;height:163.64458pt;z-index:16;mso-position-horizontal:absolute;mso-position-vertical:absolute;mso-wrap-distance-left:6.7498426pt;mso-wrap-distance-right:6.7498426pt;" o:ole="">
            <v:stroke color="#000000"/>
            <v:imagedata r:id="rId9" o:title="6269958551786672730052"/>
            <o:lock aspectratio="t"/>
            <w10:wrap type="square"/>
          </v:shape>
          <o:OLEObject Type="Embed" ProgID="Package" ShapeID="_x0000_i3" DrawAspect="Content" ObjectID="_1393063353" r:id="rId10"/>
        </w:object>
      </w:r>
      <w:r>
        <w:rPr>
          <w:rFonts w:ascii="方正黑体_GBK" w:eastAsia="方正黑体_GBK" w:hint="eastAsia"/>
          <w:sz w:val="32"/>
          <w:szCs w:val="32"/>
        </w:rPr>
        <w:t>三、支出决算情况说明</w:t>
      </w:r>
    </w:p>
    <w:p>
      <w:pPr>
        <w:pStyle w:val="42"/>
        <w:spacing w:line="560" w:lineRule="exact"/>
        <w:ind w:firstLineChars="200" w:firstLine="640"/>
        <w:jc w:val="both"/>
        <w:rPr>
          <w:rFonts w:ascii="Times New Roman" w:eastAsia="方正仿宋_GBK" w:cs="Times New Roman" w:hAnsi="Times New Roman"/>
          <w:color w:val="000000"/>
          <w:sz w:val="32"/>
          <w:lang w:bidi="ar-SA"/>
        </w:rPr>
      </w:pPr>
      <w:r>
        <w:rPr>
          <w:rFonts w:ascii="Times New Roman" w:eastAsia="方正仿宋_GBK" w:cs="Times New Roman" w:hAnsi="Times New Roman"/>
          <w:color w:val="000000"/>
          <w:sz w:val="32"/>
          <w:lang w:bidi="ar-SA"/>
        </w:rPr>
        <w:t>2025年度支出合计2277.38元，其中：基本支出1754.73万元，占77.05%；项目支出522.65万元，占22.95%。</w:t>
      </w:r>
    </w:p>
    <w:p>
      <w:pPr>
        <w:pStyle w:val="38"/>
        <w:tabs>
          <w:tab w:val="left" w:pos="2100"/>
        </w:tabs>
        <w:autoSpaceDN w:val="0"/>
        <w:snapToGrid w:val="0"/>
        <w:spacing w:line="560" w:lineRule="exact"/>
        <w:jc w:val="center"/>
        <w:rPr>
          <w:rFonts w:ascii="方正楷体_GBK" w:eastAsia="方正楷体_GBK" w:hint="eastAsia"/>
          <w:b/>
          <w:bCs/>
          <w:sz w:val="32"/>
          <w:szCs w:val="32"/>
        </w:rPr>
      </w:pPr>
      <w:r>
        <w:rPr>
          <w:rFonts w:ascii="方正楷体_GBK" w:eastAsia="方正楷体_GBK" w:hint="eastAsia"/>
          <w:b/>
          <w:bCs/>
          <w:sz w:val="32"/>
          <w:szCs w:val="32"/>
        </w:rPr>
        <w:t>图3：支出决算</w:t>
      </w:r>
    </w:p>
    <w:p>
      <w:pPr>
        <w:pStyle w:val="38"/>
        <w:tabs>
          <w:tab w:val="left" w:pos="2100"/>
        </w:tabs>
        <w:autoSpaceDN w:val="0"/>
        <w:snapToGrid w:val="0"/>
        <w:spacing w:line="560" w:lineRule="exact"/>
        <w:jc w:val="center"/>
      </w:pPr>
    </w:p>
    <w:p>
      <w:pPr>
        <w:pStyle w:val="38"/>
        <w:tabs>
          <w:tab w:val="left" w:pos="2100"/>
        </w:tabs>
        <w:autoSpaceDN w:val="0"/>
        <w:snapToGrid w:val="0"/>
        <w:spacing w:line="560" w:lineRule="exact"/>
        <w:jc w:val="center"/>
        <w:rPr>
          <w:rFonts w:ascii="方正楷体_GBK" w:eastAsia="方正楷体_GBK" w:hint="eastAsia"/>
          <w:b/>
          <w:bCs/>
          <w:sz w:val="32"/>
          <w:szCs w:val="32"/>
        </w:rPr>
      </w:pPr>
    </w:p>
    <w:p>
      <w:pPr>
        <w:pStyle w:val="38"/>
        <w:tabs>
          <w:tab w:val="left" w:pos="2100"/>
        </w:tabs>
        <w:autoSpaceDN w:val="0"/>
        <w:snapToGrid w:val="0"/>
        <w:spacing w:line="560" w:lineRule="exact"/>
        <w:jc w:val="center"/>
        <w:rPr>
          <w:rFonts w:ascii="方正楷体_GBK" w:eastAsia="方正楷体_GBK" w:hint="eastAsia"/>
          <w:b/>
          <w:bCs/>
          <w:sz w:val="32"/>
          <w:szCs w:val="32"/>
        </w:rPr>
      </w:pPr>
    </w:p>
    <w:p>
      <w:pPr>
        <w:pStyle w:val="38"/>
        <w:tabs>
          <w:tab w:val="left" w:pos="2100"/>
        </w:tabs>
        <w:autoSpaceDN w:val="0"/>
        <w:snapToGrid w:val="0"/>
        <w:spacing w:line="560" w:lineRule="exact"/>
        <w:jc w:val="center"/>
        <w:rPr>
          <w:rFonts w:ascii="方正楷体_GBK" w:eastAsia="方正楷体_GBK" w:hint="eastAsia"/>
          <w:b/>
          <w:bCs/>
          <w:sz w:val="32"/>
          <w:szCs w:val="32"/>
        </w:rPr>
      </w:pPr>
    </w:p>
    <w:p>
      <w:pPr>
        <w:pStyle w:val="38"/>
        <w:tabs>
          <w:tab w:val="left" w:pos="2100"/>
        </w:tabs>
        <w:autoSpaceDN w:val="0"/>
        <w:snapToGrid w:val="0"/>
        <w:spacing w:line="560" w:lineRule="exact"/>
        <w:jc w:val="center"/>
        <w:rPr>
          <w:rFonts w:ascii="方正楷体_GBK" w:eastAsia="方正楷体_GBK" w:hint="eastAsia"/>
          <w:b/>
          <w:bCs/>
          <w:sz w:val="32"/>
          <w:szCs w:val="32"/>
        </w:rPr>
      </w:pPr>
    </w:p>
    <w:p>
      <w:pPr>
        <w:pStyle w:val="2"/>
        <w:tabs>
          <w:tab w:val="left" w:pos="2100"/>
        </w:tabs>
        <w:snapToGrid w:val="0"/>
        <w:spacing w:before="0" w:after="0" w:line="560" w:lineRule="exact"/>
        <w:ind w:firstLineChars="200" w:firstLine="640"/>
        <w:rPr>
          <w:rFonts w:ascii="方正黑体_GBK" w:eastAsia="方正黑体_GBK" w:hint="eastAsia"/>
          <w:b w:val="0"/>
          <w:bCs w:val="0"/>
        </w:rPr>
      </w:pPr>
      <w:bookmarkStart w:id="14" w:name="_Toc73694388"/>
    </w:p>
    <w:p>
      <w:pPr>
        <w:pStyle w:val="2"/>
        <w:tabs>
          <w:tab w:val="left" w:pos="2100"/>
        </w:tabs>
        <w:snapToGrid w:val="0"/>
        <w:spacing w:before="0" w:after="0" w:line="560" w:lineRule="exact"/>
        <w:ind w:firstLineChars="200" w:firstLine="640"/>
        <w:rPr>
          <w:rFonts w:ascii="方正黑体_GBK" w:eastAsia="方正黑体_GBK" w:hint="eastAsia"/>
          <w:b w:val="0"/>
          <w:bCs w:val="0"/>
        </w:rPr>
      </w:pPr>
    </w:p>
    <w:p>
      <w:pPr>
        <w:pStyle w:val="2"/>
        <w:tabs>
          <w:tab w:val="left" w:pos="2100"/>
        </w:tabs>
        <w:snapToGrid w:val="0"/>
        <w:spacing w:before="0" w:after="0" w:line="560" w:lineRule="exact"/>
        <w:ind w:firstLineChars="200" w:firstLine="640"/>
        <w:rPr>
          <w:rFonts w:ascii="方正黑体_GBK" w:eastAsia="方正黑体_GBK" w:hint="eastAsia"/>
          <w:b w:val="0"/>
          <w:bCs w:val="0"/>
        </w:rPr>
      </w:pPr>
    </w:p>
    <w:p>
      <w:pPr>
        <w:pStyle w:val="2"/>
        <w:tabs>
          <w:tab w:val="left" w:pos="2100"/>
        </w:tabs>
        <w:snapToGrid w:val="0"/>
        <w:spacing w:before="0" w:after="0" w:line="560" w:lineRule="exact"/>
        <w:ind w:firstLineChars="200" w:firstLine="640"/>
        <w:rPr>
          <w:rFonts w:ascii="方正黑体_GBK" w:eastAsia="方正黑体_GBK" w:hint="eastAsia"/>
          <w:b w:val="0"/>
          <w:bCs w:val="0"/>
        </w:rPr>
      </w:pPr>
    </w:p>
    <w:p>
      <w:pPr>
        <w:pStyle w:val="2"/>
        <w:tabs>
          <w:tab w:val="left" w:pos="2100"/>
        </w:tabs>
        <w:snapToGrid w:val="0"/>
        <w:spacing w:before="0" w:after="0" w:line="560" w:lineRule="exact"/>
        <w:ind w:firstLineChars="200" w:firstLine="640"/>
        <w:rPr>
          <w:rFonts w:ascii="方正黑体_GBK" w:eastAsia="方正黑体_GBK" w:hint="eastAsia"/>
          <w:b w:val="0"/>
          <w:bCs w:val="0"/>
        </w:rPr>
      </w:pPr>
      <w:r>
        <w:rPr>
          <w:rFonts w:ascii="方正黑体_GBK" w:eastAsia="方正黑体_GBK" w:hint="eastAsia"/>
          <w:b w:val="0"/>
          <w:bCs w:val="0"/>
        </w:rPr>
        <w:t>四、财政拨款收入支出决算总体情况说明</w:t>
      </w:r>
      <w:bookmarkEnd w:id="14"/>
    </w:p>
    <w:p>
      <w:pPr>
        <w:pStyle w:val="43"/>
        <w:spacing w:line="560" w:lineRule="exact"/>
        <w:ind w:firstLineChars="200" w:firstLine="640"/>
        <w:jc w:val="both"/>
        <w:rPr>
          <w:rFonts w:ascii="Times New Roman" w:eastAsia="方正仿宋_GBK" w:cs="Times New Roman" w:hAnsi="Times New Roman"/>
          <w:color w:val="000000"/>
          <w:sz w:val="32"/>
          <w:szCs w:val="32"/>
          <w:lang w:bidi="ar-SA"/>
        </w:rPr>
      </w:pPr>
      <w:r>
        <w:rPr>
          <w:rFonts w:ascii="Times New Roman" w:eastAsia="方正仿宋_GBK" w:cs="Times New Roman" w:hAnsi="Times New Roman"/>
          <w:color w:val="000000"/>
          <w:sz w:val="32"/>
          <w:lang w:val="en-US" w:eastAsia="en-US" w:bidi="ar-SA"/>
        </w:rPr>
        <w:t>2025年度财政拨款收</w:t>
      </w:r>
      <w:r>
        <w:rPr>
          <w:rFonts w:ascii="Times New Roman" w:eastAsia="方正仿宋_GBK" w:cs="Times New Roman" w:hAnsi="Times New Roman" w:hint="eastAsia"/>
          <w:color w:val="000000"/>
          <w:sz w:val="32"/>
          <w:lang w:val="en-US" w:eastAsia="en-US" w:bidi="ar-SA"/>
        </w:rPr>
        <w:t>入</w:t>
      </w:r>
      <w:r>
        <w:rPr>
          <w:rFonts w:ascii="Times New Roman" w:eastAsia="方正仿宋_GBK" w:cs="Times New Roman" w:hAnsi="Times New Roman"/>
          <w:color w:val="000000"/>
          <w:sz w:val="32"/>
          <w:lang w:val="en-US" w:eastAsia="en-US" w:bidi="ar-SA"/>
        </w:rPr>
        <w:t>总计1254.18万元。与2024年度相比，财政拨款收</w:t>
      </w:r>
      <w:r>
        <w:rPr>
          <w:rFonts w:ascii="Times New Roman" w:eastAsia="方正仿宋_GBK" w:cs="Times New Roman" w:hAnsi="Times New Roman" w:hint="eastAsia"/>
          <w:color w:val="000000"/>
          <w:sz w:val="32"/>
          <w:lang w:val="en-US" w:eastAsia="en-US" w:bidi="ar-SA"/>
        </w:rPr>
        <w:t>入</w:t>
      </w:r>
      <w:r>
        <w:rPr>
          <w:rFonts w:ascii="Times New Roman" w:eastAsia="方正仿宋_GBK" w:cs="Times New Roman" w:hAnsi="Times New Roman"/>
          <w:color w:val="000000"/>
          <w:sz w:val="32"/>
          <w:lang w:val="en-US" w:eastAsia="en-US" w:bidi="ar-SA"/>
        </w:rPr>
        <w:t>总计增加524.00万元，增长71.76%，</w:t>
      </w:r>
      <w:r>
        <w:rPr>
          <w:rFonts w:ascii="Times New Roman" w:eastAsia="方正仿宋_GBK" w:cs="Times New Roman" w:hAnsi="Times New Roman"/>
          <w:color w:val="000000"/>
          <w:sz w:val="32"/>
          <w:szCs w:val="32"/>
          <w:lang w:bidi="ar-SA"/>
        </w:rPr>
        <w:t>主要原因：</w:t>
      </w:r>
      <w:r>
        <w:rPr>
          <w:rFonts w:ascii="Times New Roman" w:eastAsia="方正仿宋_GBK" w:cs="Times New Roman" w:hAnsi="Times New Roman" w:hint="eastAsia"/>
          <w:color w:val="000000"/>
          <w:sz w:val="32"/>
          <w:szCs w:val="32"/>
          <w:lang w:bidi="ar-SA"/>
        </w:rPr>
        <w:t>202</w:t>
      </w:r>
      <w:r>
        <w:rPr>
          <w:rFonts w:ascii="Times New Roman" w:eastAsia="方正仿宋_GBK" w:cs="Times New Roman" w:hAnsi="Times New Roman"/>
          <w:color w:val="000000"/>
          <w:sz w:val="32"/>
          <w:szCs w:val="32"/>
          <w:lang w:bidi="ar-SA"/>
        </w:rPr>
        <w:t>5年</w:t>
      </w:r>
      <w:r>
        <w:rPr>
          <w:rFonts w:ascii="Times New Roman" w:eastAsia="方正仿宋_GBK" w:cs="Times New Roman" w:hAnsi="Times New Roman" w:hint="eastAsia"/>
          <w:color w:val="000000"/>
          <w:sz w:val="32"/>
          <w:szCs w:val="32"/>
          <w:lang w:bidi="ar-SA"/>
        </w:rPr>
        <w:t>“两新”</w:t>
      </w:r>
      <w:r>
        <w:rPr>
          <w:rFonts w:ascii="Times New Roman" w:eastAsia="方正仿宋_GBK" w:cs="Times New Roman" w:hAnsi="Times New Roman"/>
          <w:color w:val="000000"/>
          <w:sz w:val="32"/>
          <w:szCs w:val="32"/>
          <w:lang w:bidi="ar-SA"/>
        </w:rPr>
        <w:t>项目财政拨款640.00万元，2024年264.00万元。</w:t>
      </w:r>
    </w:p>
    <w:p>
      <w:pPr>
        <w:ind w:firstLineChars="200" w:firstLine="640"/>
      </w:pPr>
      <w:r>
        <w:rPr>
          <w:rFonts w:eastAsia="方正仿宋_GBK"/>
          <w:color w:val="000000"/>
          <w:kern w:val="0"/>
          <w:sz w:val="32"/>
          <w:szCs w:val="22"/>
          <w:lang w:eastAsia="en-US"/>
        </w:rPr>
        <w:t>2025年度财政拨款支出总计700.78万元。</w:t>
      </w:r>
      <w:r>
        <w:rPr>
          <w:rFonts w:ascii="Times New Roman" w:eastAsia="方正仿宋_GBK" w:cs="Times New Roman" w:hAnsi="Times New Roman"/>
          <w:color w:val="000000"/>
          <w:sz w:val="32"/>
          <w:lang w:val="en-US" w:eastAsia="en-US" w:bidi="ar-SA"/>
        </w:rPr>
        <w:t>与2024年度相比，财政拨款收</w:t>
      </w:r>
      <w:r>
        <w:rPr>
          <w:rFonts w:ascii="Times New Roman" w:eastAsia="方正仿宋_GBK" w:cs="Times New Roman" w:hAnsi="Times New Roman" w:hint="eastAsia"/>
          <w:color w:val="000000"/>
          <w:sz w:val="32"/>
          <w:lang w:val="en-US" w:eastAsia="en-US" w:bidi="ar-SA"/>
        </w:rPr>
        <w:t>入</w:t>
      </w:r>
      <w:r>
        <w:rPr>
          <w:rFonts w:ascii="Times New Roman" w:eastAsia="方正仿宋_GBK" w:cs="Times New Roman" w:hAnsi="Times New Roman"/>
          <w:color w:val="000000"/>
          <w:sz w:val="32"/>
          <w:lang w:val="en-US" w:eastAsia="en-US" w:bidi="ar-SA"/>
        </w:rPr>
        <w:t>总计增加11.41万元，增长1.66%，</w:t>
      </w:r>
      <w:r>
        <w:rPr>
          <w:rFonts w:ascii="Times New Roman" w:eastAsia="方正仿宋_GBK" w:cs="Times New Roman" w:hAnsi="Times New Roman"/>
          <w:color w:val="000000"/>
          <w:sz w:val="32"/>
          <w:szCs w:val="32"/>
          <w:lang w:bidi="ar-SA"/>
        </w:rPr>
        <w:t>主要原因：</w:t>
      </w:r>
      <w:r>
        <w:rPr>
          <w:rFonts w:ascii="Times New Roman" w:eastAsia="方正仿宋_GBK" w:cs="Times New Roman" w:hAnsi="Times New Roman" w:hint="eastAsia"/>
          <w:color w:val="000000"/>
          <w:sz w:val="32"/>
          <w:szCs w:val="32"/>
          <w:lang w:bidi="ar-SA"/>
        </w:rPr>
        <w:t>202</w:t>
      </w:r>
      <w:r>
        <w:rPr>
          <w:rFonts w:ascii="Times New Roman" w:eastAsia="方正仿宋_GBK" w:cs="Times New Roman" w:hAnsi="Times New Roman"/>
          <w:color w:val="000000"/>
          <w:sz w:val="32"/>
          <w:szCs w:val="32"/>
          <w:lang w:bidi="ar-SA"/>
        </w:rPr>
        <w:t>5年</w:t>
      </w:r>
      <w:r>
        <w:rPr>
          <w:rFonts w:ascii="Times New Roman" w:eastAsia="方正仿宋_GBK" w:cs="Times New Roman" w:hAnsi="Times New Roman" w:hint="eastAsia"/>
          <w:color w:val="000000"/>
          <w:sz w:val="32"/>
          <w:szCs w:val="32"/>
          <w:lang w:bidi="ar-SA"/>
        </w:rPr>
        <w:t>“两新”</w:t>
      </w:r>
      <w:r>
        <w:rPr>
          <w:rFonts w:ascii="Times New Roman" w:eastAsia="方正仿宋_GBK" w:cs="Times New Roman" w:hAnsi="Times New Roman"/>
          <w:color w:val="000000"/>
          <w:sz w:val="32"/>
          <w:szCs w:val="32"/>
          <w:lang w:bidi="ar-SA"/>
        </w:rPr>
        <w:t>项目财政拨款比2024年多375.00万元。</w:t>
      </w:r>
    </w:p>
    <w:p>
      <w:pPr>
        <w:pStyle w:val="38"/>
        <w:tabs>
          <w:tab w:val="left" w:pos="2100"/>
        </w:tabs>
        <w:autoSpaceDN w:val="0"/>
        <w:snapToGrid w:val="0"/>
        <w:spacing w:line="560" w:lineRule="exact"/>
        <w:jc w:val="center"/>
        <w:rPr>
          <w:rFonts w:ascii="方正楷体_GBK" w:eastAsia="方正楷体_GBK"/>
          <w:b/>
          <w:bCs/>
          <w:sz w:val="32"/>
          <w:szCs w:val="32"/>
        </w:rPr>
      </w:pPr>
    </w:p>
    <w:p>
      <w:pPr>
        <w:pStyle w:val="38"/>
        <w:tabs>
          <w:tab w:val="left" w:pos="2100"/>
        </w:tabs>
        <w:autoSpaceDN w:val="0"/>
        <w:snapToGrid w:val="0"/>
        <w:spacing w:line="560" w:lineRule="exact"/>
        <w:jc w:val="center"/>
        <w:rPr>
          <w:rFonts w:ascii="方正楷体_GBK" w:eastAsia="方正楷体_GBK"/>
          <w:b/>
          <w:bCs/>
          <w:sz w:val="32"/>
          <w:szCs w:val="32"/>
        </w:rPr>
      </w:pPr>
    </w:p>
    <w:p>
      <w:pPr>
        <w:pStyle w:val="38"/>
        <w:tabs>
          <w:tab w:val="left" w:pos="2100"/>
        </w:tabs>
        <w:autoSpaceDN w:val="0"/>
        <w:snapToGrid w:val="0"/>
        <w:spacing w:line="560" w:lineRule="exact"/>
        <w:jc w:val="center"/>
        <w:rPr>
          <w:rFonts w:ascii="方正楷体_GBK" w:eastAsia="方正楷体_GBK"/>
          <w:b/>
          <w:bCs/>
          <w:sz w:val="32"/>
          <w:szCs w:val="32"/>
        </w:rPr>
      </w:pPr>
    </w:p>
    <w:p>
      <w:pPr>
        <w:pStyle w:val="38"/>
        <w:tabs>
          <w:tab w:val="left" w:pos="2100"/>
        </w:tabs>
        <w:autoSpaceDN w:val="0"/>
        <w:snapToGrid w:val="0"/>
        <w:spacing w:line="560" w:lineRule="exact"/>
        <w:jc w:val="center"/>
        <w:rPr>
          <w:rFonts w:ascii="方正楷体_GBK" w:eastAsia="方正楷体_GBK" w:hint="eastAsia"/>
          <w:b/>
          <w:bCs/>
          <w:sz w:val="32"/>
          <w:szCs w:val="32"/>
        </w:rPr>
      </w:pPr>
      <w:r>
        <w:rPr>
          <w:rFonts w:ascii="方正楷体_GBK" w:eastAsia="方正楷体_GBK" w:hint="eastAsia"/>
          <w:b/>
          <w:bCs/>
          <w:sz w:val="32"/>
          <w:szCs w:val="32"/>
        </w:rPr>
        <w:t>图4：财政拨款收、支决算总计变动情况</w:t>
      </w:r>
    </w:p>
    <w:p>
      <w:pPr>
        <w:pStyle w:val="38"/>
        <w:tabs>
          <w:tab w:val="left" w:pos="2100"/>
        </w:tabs>
        <w:autoSpaceDN w:val="0"/>
        <w:snapToGrid w:val="0"/>
        <w:spacing w:line="560" w:lineRule="exact"/>
        <w:jc w:val="center"/>
        <w:rPr>
          <w:rFonts w:ascii="方正楷体_GBK" w:eastAsia="方正楷体_GBK"/>
          <w:b/>
          <w:bCs/>
          <w:sz w:val="32"/>
          <w:szCs w:val="32"/>
        </w:rPr>
      </w:pPr>
      <w:r>
        <w:rPr>
          <w:rFonts w:ascii="方正楷体_GBK" w:eastAsia="方正楷体_GBK" w:hint="eastAsia"/>
          <w:b/>
          <w:bCs/>
          <w:sz w:val="32"/>
          <w:szCs w:val="32"/>
        </w:rPr>
        <w:t>（单位：万元）</w:t>
      </w:r>
    </w:p>
    <w:p>
      <w:pPr>
        <w:pStyle w:val="51"/>
        <w:kinsoku/>
        <w:wordWrap/>
        <w:overflowPunct/>
        <w:topLinePunct w:val="0"/>
        <w:autoSpaceDE w:val="0"/>
        <w:autoSpaceDN w:val="0"/>
      </w:pPr>
      <w:r>
        <w:object>
          <v:shape id="_x0000_i4" type="#_x0000_t75" filled="f" stroked="f" style="width:426.7435pt;height:182.24721pt;" o:ole="">
            <v:stroke color="#000000"/>
            <v:imagedata r:id="rId11" o:title="337341961786672730063"/>
            <o:lock aspectratio="t"/>
          </v:shape>
          <o:OLEObject Type="Embed" ProgID="Package" ShapeID="_x0000_i4" DrawAspect="Icon" ObjectID="_1393063354" r:id="rId12"/>
        </w:object>
      </w:r>
    </w:p>
    <w:p>
      <w:pPr>
        <w:pStyle w:val="51"/>
        <w:kinsoku/>
        <w:wordWrap/>
        <w:overflowPunct/>
        <w:topLinePunct w:val="0"/>
        <w:autoSpaceDE w:val="0"/>
        <w:autoSpaceDN w:val="0"/>
      </w:pPr>
    </w:p>
    <w:p>
      <w:pPr>
        <w:ind w:firstLineChars="200" w:firstLine="640"/>
        <w:rPr>
          <w:rFonts w:ascii="方正黑体_GBK" w:eastAsia="方正黑体_GBK" w:hint="eastAsia"/>
          <w:sz w:val="32"/>
          <w:szCs w:val="32"/>
        </w:rPr>
      </w:pPr>
      <w:bookmarkStart w:id="15" w:name="_Toc73694389"/>
    </w:p>
    <w:p>
      <w:pPr>
        <w:ind w:firstLineChars="200" w:firstLine="640"/>
        <w:rPr>
          <w:rFonts w:hint="eastAsia"/>
        </w:rPr>
      </w:pPr>
      <w:r>
        <w:rPr>
          <w:rFonts w:ascii="方正黑体_GBK" w:eastAsia="方正黑体_GBK" w:hint="eastAsia"/>
          <w:sz w:val="32"/>
          <w:szCs w:val="32"/>
        </w:rPr>
        <w:t>五、一般公共预算财政拨款</w:t>
      </w:r>
      <w:r>
        <w:rPr>
          <w:rFonts w:ascii="方正黑体_GBK" w:eastAsia="方正黑体_GBK"/>
          <w:sz w:val="32"/>
          <w:szCs w:val="32"/>
        </w:rPr>
        <w:t>收入、</w:t>
      </w:r>
      <w:r>
        <w:rPr>
          <w:rFonts w:ascii="方正黑体_GBK" w:eastAsia="方正黑体_GBK" w:hint="eastAsia"/>
          <w:sz w:val="32"/>
          <w:szCs w:val="32"/>
        </w:rPr>
        <w:t>支出决算情况说明</w:t>
      </w:r>
      <w:bookmarkEnd w:id="15"/>
    </w:p>
    <w:p>
      <w:pPr>
        <w:pStyle w:val="45"/>
        <w:spacing w:line="560" w:lineRule="exact"/>
        <w:ind w:firstLineChars="200" w:firstLine="640"/>
        <w:jc w:val="both"/>
        <w:rPr>
          <w:rFonts w:ascii="方正楷体_GBK" w:eastAsia="方正楷体_GBK" w:cs="方正楷体_GBK"/>
          <w:b/>
          <w:bCs/>
          <w:color w:val="000000"/>
          <w:sz w:val="32"/>
          <w:szCs w:val="32"/>
          <w:lang w:val="en-US" w:eastAsia="en-US" w:bidi="ar-SA"/>
        </w:rPr>
      </w:pPr>
      <w:r>
        <w:rPr>
          <w:rFonts w:ascii="方正楷体_GBK" w:eastAsia="方正楷体_GBK" w:cs="方正楷体_GBK" w:hint="eastAsia"/>
          <w:b/>
          <w:bCs/>
          <w:color w:val="000000"/>
          <w:sz w:val="32"/>
          <w:szCs w:val="32"/>
          <w:lang w:val="en-US" w:eastAsia="en-US" w:bidi="ar-SA"/>
        </w:rPr>
        <w:t>（一）</w:t>
      </w:r>
      <w:r>
        <w:rPr>
          <w:rFonts w:ascii="方正楷体_GBK" w:eastAsia="方正楷体_GBK" w:cs="方正楷体_GBK"/>
          <w:b/>
          <w:bCs/>
          <w:color w:val="000000"/>
          <w:sz w:val="32"/>
          <w:szCs w:val="32"/>
          <w:lang w:val="en-US" w:eastAsia="en-US" w:bidi="ar-SA"/>
        </w:rPr>
        <w:t>一般公共预算</w:t>
      </w:r>
      <w:r>
        <w:rPr>
          <w:rFonts w:ascii="方正楷体_GBK" w:eastAsia="方正楷体_GBK" w:cs="方正楷体_GBK" w:hint="eastAsia"/>
          <w:b/>
          <w:bCs/>
          <w:color w:val="000000"/>
          <w:sz w:val="32"/>
          <w:szCs w:val="32"/>
          <w:lang w:val="en-US" w:eastAsia="en-US" w:bidi="ar-SA"/>
        </w:rPr>
        <w:t>财政拨款</w:t>
      </w:r>
      <w:r>
        <w:rPr>
          <w:rFonts w:ascii="方正楷体_GBK" w:eastAsia="方正楷体_GBK" w:cs="方正楷体_GBK"/>
          <w:b/>
          <w:bCs/>
          <w:color w:val="000000"/>
          <w:sz w:val="32"/>
          <w:szCs w:val="32"/>
          <w:lang w:val="en-US" w:eastAsia="en-US" w:bidi="ar-SA"/>
        </w:rPr>
        <w:t>收入</w:t>
      </w:r>
      <w:r>
        <w:rPr>
          <w:rFonts w:ascii="方正楷体_GBK" w:eastAsia="方正楷体_GBK" w:cs="方正楷体_GBK" w:hint="eastAsia"/>
          <w:b/>
          <w:bCs/>
          <w:color w:val="000000"/>
          <w:sz w:val="32"/>
          <w:szCs w:val="32"/>
          <w:lang w:val="en-US" w:eastAsia="en-US" w:bidi="ar-SA"/>
        </w:rPr>
        <w:t>决算总体情况。</w:t>
      </w:r>
    </w:p>
    <w:p>
      <w:pPr>
        <w:pStyle w:val="73"/>
        <w:spacing w:line="560" w:lineRule="exact"/>
        <w:ind w:firstLineChars="200" w:firstLine="640"/>
        <w:jc w:val="both"/>
        <w:rPr>
          <w:rFonts w:ascii="Times New Roman" w:eastAsia="方正仿宋_GBK" w:cs="Times New Roman" w:hAnsi="Times New Roman"/>
          <w:color w:val="000000"/>
          <w:sz w:val="32"/>
          <w:szCs w:val="32"/>
          <w:lang w:bidi="ar-SA"/>
        </w:rPr>
      </w:pPr>
      <w:r>
        <w:rPr>
          <w:rFonts w:ascii="Times New Roman" w:eastAsia="方正仿宋_GBK" w:cs="Times New Roman" w:hAnsi="Times New Roman"/>
          <w:color w:val="000000"/>
          <w:sz w:val="32"/>
          <w:lang w:val="en-US" w:eastAsia="en-US" w:bidi="ar-SA"/>
        </w:rPr>
        <w:t>2025年度一般公共预算财政拨款收入614.18万元，占本年收入合计的48.97%。与2024年度相比，一般公共预算财政拨款收入增加148.00万元，增长31.75%。</w:t>
      </w:r>
    </w:p>
    <w:p>
      <w:pPr>
        <w:jc w:val="both"/>
      </w:pPr>
    </w:p>
    <w:p>
      <w:pPr>
        <w:pStyle w:val="38"/>
        <w:tabs>
          <w:tab w:val="left" w:pos="2100"/>
        </w:tabs>
        <w:autoSpaceDN w:val="0"/>
        <w:snapToGrid w:val="0"/>
        <w:spacing w:line="560" w:lineRule="exact"/>
        <w:ind w:left="640"/>
        <w:rPr>
          <w:rFonts w:ascii="方正楷体_GBK" w:eastAsia="方正楷体_GBK" w:hint="eastAsia"/>
          <w:b/>
          <w:bCs/>
          <w:kern w:val="0"/>
          <w:sz w:val="32"/>
          <w:szCs w:val="32"/>
        </w:rPr>
      </w:pPr>
      <w:r>
        <w:rPr>
          <w:rFonts w:ascii="方正楷体_GBK" w:eastAsia="方正楷体_GBK" w:hint="eastAsia"/>
          <w:b/>
          <w:bCs/>
          <w:kern w:val="0"/>
          <w:sz w:val="32"/>
          <w:szCs w:val="32"/>
        </w:rPr>
        <w:t>（二）</w:t>
      </w:r>
      <w:r>
        <w:rPr>
          <w:rFonts w:ascii="方正楷体_GBK" w:eastAsia="方正楷体_GBK" w:cs="方正楷体_GBK"/>
          <w:b/>
          <w:bCs/>
          <w:color w:val="000000"/>
          <w:sz w:val="32"/>
          <w:szCs w:val="32"/>
          <w:lang w:val="en-US" w:eastAsia="en-US" w:bidi="ar-SA"/>
        </w:rPr>
        <w:t>一般公共预算</w:t>
      </w:r>
      <w:r>
        <w:rPr>
          <w:rFonts w:ascii="方正楷体_GBK" w:eastAsia="方正楷体_GBK" w:hint="eastAsia"/>
          <w:b/>
          <w:bCs/>
          <w:kern w:val="0"/>
          <w:sz w:val="32"/>
          <w:szCs w:val="32"/>
        </w:rPr>
        <w:t>财政拨款</w:t>
      </w:r>
      <w:r>
        <w:rPr>
          <w:rFonts w:ascii="方正楷体_GBK" w:eastAsia="方正楷体_GBK"/>
          <w:b/>
          <w:bCs/>
          <w:kern w:val="0"/>
          <w:sz w:val="32"/>
          <w:szCs w:val="32"/>
        </w:rPr>
        <w:t>收入</w:t>
      </w:r>
      <w:r>
        <w:rPr>
          <w:rFonts w:ascii="方正楷体_GBK" w:eastAsia="方正楷体_GBK" w:hint="eastAsia"/>
          <w:b/>
          <w:bCs/>
          <w:kern w:val="0"/>
          <w:sz w:val="32"/>
          <w:szCs w:val="32"/>
        </w:rPr>
        <w:t>决算结构情况。</w:t>
      </w:r>
    </w:p>
    <w:p>
      <w:pPr>
        <w:pStyle w:val="46"/>
        <w:spacing w:line="560" w:lineRule="exact"/>
        <w:ind w:firstLineChars="200" w:firstLine="640"/>
        <w:jc w:val="both"/>
        <w:rPr>
          <w:rFonts w:ascii="Times New Roman" w:eastAsia="方正仿宋_GBK" w:cs="Times New Roman" w:hAnsi="Times New Roman"/>
          <w:bCs/>
          <w:color w:val="000000"/>
          <w:sz w:val="32"/>
          <w:lang w:val="en-US" w:eastAsia="en-US" w:bidi="ar-SA"/>
        </w:rPr>
      </w:pPr>
      <w:r>
        <w:rPr>
          <w:rFonts w:ascii="Times New Roman" w:eastAsia="方正仿宋_GBK" w:cs="Times New Roman" w:hAnsi="Times New Roman"/>
          <w:bCs/>
          <w:color w:val="000000"/>
          <w:sz w:val="32"/>
          <w:lang w:val="en-US" w:eastAsia="en-US" w:bidi="ar-SA"/>
        </w:rPr>
        <w:t>2025年度</w:t>
      </w:r>
      <w:r>
        <w:rPr>
          <w:rFonts w:ascii="Times New Roman" w:eastAsia="方正仿宋_GBK" w:cs="Times New Roman" w:hAnsi="Times New Roman"/>
          <w:color w:val="000000"/>
          <w:sz w:val="32"/>
          <w:lang w:val="en-US" w:eastAsia="en-US" w:bidi="ar-SA"/>
        </w:rPr>
        <w:t>一般公共预算</w:t>
      </w:r>
      <w:r>
        <w:rPr>
          <w:rFonts w:ascii="Times New Roman" w:eastAsia="方正仿宋_GBK" w:cs="Times New Roman" w:hAnsi="Times New Roman"/>
          <w:bCs/>
          <w:color w:val="000000"/>
          <w:sz w:val="32"/>
          <w:lang w:val="en-US" w:eastAsia="en-US" w:bidi="ar-SA"/>
        </w:rPr>
        <w:t>财政拨款收入</w:t>
      </w:r>
      <w:r>
        <w:rPr>
          <w:rFonts w:ascii="Times New Roman" w:eastAsia="方正仿宋_GBK" w:cs="Times New Roman" w:hAnsi="Times New Roman"/>
          <w:color w:val="000000"/>
          <w:sz w:val="32"/>
          <w:lang w:val="en-US" w:eastAsia="en-US" w:bidi="ar-SA"/>
        </w:rPr>
        <w:t>614.18</w:t>
      </w:r>
      <w:r>
        <w:rPr>
          <w:rFonts w:ascii="Times New Roman" w:eastAsia="方正仿宋_GBK" w:cs="Times New Roman" w:hAnsi="Times New Roman"/>
          <w:bCs/>
          <w:color w:val="000000"/>
          <w:sz w:val="32"/>
          <w:lang w:val="en-US" w:eastAsia="en-US" w:bidi="ar-SA"/>
        </w:rPr>
        <w:t>万元，主要用于以下方面：一般公共服务支出583.24万元，占94.81%；住房保障支出30.94万元，占5.19%。</w:t>
      </w:r>
    </w:p>
    <w:p>
      <w:pPr>
        <w:pStyle w:val="38"/>
        <w:tabs>
          <w:tab w:val="left" w:pos="2100"/>
        </w:tabs>
        <w:autoSpaceDN w:val="0"/>
        <w:snapToGrid w:val="0"/>
        <w:spacing w:line="560" w:lineRule="exact"/>
        <w:ind w:firstLineChars="200" w:firstLine="640"/>
        <w:rPr>
          <w:rFonts w:eastAsia="方正仿宋_GBK" w:hint="eastAsia"/>
          <w:b/>
          <w:bCs/>
          <w:kern w:val="0"/>
          <w:sz w:val="32"/>
          <w:szCs w:val="32"/>
        </w:rPr>
      </w:pPr>
      <w:r>
        <w:rPr>
          <w:rFonts w:ascii="方正楷体_GBK" w:eastAsia="方正楷体_GBK" w:hint="eastAsia"/>
          <w:b/>
          <w:bCs/>
          <w:kern w:val="0"/>
          <w:sz w:val="32"/>
          <w:szCs w:val="32"/>
        </w:rPr>
        <w:t>（三）</w:t>
      </w:r>
      <w:r>
        <w:rPr>
          <w:rFonts w:ascii="方正楷体_GBK" w:eastAsia="方正楷体_GBK" w:cs="方正楷体_GBK"/>
          <w:b/>
          <w:bCs/>
          <w:color w:val="000000"/>
          <w:sz w:val="32"/>
          <w:szCs w:val="32"/>
          <w:lang w:val="en-US" w:eastAsia="en-US" w:bidi="ar-SA"/>
        </w:rPr>
        <w:t>一般公共预算</w:t>
      </w:r>
      <w:r>
        <w:rPr>
          <w:rFonts w:ascii="方正楷体_GBK" w:eastAsia="方正楷体_GBK" w:hint="eastAsia"/>
          <w:b/>
          <w:bCs/>
          <w:kern w:val="0"/>
          <w:sz w:val="32"/>
          <w:szCs w:val="32"/>
        </w:rPr>
        <w:t>财政拨款支出决算具体情况。</w:t>
      </w:r>
    </w:p>
    <w:p>
      <w:pPr>
        <w:pStyle w:val="72"/>
        <w:spacing w:line="560" w:lineRule="exact"/>
        <w:ind w:firstLineChars="200" w:firstLine="640"/>
        <w:jc w:val="both"/>
        <w:rPr>
          <w:rFonts w:ascii="Times New Roman" w:eastAsia="方正仿宋_GBK" w:cs="Times New Roman" w:hAnsi="Times New Roman"/>
          <w:color w:val="000000"/>
          <w:sz w:val="32"/>
          <w:szCs w:val="32"/>
          <w:lang w:bidi="ar-SA"/>
        </w:rPr>
      </w:pPr>
      <w:r>
        <w:rPr>
          <w:rFonts w:ascii="Times New Roman" w:eastAsia="方正仿宋_GBK" w:cs="Times New Roman" w:hAnsi="Times New Roman"/>
          <w:color w:val="000000"/>
          <w:sz w:val="32"/>
          <w:lang w:val="en-US" w:eastAsia="en-US" w:bidi="ar-SA"/>
        </w:rPr>
        <w:t>2025年度一般公共预算财政拨款支出595.89万元，占本年支出合计的26.17%。与2024年度相比，财政拨款支出</w:t>
      </w:r>
      <w:r>
        <w:rPr>
          <w:rFonts w:ascii="Times New Roman" w:eastAsia="方正仿宋_GBK" w:cs="Times New Roman" w:hAnsi="Times New Roman" w:hint="eastAsia"/>
          <w:color w:val="000000"/>
          <w:sz w:val="32"/>
          <w:lang w:val="en-US" w:eastAsia="en-US" w:bidi="ar-SA"/>
        </w:rPr>
        <w:t>减少</w:t>
      </w:r>
      <w:r>
        <w:rPr>
          <w:rFonts w:ascii="Times New Roman" w:eastAsia="方正仿宋_GBK" w:cs="Times New Roman" w:hAnsi="Times New Roman"/>
          <w:color w:val="000000"/>
          <w:sz w:val="32"/>
          <w:lang w:val="en-US" w:eastAsia="en-US" w:bidi="ar-SA"/>
        </w:rPr>
        <w:t>93.48万元，</w:t>
      </w:r>
      <w:r>
        <w:rPr>
          <w:rFonts w:ascii="Times New Roman" w:eastAsia="方正仿宋_GBK" w:cs="Times New Roman" w:hAnsi="Times New Roman" w:hint="eastAsia"/>
          <w:color w:val="000000"/>
          <w:sz w:val="32"/>
          <w:lang w:val="en-US" w:eastAsia="en-US" w:bidi="ar-SA"/>
        </w:rPr>
        <w:t>减少</w:t>
      </w:r>
      <w:r>
        <w:rPr>
          <w:rFonts w:ascii="Times New Roman" w:eastAsia="方正仿宋_GBK" w:cs="Times New Roman" w:hAnsi="Times New Roman"/>
          <w:color w:val="000000"/>
          <w:sz w:val="32"/>
          <w:lang w:val="en-US" w:eastAsia="en-US" w:bidi="ar-SA"/>
        </w:rPr>
        <w:t>13.56%。</w:t>
      </w:r>
      <w:r>
        <w:rPr>
          <w:rFonts w:ascii="Times New Roman" w:eastAsia="方正仿宋_GBK" w:cs="Times New Roman" w:hAnsi="Times New Roman"/>
          <w:bCs/>
          <w:color w:val="000000"/>
          <w:sz w:val="32"/>
          <w:lang w:val="en-US" w:eastAsia="en-US" w:bidi="ar-SA"/>
        </w:rPr>
        <w:t>其中：一般公共服务决算为564.95万元，占94.81%；住房保障支出（类）住房改革支出（款）住房公积金（项）支出决算为30.94万元，占5.19%。</w:t>
      </w:r>
    </w:p>
    <w:p>
      <w:pPr>
        <w:pStyle w:val="53"/>
        <w:tabs>
          <w:tab w:val="left" w:pos="3599"/>
        </w:tabs>
        <w:spacing w:line="560" w:lineRule="exact"/>
        <w:ind w:firstLineChars="200" w:firstLine="640"/>
        <w:jc w:val="both"/>
        <w:rPr>
          <w:rFonts w:ascii="方正黑体_GBK" w:eastAsia="方正黑体_GBK" w:cs="方正黑体_GBK" w:hint="eastAsia"/>
          <w:bCs/>
          <w:color w:val="000000"/>
          <w:sz w:val="32"/>
          <w:lang w:val="en-US" w:eastAsia="en-US" w:bidi="ar-SA"/>
        </w:rPr>
      </w:pPr>
      <w:bookmarkStart w:id="16" w:name="_Toc73694395"/>
      <w:r>
        <w:rPr>
          <w:rFonts w:ascii="方正黑体_GBK" w:eastAsia="方正黑体_GBK" w:cs="方正黑体_GBK" w:hint="eastAsia"/>
          <w:bCs/>
          <w:color w:val="000000"/>
          <w:sz w:val="32"/>
          <w:lang w:val="en-US" w:eastAsia="en-US" w:bidi="ar-SA"/>
        </w:rPr>
        <w:t>六、一般公共预算财政拨款基本支出决算情况说明</w:t>
      </w:r>
    </w:p>
    <w:p>
      <w:pPr>
        <w:pStyle w:val="53"/>
        <w:tabs>
          <w:tab w:val="left" w:pos="3599"/>
        </w:tabs>
        <w:spacing w:line="560" w:lineRule="exact"/>
        <w:ind w:firstLineChars="200" w:firstLine="640"/>
        <w:jc w:val="both"/>
        <w:rPr>
          <w:rFonts w:ascii="Times New Roman" w:eastAsia="方正仿宋_GBK" w:cs="Times New Roman" w:hAnsi="Times New Roman"/>
          <w:bCs/>
          <w:color w:val="000000"/>
          <w:sz w:val="32"/>
          <w:lang w:val="en-US" w:eastAsia="en-US" w:bidi="ar-SA"/>
        </w:rPr>
      </w:pPr>
      <w:r>
        <w:rPr>
          <w:rFonts w:ascii="Times New Roman" w:eastAsia="方正仿宋_GBK" w:cs="Times New Roman" w:hAnsi="Times New Roman"/>
          <w:bCs/>
          <w:color w:val="000000"/>
          <w:sz w:val="32"/>
          <w:lang w:val="en-US" w:eastAsia="en-US" w:bidi="ar-SA"/>
        </w:rPr>
        <w:t>2025年度一般公共预算财政拨款基本支出178.13万元，其中：</w:t>
      </w:r>
    </w:p>
    <w:p>
      <w:pPr>
        <w:pStyle w:val="53"/>
        <w:tabs>
          <w:tab w:val="left" w:pos="3599"/>
        </w:tabs>
        <w:spacing w:line="560" w:lineRule="exact"/>
        <w:ind w:firstLineChars="200" w:firstLine="640"/>
        <w:jc w:val="both"/>
        <w:rPr>
          <w:rFonts w:ascii="Times New Roman" w:eastAsia="方正仿宋_GBK" w:cs="Times New Roman" w:hAnsi="Times New Roman"/>
          <w:bCs/>
          <w:color w:val="000000"/>
          <w:sz w:val="32"/>
          <w:lang w:val="en-US" w:eastAsia="en-US" w:bidi="ar-SA"/>
        </w:rPr>
      </w:pPr>
      <w:r>
        <w:rPr>
          <w:rFonts w:ascii="Times New Roman" w:eastAsia="方正仿宋_GBK" w:cs="Times New Roman" w:hAnsi="Times New Roman"/>
          <w:b/>
          <w:bCs/>
          <w:color w:val="000000"/>
          <w:sz w:val="32"/>
          <w:lang w:val="en-US" w:eastAsia="en-US" w:bidi="ar-SA"/>
        </w:rPr>
        <w:t>人员经费</w:t>
      </w:r>
      <w:r>
        <w:rPr>
          <w:rFonts w:ascii="Times New Roman" w:eastAsia="方正仿宋_GBK" w:cs="Times New Roman" w:hAnsi="Times New Roman"/>
          <w:bCs/>
          <w:color w:val="000000"/>
          <w:sz w:val="32"/>
          <w:lang w:val="en-US" w:eastAsia="en-US" w:bidi="ar-SA"/>
        </w:rPr>
        <w:t>146.47</w:t>
      </w:r>
      <w:r>
        <w:rPr>
          <w:rFonts w:ascii="Times New Roman" w:eastAsia="方正仿宋_GBK" w:cs="Times New Roman" w:hAnsi="Times New Roman" w:hint="eastAsia"/>
          <w:bCs/>
          <w:color w:val="000000"/>
          <w:sz w:val="32"/>
          <w:lang w:val="en-US" w:eastAsia="en-US" w:bidi="ar-SA"/>
        </w:rPr>
        <w:t>万元，主要包括基</w:t>
      </w:r>
      <w:r>
        <w:rPr>
          <w:rFonts w:ascii="Times New Roman" w:eastAsia="方正仿宋_GBK" w:cs="Times New Roman" w:hAnsi="Times New Roman"/>
          <w:bCs/>
          <w:color w:val="000000"/>
          <w:sz w:val="32"/>
          <w:lang w:val="en-US" w:eastAsia="en-US" w:bidi="ar-SA"/>
        </w:rPr>
        <w:t>本工资、津贴补贴、住房公积金。</w:t>
      </w:r>
    </w:p>
    <w:p>
      <w:pPr>
        <w:pStyle w:val="53"/>
        <w:tabs>
          <w:tab w:val="left" w:pos="3599"/>
        </w:tabs>
        <w:spacing w:line="560" w:lineRule="exact"/>
        <w:ind w:firstLineChars="200" w:firstLine="640"/>
        <w:jc w:val="both"/>
        <w:rPr>
          <w:rFonts w:ascii="Times New Roman" w:eastAsia="方正仿宋_GBK" w:cs="Times New Roman" w:hAnsi="Times New Roman" w:hint="eastAsia"/>
          <w:bCs/>
          <w:color w:val="000000"/>
          <w:sz w:val="32"/>
          <w:lang w:val="en-US" w:eastAsia="en-US" w:bidi="ar-SA"/>
        </w:rPr>
      </w:pPr>
      <w:r>
        <w:rPr>
          <w:rFonts w:ascii="Times New Roman" w:eastAsia="方正仿宋_GBK" w:cs="Times New Roman" w:hAnsi="Times New Roman"/>
          <w:b/>
          <w:bCs/>
          <w:color w:val="000000"/>
          <w:sz w:val="32"/>
          <w:lang w:val="en-US" w:eastAsia="en-US" w:bidi="ar-SA"/>
        </w:rPr>
        <w:t>公用经费</w:t>
      </w:r>
      <w:r>
        <w:rPr>
          <w:rFonts w:ascii="Times New Roman" w:eastAsia="方正仿宋_GBK" w:cs="Times New Roman" w:hAnsi="Times New Roman"/>
          <w:bCs/>
          <w:color w:val="000000"/>
          <w:sz w:val="32"/>
          <w:lang w:val="en-US" w:eastAsia="en-US" w:bidi="ar-SA"/>
        </w:rPr>
        <w:t>31.66</w:t>
      </w:r>
      <w:r>
        <w:rPr>
          <w:rFonts w:ascii="Times New Roman" w:eastAsia="方正仿宋_GBK" w:cs="Times New Roman" w:hAnsi="Times New Roman" w:hint="eastAsia"/>
          <w:bCs/>
          <w:color w:val="000000"/>
          <w:sz w:val="32"/>
          <w:lang w:val="en-US" w:eastAsia="en-US" w:bidi="ar-SA"/>
        </w:rPr>
        <w:t>万元，主</w:t>
      </w:r>
      <w:r>
        <w:rPr>
          <w:rFonts w:ascii="Times New Roman" w:eastAsia="方正仿宋_GBK" w:cs="Times New Roman" w:hAnsi="Times New Roman"/>
          <w:bCs/>
          <w:color w:val="000000"/>
          <w:sz w:val="32"/>
          <w:lang w:val="en-US" w:eastAsia="en-US" w:bidi="ar-SA"/>
        </w:rPr>
        <w:t>要包括办公费水费、电费、物业管理费、公务用车运行维护费</w:t>
      </w:r>
      <w:r>
        <w:rPr>
          <w:rFonts w:ascii="Times New Roman" w:eastAsia="方正仿宋_GBK" w:cs="Times New Roman" w:hAnsi="Times New Roman" w:hint="eastAsia"/>
          <w:bCs/>
          <w:color w:val="000000"/>
          <w:sz w:val="32"/>
          <w:lang w:val="en-US" w:eastAsia="en-US" w:bidi="ar-SA"/>
        </w:rPr>
        <w:t>。</w:t>
      </w:r>
    </w:p>
    <w:p>
      <w:pPr>
        <w:pStyle w:val="53"/>
        <w:tabs>
          <w:tab w:val="left" w:pos="3599"/>
        </w:tabs>
        <w:spacing w:line="560" w:lineRule="exact"/>
        <w:ind w:firstLineChars="200" w:firstLine="640"/>
        <w:jc w:val="both"/>
        <w:rPr>
          <w:rFonts w:ascii="方正黑体_GBK" w:eastAsia="方正黑体_GBK" w:cs="方正黑体_GBK" w:hint="eastAsia"/>
          <w:color w:val="000000"/>
          <w:sz w:val="32"/>
          <w:szCs w:val="32"/>
          <w:lang w:val="en-US" w:eastAsia="en-US" w:bidi="ar-SA"/>
        </w:rPr>
      </w:pPr>
      <w:r>
        <w:rPr>
          <w:rFonts w:ascii="方正黑体_GBK" w:eastAsia="方正黑体_GBK" w:cs="方正黑体_GBK" w:hint="eastAsia"/>
          <w:bCs/>
          <w:color w:val="000000"/>
          <w:sz w:val="32"/>
          <w:lang w:val="en-US" w:eastAsia="en-US" w:bidi="ar-SA"/>
        </w:rPr>
        <w:t>七、政府性基金预算</w:t>
      </w:r>
      <w:r>
        <w:rPr>
          <w:rFonts w:ascii="方正黑体_GBK" w:eastAsia="方正黑体_GBK" w:cs="方正黑体_GBK" w:hint="eastAsia"/>
          <w:color w:val="000000"/>
          <w:sz w:val="32"/>
          <w:szCs w:val="32"/>
          <w:lang w:val="en-US" w:eastAsia="en-US" w:bidi="ar-SA"/>
        </w:rPr>
        <w:t>财政拨款决算情况说明</w:t>
      </w:r>
    </w:p>
    <w:p>
      <w:pPr>
        <w:pStyle w:val="54"/>
        <w:spacing w:line="560" w:lineRule="exact"/>
        <w:ind w:firstLineChars="200" w:firstLine="640"/>
        <w:jc w:val="both"/>
        <w:rPr>
          <w:rFonts w:ascii="Times New Roman" w:eastAsia="方正仿宋_GBK" w:cs="Times New Roman" w:hAnsi="Times New Roman" w:hint="eastAsia"/>
          <w:color w:val="000000"/>
          <w:sz w:val="32"/>
          <w:szCs w:val="32"/>
          <w:lang w:bidi="ar-SA"/>
        </w:rPr>
      </w:pPr>
      <w:r>
        <w:rPr>
          <w:rFonts w:ascii="Times New Roman" w:eastAsia="方正仿宋_GBK" w:cs="Times New Roman" w:hAnsi="Times New Roman"/>
          <w:color w:val="000000"/>
          <w:sz w:val="32"/>
          <w:lang w:val="en-US" w:eastAsia="en-US" w:bidi="ar-SA"/>
        </w:rPr>
        <w:t>2025年度政府性基金预算财政拨款上年结转结余44.14万元；本年收入640.00万元，较上年增多376.00万元，增长142.42%；本年支出104.89万元，较上年减少114.97万元，下降52.29%。</w:t>
      </w:r>
    </w:p>
    <w:p>
      <w:pPr>
        <w:pStyle w:val="53"/>
        <w:tabs>
          <w:tab w:val="left" w:pos="3599"/>
        </w:tabs>
        <w:spacing w:line="560" w:lineRule="exact"/>
        <w:ind w:firstLineChars="200" w:firstLine="640"/>
        <w:jc w:val="both"/>
        <w:rPr>
          <w:rFonts w:ascii="方正黑体_GBK" w:eastAsia="方正黑体_GBK" w:cs="方正黑体_GBK" w:hint="eastAsia"/>
          <w:bCs/>
          <w:color w:val="000000"/>
          <w:sz w:val="32"/>
          <w:lang w:val="en-US" w:eastAsia="en-US" w:bidi="ar-SA"/>
        </w:rPr>
      </w:pPr>
      <w:r>
        <w:rPr>
          <w:rFonts w:ascii="方正黑体_GBK" w:eastAsia="方正黑体_GBK" w:cs="方正黑体_GBK" w:hint="eastAsia"/>
          <w:bCs/>
          <w:color w:val="000000"/>
          <w:sz w:val="32"/>
          <w:lang w:val="en-US" w:eastAsia="en-US" w:bidi="ar-SA"/>
        </w:rPr>
        <w:t>八、财政拨款“三公”经费支出决算情况说明</w:t>
      </w:r>
    </w:p>
    <w:p>
      <w:pPr>
        <w:pStyle w:val="53"/>
        <w:tabs>
          <w:tab w:val="left" w:pos="3599"/>
        </w:tabs>
        <w:spacing w:line="560" w:lineRule="exact"/>
        <w:ind w:firstLineChars="200" w:firstLine="640"/>
        <w:jc w:val="both"/>
        <w:rPr>
          <w:rFonts w:ascii="方正楷体_GBK" w:eastAsia="方正楷体_GBK" w:cs="方正楷体_GBK" w:hint="eastAsia"/>
          <w:b/>
          <w:bCs/>
          <w:color w:val="000000"/>
          <w:sz w:val="32"/>
          <w:lang w:val="en-US" w:eastAsia="en-US" w:bidi="ar-SA"/>
        </w:rPr>
      </w:pPr>
      <w:r>
        <w:rPr>
          <w:rFonts w:ascii="方正楷体_GBK" w:eastAsia="方正楷体_GBK" w:cs="方正楷体_GBK" w:hint="eastAsia"/>
          <w:b/>
          <w:bCs/>
          <w:color w:val="000000"/>
          <w:sz w:val="32"/>
          <w:lang w:val="en-US" w:eastAsia="en-US" w:bidi="ar-SA"/>
        </w:rPr>
        <w:t>（一）“三公”经费财政拨款支出决算总体情况说明。</w:t>
      </w:r>
    </w:p>
    <w:p>
      <w:pPr>
        <w:pStyle w:val="53"/>
        <w:tabs>
          <w:tab w:val="left" w:pos="3599"/>
        </w:tabs>
        <w:spacing w:line="560" w:lineRule="exact"/>
        <w:ind w:firstLineChars="200" w:firstLine="640"/>
        <w:jc w:val="both"/>
        <w:rPr>
          <w:rFonts w:ascii="Times New Roman" w:eastAsia="方正仿宋_GBK" w:cs="Times New Roman" w:hAnsi="Times New Roman"/>
          <w:bCs/>
          <w:color w:val="000000"/>
          <w:sz w:val="32"/>
          <w:lang w:val="en-US" w:eastAsia="en-US" w:bidi="ar-SA"/>
        </w:rPr>
      </w:pPr>
      <w:r>
        <w:rPr>
          <w:rFonts w:ascii="Times New Roman" w:eastAsia="方正仿宋_GBK" w:cs="Times New Roman" w:hAnsi="Times New Roman"/>
          <w:bCs/>
          <w:color w:val="000000"/>
          <w:sz w:val="32"/>
          <w:lang w:val="en-US" w:eastAsia="en-US" w:bidi="ar-SA"/>
        </w:rPr>
        <w:t>2024年度</w:t>
      </w:r>
      <w:r>
        <w:rPr>
          <w:rFonts w:ascii="Times New Roman" w:eastAsia="方正仿宋_GBK" w:cs="Times New Roman" w:hAnsi="Times New Roman" w:hint="eastAsia"/>
          <w:bCs/>
          <w:color w:val="000000"/>
          <w:sz w:val="32"/>
          <w:lang w:val="en-US" w:eastAsia="en-US" w:bidi="ar-SA"/>
        </w:rPr>
        <w:t>“</w:t>
      </w:r>
      <w:r>
        <w:rPr>
          <w:rFonts w:ascii="Times New Roman" w:eastAsia="方正仿宋_GBK" w:cs="Times New Roman" w:hAnsi="Times New Roman"/>
          <w:bCs/>
          <w:color w:val="000000"/>
          <w:sz w:val="32"/>
          <w:lang w:val="en-US" w:eastAsia="en-US" w:bidi="ar-SA"/>
        </w:rPr>
        <w:t>三公</w:t>
      </w:r>
      <w:r>
        <w:rPr>
          <w:rFonts w:ascii="Times New Roman" w:eastAsia="方正仿宋_GBK" w:cs="Times New Roman" w:hAnsi="Times New Roman" w:hint="eastAsia"/>
          <w:bCs/>
          <w:color w:val="000000"/>
          <w:sz w:val="32"/>
          <w:lang w:val="en-US" w:eastAsia="en-US" w:bidi="ar-SA"/>
        </w:rPr>
        <w:t>”</w:t>
      </w:r>
      <w:r>
        <w:rPr>
          <w:rFonts w:ascii="Times New Roman" w:eastAsia="方正仿宋_GBK" w:cs="Times New Roman" w:hAnsi="Times New Roman"/>
          <w:bCs/>
          <w:color w:val="000000"/>
          <w:sz w:val="32"/>
          <w:lang w:val="en-US" w:eastAsia="en-US" w:bidi="ar-SA"/>
        </w:rPr>
        <w:t>经费财政拨款支出预算为</w:t>
      </w:r>
      <w:r>
        <w:rPr>
          <w:rFonts w:ascii="Times New Roman" w:eastAsia="方正仿宋_GBK" w:cs="Times New Roman" w:hAnsi="Times New Roman"/>
          <w:bCs/>
          <w:color w:val="000000"/>
          <w:sz w:val="32"/>
          <w:lang w:bidi="ar-SA"/>
        </w:rPr>
        <w:t>12.00</w:t>
      </w:r>
      <w:r>
        <w:rPr>
          <w:rFonts w:ascii="Times New Roman" w:eastAsia="方正仿宋_GBK" w:cs="Times New Roman" w:hAnsi="Times New Roman"/>
          <w:bCs/>
          <w:color w:val="000000"/>
          <w:sz w:val="32"/>
          <w:lang w:val="en-US" w:eastAsia="en-US" w:bidi="ar-SA"/>
        </w:rPr>
        <w:t>万元，支出决算为</w:t>
      </w:r>
      <w:r>
        <w:rPr>
          <w:rFonts w:ascii="Times New Roman" w:eastAsia="方正仿宋_GBK" w:cs="Times New Roman" w:hAnsi="Times New Roman"/>
          <w:bCs/>
          <w:color w:val="000000"/>
          <w:sz w:val="32"/>
          <w:lang w:bidi="ar-SA"/>
        </w:rPr>
        <w:t>12.00</w:t>
      </w:r>
      <w:r>
        <w:rPr>
          <w:rFonts w:ascii="Times New Roman" w:eastAsia="方正仿宋_GBK" w:cs="Times New Roman" w:hAnsi="Times New Roman"/>
          <w:bCs/>
          <w:color w:val="000000"/>
          <w:sz w:val="32"/>
          <w:lang w:val="en-US" w:eastAsia="en-US" w:bidi="ar-SA"/>
        </w:rPr>
        <w:t>万元，完成预算的</w:t>
      </w:r>
      <w:r>
        <w:rPr>
          <w:rFonts w:ascii="Times New Roman" w:eastAsia="方正仿宋_GBK" w:cs="Times New Roman" w:hAnsi="Times New Roman"/>
          <w:bCs/>
          <w:color w:val="000000"/>
          <w:sz w:val="32"/>
          <w:lang w:bidi="ar-SA"/>
        </w:rPr>
        <w:t>100%</w:t>
      </w:r>
      <w:r>
        <w:rPr>
          <w:rFonts w:ascii="Times New Roman" w:eastAsia="方正仿宋_GBK" w:cs="Times New Roman" w:hAnsi="Times New Roman"/>
          <w:bCs/>
          <w:color w:val="000000"/>
          <w:sz w:val="32"/>
          <w:lang w:val="en-US" w:eastAsia="en-US" w:bidi="ar-SA"/>
        </w:rPr>
        <w:t>。</w:t>
      </w:r>
    </w:p>
    <w:p>
      <w:pPr>
        <w:pStyle w:val="53"/>
        <w:tabs>
          <w:tab w:val="left" w:pos="3599"/>
        </w:tabs>
        <w:spacing w:line="560" w:lineRule="exact"/>
        <w:ind w:firstLineChars="200" w:firstLine="640"/>
        <w:jc w:val="both"/>
        <w:rPr>
          <w:rFonts w:ascii="方正楷体_GBK" w:eastAsia="方正楷体_GBK" w:cs="方正楷体_GBK" w:hint="eastAsia"/>
          <w:b/>
          <w:bCs/>
          <w:color w:val="000000"/>
          <w:sz w:val="32"/>
          <w:lang w:val="en-US" w:eastAsia="en-US" w:bidi="ar-SA"/>
        </w:rPr>
      </w:pPr>
      <w:r>
        <w:rPr>
          <w:rFonts w:ascii="方正楷体_GBK" w:eastAsia="方正楷体_GBK" w:cs="方正楷体_GBK" w:hint="eastAsia"/>
          <w:b/>
          <w:bCs/>
          <w:color w:val="000000"/>
          <w:sz w:val="32"/>
          <w:lang w:val="en-US" w:eastAsia="en-US" w:bidi="ar-SA"/>
        </w:rPr>
        <w:t>（二）“三公”经费财政拨款支出决算具体情况说明。</w:t>
      </w:r>
    </w:p>
    <w:p>
      <w:pPr>
        <w:pStyle w:val="55"/>
        <w:tabs>
          <w:tab w:val="left" w:pos="3599"/>
        </w:tabs>
        <w:spacing w:line="560" w:lineRule="exact"/>
        <w:ind w:firstLineChars="200" w:firstLine="640"/>
        <w:jc w:val="both"/>
        <w:rPr>
          <w:rFonts w:ascii="Times New Roman" w:eastAsia="方正仿宋_GBK" w:cs="Times New Roman" w:hAnsi="Times New Roman"/>
          <w:bCs/>
          <w:color w:val="000000"/>
          <w:sz w:val="32"/>
          <w:lang w:val="en-US" w:eastAsia="en-US" w:bidi="ar-SA"/>
        </w:rPr>
      </w:pPr>
      <w:r>
        <w:rPr>
          <w:rFonts w:ascii="Times New Roman" w:eastAsia="方正仿宋_GBK" w:cs="Times New Roman" w:hAnsi="Times New Roman"/>
          <w:bCs/>
          <w:color w:val="000000"/>
          <w:sz w:val="32"/>
          <w:lang w:val="en-US" w:eastAsia="en-US" w:bidi="ar-SA"/>
        </w:rPr>
        <w:t xml:space="preserve"> </w:t>
      </w:r>
      <w:r>
        <w:rPr>
          <w:rFonts w:ascii="Times New Roman" w:eastAsia="方正仿宋_GBK" w:cs="Times New Roman" w:hAnsi="Times New Roman"/>
          <w:b/>
          <w:bCs/>
          <w:color w:val="000000"/>
          <w:sz w:val="32"/>
          <w:lang w:val="en-US" w:eastAsia="en-US" w:bidi="ar-SA"/>
        </w:rPr>
        <w:t>公务用车运行维护费</w:t>
      </w:r>
      <w:r>
        <w:rPr>
          <w:rFonts w:ascii="Times New Roman" w:eastAsia="方正仿宋_GBK" w:cs="Times New Roman" w:hAnsi="Times New Roman"/>
          <w:color w:val="000000"/>
          <w:sz w:val="32"/>
          <w:lang w:val="en-US" w:eastAsia="en-US" w:bidi="ar-SA"/>
        </w:rPr>
        <w:t>支出</w:t>
      </w:r>
      <w:r>
        <w:rPr>
          <w:rFonts w:ascii="Times New Roman" w:eastAsia="方正仿宋_GBK" w:cs="Times New Roman" w:hAnsi="Times New Roman"/>
          <w:bCs/>
          <w:color w:val="000000"/>
          <w:sz w:val="32"/>
          <w:lang w:bidi="ar-SA"/>
        </w:rPr>
        <w:t>12.00万元。</w:t>
      </w:r>
      <w:r>
        <w:rPr>
          <w:rFonts w:ascii="Times New Roman" w:eastAsia="方正仿宋_GBK" w:cs="Times New Roman" w:hAnsi="Times New Roman"/>
          <w:bCs/>
          <w:color w:val="000000"/>
          <w:sz w:val="32"/>
          <w:lang w:val="en-US" w:eastAsia="en-US" w:bidi="ar-SA"/>
        </w:rPr>
        <w:t>主要是按规定保留的公务用车的燃料费、维修费、过桥过路费、保险费。</w:t>
      </w:r>
    </w:p>
    <w:p>
      <w:pPr>
        <w:pStyle w:val="56"/>
        <w:tabs>
          <w:tab w:val="left" w:pos="3599"/>
        </w:tabs>
        <w:spacing w:line="560" w:lineRule="exact"/>
        <w:ind w:firstLineChars="200" w:firstLine="640"/>
        <w:jc w:val="both"/>
        <w:rPr>
          <w:rFonts w:ascii="方正黑体_GBK" w:eastAsia="方正黑体_GBK" w:cs="方正黑体_GBK" w:hint="eastAsia"/>
          <w:bCs/>
          <w:color w:val="000000"/>
          <w:sz w:val="32"/>
          <w:lang w:val="en-US" w:eastAsia="en-US" w:bidi="ar-SA"/>
        </w:rPr>
      </w:pPr>
      <w:r>
        <w:rPr>
          <w:rFonts w:ascii="方正黑体_GBK" w:eastAsia="方正黑体_GBK" w:cs="方正黑体_GBK" w:hint="eastAsia"/>
          <w:bCs/>
          <w:color w:val="000000"/>
          <w:sz w:val="32"/>
          <w:lang w:val="en-US" w:eastAsia="en-US" w:bidi="ar-SA"/>
        </w:rPr>
        <w:t>九、政府采购支出说明</w:t>
      </w:r>
    </w:p>
    <w:p>
      <w:pPr>
        <w:pStyle w:val="56"/>
        <w:tabs>
          <w:tab w:val="left" w:pos="3599"/>
        </w:tabs>
        <w:spacing w:line="560" w:lineRule="exact"/>
        <w:ind w:firstLineChars="200" w:firstLine="640"/>
        <w:jc w:val="both"/>
        <w:rPr>
          <w:rFonts w:ascii="Times New Roman" w:eastAsia="方正仿宋_GBK" w:cs="Times New Roman" w:hAnsi="Times New Roman"/>
          <w:bCs/>
          <w:color w:val="000000"/>
          <w:sz w:val="32"/>
          <w:lang w:val="en-US" w:eastAsia="en-US" w:bidi="ar-SA"/>
        </w:rPr>
      </w:pPr>
      <w:r>
        <w:rPr>
          <w:rFonts w:ascii="Times New Roman" w:eastAsia="方正仿宋_GBK" w:cs="Times New Roman" w:hAnsi="Times New Roman"/>
          <w:bCs/>
          <w:color w:val="000000"/>
          <w:sz w:val="32"/>
          <w:lang w:val="en-US" w:eastAsia="en-US" w:bidi="ar-SA"/>
        </w:rPr>
        <w:t>呼和浩特</w:t>
      </w:r>
      <w:r>
        <w:rPr>
          <w:rFonts w:ascii="Times New Roman" w:eastAsia="方正仿宋_GBK" w:cs="Times New Roman" w:hAnsi="Times New Roman" w:hint="eastAsia"/>
          <w:bCs/>
          <w:color w:val="000000"/>
          <w:sz w:val="32"/>
          <w:lang w:val="en-US" w:eastAsia="en-US" w:bidi="ar-SA"/>
        </w:rPr>
        <w:t>国际旅行卫生保健中心</w:t>
      </w:r>
      <w:r>
        <w:rPr>
          <w:rFonts w:ascii="Times New Roman" w:eastAsia="方正仿宋_GBK" w:cs="Times New Roman" w:hAnsi="Times New Roman"/>
          <w:bCs/>
          <w:color w:val="000000"/>
          <w:sz w:val="32"/>
          <w:lang w:val="en-US" w:eastAsia="en-US" w:bidi="ar-SA"/>
        </w:rPr>
        <w:t>2025年度政府采购支出总额129.95</w:t>
      </w:r>
      <w:r>
        <w:rPr>
          <w:rFonts w:ascii="Times New Roman" w:eastAsia="方正仿宋_GBK" w:cs="Times New Roman" w:hAnsi="Times New Roman"/>
          <w:bCs/>
          <w:color w:val="000000"/>
          <w:sz w:val="32"/>
          <w:lang w:bidi="ar-SA"/>
        </w:rPr>
        <w:t>万</w:t>
      </w:r>
      <w:r>
        <w:rPr>
          <w:rFonts w:ascii="Times New Roman" w:eastAsia="方正仿宋_GBK" w:cs="Times New Roman" w:hAnsi="Times New Roman"/>
          <w:bCs/>
          <w:color w:val="000000"/>
          <w:sz w:val="32"/>
          <w:lang w:val="en-US" w:eastAsia="en-US" w:bidi="ar-SA"/>
        </w:rPr>
        <w:t>元，其中：政府采购货物支出129.95万元、政府采购工程支出</w:t>
      </w:r>
      <w:r>
        <w:rPr>
          <w:rFonts w:ascii="Times New Roman" w:eastAsia="方正仿宋_GBK" w:cs="Times New Roman" w:hAnsi="Times New Roman"/>
          <w:bCs/>
          <w:color w:val="000000"/>
          <w:sz w:val="32"/>
          <w:lang w:bidi="ar-SA"/>
        </w:rPr>
        <w:t>0</w:t>
      </w:r>
      <w:r>
        <w:rPr>
          <w:rFonts w:ascii="Times New Roman" w:eastAsia="方正仿宋_GBK" w:cs="Times New Roman" w:hAnsi="Times New Roman"/>
          <w:bCs/>
          <w:color w:val="000000"/>
          <w:sz w:val="32"/>
          <w:lang w:val="en-US" w:eastAsia="en-US" w:bidi="ar-SA"/>
        </w:rPr>
        <w:t>万元、政府采购服务支出0万元。授予中小企业合同金额61.41万元，占政府采购支出总额的</w:t>
      </w:r>
      <w:r>
        <w:rPr>
          <w:rFonts w:ascii="Times New Roman" w:eastAsia="方正仿宋_GBK" w:cs="Times New Roman" w:hAnsi="Times New Roman"/>
          <w:bCs/>
          <w:color w:val="000000"/>
          <w:sz w:val="32"/>
          <w:lang w:bidi="ar-SA"/>
        </w:rPr>
        <w:t>47.26%</w:t>
      </w:r>
      <w:r>
        <w:rPr>
          <w:rFonts w:ascii="Times New Roman" w:eastAsia="方正仿宋_GBK" w:cs="Times New Roman" w:hAnsi="Times New Roman"/>
          <w:bCs/>
          <w:color w:val="000000"/>
          <w:sz w:val="32"/>
          <w:lang w:val="en-US" w:eastAsia="en-US" w:bidi="ar-SA"/>
        </w:rPr>
        <w:t>，其中：授予小微企业合同金额24.99万元，占授予中小企业合同金额的</w:t>
      </w:r>
      <w:r>
        <w:rPr>
          <w:rFonts w:ascii="Times New Roman" w:eastAsia="方正仿宋_GBK" w:cs="Times New Roman" w:hAnsi="Times New Roman"/>
          <w:bCs/>
          <w:color w:val="000000"/>
          <w:sz w:val="32"/>
          <w:lang w:bidi="ar-SA"/>
        </w:rPr>
        <w:t>40.69%</w:t>
      </w:r>
      <w:r>
        <w:rPr>
          <w:rFonts w:ascii="Times New Roman" w:eastAsia="方正仿宋_GBK" w:cs="Times New Roman" w:hAnsi="Times New Roman"/>
          <w:bCs/>
          <w:color w:val="000000"/>
          <w:sz w:val="32"/>
          <w:lang w:val="en-US" w:eastAsia="en-US" w:bidi="ar-SA"/>
        </w:rPr>
        <w:t>。</w:t>
      </w:r>
    </w:p>
    <w:p>
      <w:pPr>
        <w:pStyle w:val="56"/>
        <w:tabs>
          <w:tab w:val="left" w:pos="3599"/>
        </w:tabs>
        <w:spacing w:line="560" w:lineRule="exact"/>
        <w:ind w:firstLineChars="200" w:firstLine="640"/>
        <w:jc w:val="both"/>
        <w:rPr>
          <w:rFonts w:ascii="方正黑体_GBK" w:eastAsia="方正黑体_GBK" w:cs="方正黑体_GBK" w:hint="eastAsia"/>
          <w:bCs/>
          <w:color w:val="000000"/>
          <w:sz w:val="32"/>
          <w:lang w:val="en-US" w:eastAsia="en-US" w:bidi="ar-SA"/>
        </w:rPr>
      </w:pPr>
      <w:r>
        <w:rPr>
          <w:rFonts w:ascii="方正黑体_GBK" w:eastAsia="方正黑体_GBK" w:cs="方正黑体_GBK" w:hint="eastAsia"/>
          <w:bCs/>
          <w:color w:val="000000"/>
          <w:sz w:val="32"/>
          <w:lang w:val="en-US" w:eastAsia="en-US" w:bidi="ar-SA"/>
        </w:rPr>
        <w:t>十、国有资产占用情况说明</w:t>
      </w:r>
    </w:p>
    <w:p>
      <w:pPr>
        <w:pStyle w:val="56"/>
        <w:tabs>
          <w:tab w:val="left" w:pos="3599"/>
        </w:tabs>
        <w:spacing w:line="560" w:lineRule="exact"/>
        <w:ind w:firstLineChars="200" w:firstLine="640"/>
        <w:jc w:val="both"/>
        <w:rPr>
          <w:rFonts w:ascii="Times New Roman" w:eastAsia="方正仿宋_GBK" w:cs="Times New Roman" w:hAnsi="Times New Roman"/>
          <w:bCs/>
          <w:color w:val="000000"/>
          <w:sz w:val="32"/>
          <w:lang w:val="en-US" w:eastAsia="en-US" w:bidi="ar-SA"/>
        </w:rPr>
      </w:pPr>
      <w:r>
        <w:rPr>
          <w:rFonts w:ascii="Times New Roman" w:eastAsia="方正仿宋_GBK" w:cs="Times New Roman" w:hAnsi="Times New Roman"/>
          <w:bCs/>
          <w:color w:val="000000"/>
          <w:sz w:val="32"/>
          <w:lang w:val="en-US" w:eastAsia="en-US" w:bidi="ar-SA"/>
        </w:rPr>
        <w:t>截至2025年12月31日，呼和浩特</w:t>
      </w:r>
      <w:r>
        <w:rPr>
          <w:rFonts w:ascii="Times New Roman" w:eastAsia="方正仿宋_GBK" w:cs="Times New Roman" w:hAnsi="Times New Roman" w:hint="eastAsia"/>
          <w:bCs/>
          <w:color w:val="000000"/>
          <w:sz w:val="32"/>
          <w:lang w:val="en-US" w:eastAsia="en-US" w:bidi="ar-SA"/>
        </w:rPr>
        <w:t>国际旅行卫生保健中心</w:t>
      </w:r>
      <w:r>
        <w:rPr>
          <w:rFonts w:ascii="Times New Roman" w:eastAsia="方正仿宋_GBK" w:cs="Times New Roman" w:hAnsi="Times New Roman"/>
          <w:bCs/>
          <w:color w:val="000000"/>
          <w:sz w:val="32"/>
          <w:lang w:val="en-US" w:eastAsia="en-US" w:bidi="ar-SA"/>
        </w:rPr>
        <w:t>共有车辆5辆（台），其中：机要通信用车1辆、特种专业技术用车1辆、业务用车3辆。单价100万元（含）以上设备（不含车辆）11台（套）。</w:t>
      </w:r>
    </w:p>
    <w:p>
      <w:pPr>
        <w:pStyle w:val="57"/>
        <w:tabs>
          <w:tab w:val="left" w:pos="3599"/>
        </w:tabs>
        <w:spacing w:line="560" w:lineRule="exact"/>
        <w:ind w:firstLineChars="200" w:firstLine="640"/>
        <w:jc w:val="both"/>
        <w:rPr>
          <w:sz w:val="28"/>
          <w:szCs w:val="28"/>
        </w:rPr>
      </w:pPr>
      <w:r>
        <w:rPr>
          <w:rFonts w:ascii="方正黑体_GBK" w:eastAsia="方正黑体_GBK" w:cs="Times New Roman" w:hint="eastAsia"/>
          <w:sz w:val="32"/>
          <w:szCs w:val="32"/>
          <w:lang w:val="en-US" w:eastAsia="en-US" w:bidi="ar-SA"/>
        </w:rPr>
        <w:t>十一、关于202</w:t>
      </w:r>
      <w:r>
        <w:rPr>
          <w:rFonts w:ascii="方正黑体_GBK" w:eastAsia="方正黑体_GBK" w:cs="Times New Roman"/>
          <w:sz w:val="32"/>
          <w:szCs w:val="32"/>
          <w:lang w:val="en-US" w:eastAsia="en-US" w:bidi="ar-SA"/>
        </w:rPr>
        <w:t>5</w:t>
      </w:r>
      <w:r>
        <w:rPr>
          <w:rFonts w:ascii="方正黑体_GBK" w:eastAsia="方正黑体_GBK" w:cs="Times New Roman" w:hint="eastAsia"/>
          <w:sz w:val="32"/>
          <w:szCs w:val="32"/>
          <w:lang w:val="en-US" w:eastAsia="en-US" w:bidi="ar-SA"/>
        </w:rPr>
        <w:t>年度绩效评价情况的说明</w:t>
      </w:r>
    </w:p>
    <w:p>
      <w:pPr>
        <w:pStyle w:val="58"/>
        <w:widowControl/>
        <w:adjustRightInd w:val="0"/>
        <w:snapToGrid w:val="0"/>
        <w:spacing w:line="560" w:lineRule="exact"/>
        <w:ind w:firstLineChars="200" w:firstLine="640"/>
        <w:rPr>
          <w:rFonts w:ascii="Times New Roman" w:eastAsia="方正仿宋_GBK" w:cs="方正仿宋_GBK" w:hAnsi="Times New Roman"/>
          <w:sz w:val="32"/>
          <w:szCs w:val="28"/>
          <w:lang w:bidi="ar-SA"/>
        </w:rPr>
      </w:pPr>
      <w:r>
        <w:rPr>
          <w:rFonts w:ascii="方正楷体_GBK" w:eastAsia="方正楷体_GBK" w:hint="eastAsia"/>
          <w:b/>
          <w:bCs/>
          <w:sz w:val="32"/>
          <w:szCs w:val="32"/>
        </w:rPr>
        <w:t>（一）绩效评价工作开展情况。</w:t>
      </w:r>
    </w:p>
    <w:p>
      <w:pPr>
        <w:pStyle w:val="38"/>
        <w:tabs>
          <w:tab w:val="left" w:pos="2100"/>
        </w:tabs>
        <w:autoSpaceDN w:val="0"/>
        <w:snapToGrid w:val="0"/>
        <w:spacing w:line="560" w:lineRule="exact"/>
        <w:ind w:firstLineChars="200" w:firstLine="640"/>
        <w:rPr>
          <w:rStyle w:val="59"/>
          <w:rFonts w:eastAsia="方正仿宋_GBK"/>
          <w:sz w:val="32"/>
          <w:szCs w:val="32"/>
        </w:rPr>
      </w:pPr>
      <w:bookmarkEnd w:id="16"/>
      <w:r>
        <w:rPr>
          <w:rStyle w:val="59"/>
          <w:rFonts w:eastAsia="方正仿宋_GBK"/>
          <w:sz w:val="32"/>
          <w:szCs w:val="32"/>
        </w:rPr>
        <w:t>2025年，呼和浩特</w:t>
      </w:r>
      <w:r>
        <w:rPr>
          <w:rFonts w:eastAsia="方正仿宋_GBK" w:hint="eastAsia"/>
          <w:bCs/>
          <w:color w:val="000000"/>
          <w:sz w:val="32"/>
        </w:rPr>
        <w:t>国际旅行卫生保健中心</w:t>
      </w:r>
      <w:r>
        <w:rPr>
          <w:rStyle w:val="59"/>
          <w:rFonts w:eastAsia="方正仿宋_GBK"/>
          <w:sz w:val="32"/>
          <w:szCs w:val="32"/>
        </w:rPr>
        <w:t>严格落实预算绩效管理考核指标要求，进一步完善预算绩效管理机制，压紧压实主体责任，创新绩效评价方法，推动预算绩效管理工作取得实效，切实达到提升管理水平、防范风险隐患、优化资源配置、节约行政成本的预算绩效管理目标。</w:t>
      </w:r>
    </w:p>
    <w:p>
      <w:pPr>
        <w:pStyle w:val="38"/>
        <w:tabs>
          <w:tab w:val="left" w:pos="2100"/>
        </w:tabs>
        <w:autoSpaceDN w:val="0"/>
        <w:snapToGrid w:val="0"/>
        <w:spacing w:line="560" w:lineRule="exact"/>
        <w:ind w:firstLineChars="200" w:firstLine="640"/>
        <w:rPr>
          <w:rFonts w:eastAsia="方正仿宋_GBK"/>
          <w:kern w:val="0"/>
          <w:sz w:val="32"/>
          <w:szCs w:val="32"/>
        </w:rPr>
      </w:pPr>
      <w:r>
        <w:rPr>
          <w:rFonts w:eastAsia="方正仿宋_GBK"/>
          <w:kern w:val="0"/>
          <w:sz w:val="32"/>
          <w:szCs w:val="32"/>
        </w:rPr>
        <w:t>2025年</w:t>
      </w:r>
      <w:r>
        <w:rPr>
          <w:rFonts w:eastAsia="方正仿宋_GBK" w:hint="eastAsia"/>
          <w:kern w:val="0"/>
          <w:sz w:val="32"/>
          <w:szCs w:val="32"/>
        </w:rPr>
        <w:t>保健中心</w:t>
      </w:r>
      <w:r>
        <w:rPr>
          <w:rFonts w:eastAsia="方正仿宋_GBK"/>
          <w:kern w:val="0"/>
          <w:sz w:val="32"/>
          <w:szCs w:val="32"/>
        </w:rPr>
        <w:t>项目支出绩效自评共涵盖纳入部门预算管理的7个二级项目，包括一般公共预算财政拨款项目5个、政府性基金预算项目2个。</w:t>
      </w:r>
    </w:p>
    <w:p>
      <w:pPr>
        <w:pStyle w:val="60"/>
        <w:adjustRightInd w:val="0"/>
        <w:snapToGrid w:val="0"/>
        <w:spacing w:line="560" w:lineRule="exact"/>
        <w:ind w:firstLineChars="200" w:firstLine="640"/>
        <w:jc w:val="both"/>
        <w:rPr>
          <w:rFonts w:ascii="Times New Roman" w:eastAsia="方正仿宋_GBK" w:hAnsi="Times New Roman" w:hint="eastAsia"/>
          <w:bCs/>
          <w:kern w:val="0"/>
          <w:sz w:val="32"/>
          <w:szCs w:val="32"/>
        </w:rPr>
      </w:pPr>
      <w:r>
        <w:rPr>
          <w:rFonts w:ascii="Times New Roman" w:eastAsia="方正仿宋_GBK" w:hAnsi="Times New Roman"/>
          <w:kern w:val="0"/>
          <w:sz w:val="32"/>
          <w:szCs w:val="32"/>
        </w:rPr>
        <w:t>保健中心绩效自评总分为100分的项目有4个，占总项目的36.81%；总分在80分（含80分）至90分之间的项目有1个，占总项目的3.72%；总分在60（含60分）至80分之间的项目有2个，占总项目的59.47%；。</w:t>
      </w:r>
    </w:p>
    <w:p>
      <w:pPr>
        <w:pStyle w:val="61"/>
        <w:tabs>
          <w:tab w:val="left" w:pos="7519"/>
        </w:tabs>
        <w:spacing w:line="560" w:lineRule="exact"/>
        <w:ind w:firstLineChars="200" w:firstLine="640"/>
      </w:pPr>
      <w:r>
        <w:t>呼和浩特海关将进一步提升绩效目标编制质量，做好预算绩效运行监控管理，扎实开展关区预算绩效管理评价工作，将绩效监控和绩效评价结果作为优化支出、调整预算和安排下年度预算的重要依据，落实绩效审核结果与预算安排挂钩机制。加强绩效评价结果应用及公开，持续提高关区预算绩效管理水平，发挥财政资金使用效益。</w:t>
      </w:r>
    </w:p>
    <w:p>
      <w:pPr>
        <w:pStyle w:val="38"/>
        <w:tabs>
          <w:tab w:val="left" w:pos="2100"/>
        </w:tabs>
        <w:autoSpaceDN w:val="0"/>
        <w:snapToGrid w:val="0"/>
        <w:spacing w:line="560" w:lineRule="exact"/>
        <w:ind w:firstLineChars="200" w:firstLine="640"/>
        <w:rPr>
          <w:rFonts w:ascii="方正楷体_GBK" w:eastAsia="方正楷体_GBK" w:hint="eastAsia"/>
          <w:b/>
          <w:bCs/>
          <w:kern w:val="0"/>
          <w:sz w:val="32"/>
          <w:szCs w:val="32"/>
        </w:rPr>
      </w:pPr>
    </w:p>
    <w:p>
      <w:pPr>
        <w:pStyle w:val="38"/>
        <w:tabs>
          <w:tab w:val="left" w:pos="2100"/>
        </w:tabs>
        <w:autoSpaceDN w:val="0"/>
        <w:snapToGrid w:val="0"/>
        <w:spacing w:line="560" w:lineRule="exact"/>
        <w:ind w:firstLineChars="200" w:firstLine="640"/>
        <w:rPr>
          <w:rFonts w:ascii="方正楷体_GBK" w:eastAsia="方正楷体_GBK" w:hint="eastAsia"/>
          <w:b/>
          <w:bCs/>
          <w:kern w:val="0"/>
          <w:sz w:val="32"/>
          <w:szCs w:val="32"/>
        </w:rPr>
      </w:pPr>
    </w:p>
    <w:p>
      <w:pPr>
        <w:pStyle w:val="38"/>
        <w:tabs>
          <w:tab w:val="left" w:pos="2100"/>
        </w:tabs>
        <w:autoSpaceDN w:val="0"/>
        <w:snapToGrid w:val="0"/>
        <w:spacing w:line="560" w:lineRule="exact"/>
        <w:ind w:firstLineChars="200" w:firstLine="640"/>
        <w:rPr>
          <w:rFonts w:ascii="方正楷体_GBK" w:eastAsia="方正楷体_GBK" w:hint="eastAsia"/>
          <w:b/>
          <w:bCs/>
          <w:kern w:val="0"/>
          <w:sz w:val="32"/>
          <w:szCs w:val="32"/>
        </w:rPr>
      </w:pPr>
    </w:p>
    <w:p>
      <w:pPr>
        <w:pStyle w:val="38"/>
        <w:tabs>
          <w:tab w:val="left" w:pos="2100"/>
        </w:tabs>
        <w:autoSpaceDN w:val="0"/>
        <w:snapToGrid w:val="0"/>
        <w:spacing w:line="560" w:lineRule="exact"/>
        <w:ind w:firstLineChars="200" w:firstLine="640"/>
        <w:rPr>
          <w:rFonts w:ascii="方正楷体_GBK" w:eastAsia="方正楷体_GBK"/>
          <w:b/>
          <w:bCs/>
          <w:kern w:val="0"/>
          <w:sz w:val="32"/>
          <w:szCs w:val="32"/>
        </w:rPr>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51"/>
        <w:kinsoku/>
        <w:wordWrap/>
        <w:overflowPunct/>
        <w:topLinePunct w:val="0"/>
        <w:autoSpaceDE w:val="0"/>
        <w:autoSpaceDN w:val="0"/>
      </w:pPr>
    </w:p>
    <w:p>
      <w:pPr>
        <w:pStyle w:val="38"/>
        <w:tabs>
          <w:tab w:val="left" w:pos="2100"/>
        </w:tabs>
        <w:autoSpaceDN w:val="0"/>
        <w:snapToGrid w:val="0"/>
        <w:spacing w:line="560" w:lineRule="exact"/>
        <w:ind w:firstLineChars="200" w:firstLine="640"/>
        <w:rPr>
          <w:rFonts w:ascii="方正楷体_GBK" w:eastAsia="方正楷体_GBK" w:hint="eastAsia"/>
          <w:kern w:val="0"/>
          <w:sz w:val="32"/>
          <w:szCs w:val="32"/>
        </w:rPr>
      </w:pPr>
      <w:r>
        <w:rPr>
          <w:rFonts w:ascii="方正楷体_GBK" w:eastAsia="方正楷体_GBK" w:hint="eastAsia"/>
          <w:b/>
          <w:bCs/>
          <w:kern w:val="0"/>
          <w:sz w:val="32"/>
          <w:szCs w:val="32"/>
        </w:rPr>
        <w:t>（二）部门决算中项目绩效自评结果。</w:t>
      </w:r>
    </w:p>
    <w:tbl>
      <w:tblPr>
        <w:jc w:val="left"/>
        <w:tblW w:w="8826"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79"/>
        <w:gridCol w:w="1016"/>
        <w:gridCol w:w="1020"/>
        <w:gridCol w:w="732"/>
        <w:gridCol w:w="1179"/>
        <w:gridCol w:w="907"/>
        <w:gridCol w:w="1386"/>
        <w:gridCol w:w="629"/>
        <w:gridCol w:w="723"/>
        <w:gridCol w:w="855"/>
      </w:tblGrid>
      <w:tr>
        <w:trPr>
          <w:trHeight w:val="524"/>
        </w:trPr>
        <w:tc>
          <w:tcPr>
            <w:tcW w:w="8826" w:type="dxa"/>
            <w:gridSpan w:val="10"/>
            <w:tcBorders>
              <w:top w:val="nil"/>
              <w:left w:val="nil"/>
              <w:bottom w:val="nil"/>
              <w:right w:val="nil"/>
              <w:tl2br w:val="nil"/>
              <w:tr2bl w:val="nil"/>
            </w:tcBorders>
            <w:noWrap/>
            <w:vAlign w:val="center"/>
          </w:tcPr>
          <w:p>
            <w:pPr>
              <w:jc w:val="center"/>
              <w:rPr>
                <w:rFonts w:ascii="宋体" w:eastAsia="宋体" w:cs="宋体"/>
                <w:b/>
                <w:i w:val="0"/>
                <w:sz w:val="32"/>
              </w:rPr>
            </w:pPr>
            <w:bookmarkStart w:id="17" w:name="_Toc73694396"/>
          </w:p>
          <w:p>
            <w:pPr>
              <w:jc w:val="center"/>
              <w:rPr>
                <w:rFonts w:ascii="宋体" w:eastAsia="宋体" w:cs="宋体"/>
                <w:b/>
                <w:i w:val="0"/>
                <w:sz w:val="32"/>
              </w:rPr>
            </w:pPr>
            <w:r>
              <w:rPr>
                <w:rFonts w:ascii="宋体" w:eastAsia="宋体" w:cs="宋体"/>
                <w:b/>
                <w:i w:val="0"/>
                <w:sz w:val="32"/>
              </w:rPr>
              <w:t>海关资产及专用设备运行维护费项目绩效自评表</w:t>
            </w:r>
          </w:p>
        </w:tc>
      </w:tr>
      <w:tr>
        <w:trPr>
          <w:trHeight w:val="314"/>
        </w:trPr>
        <w:tc>
          <w:tcPr>
            <w:tcW w:w="8826" w:type="dxa"/>
            <w:gridSpan w:val="10"/>
            <w:tcBorders>
              <w:top w:val="nil"/>
              <w:left w:val="nil"/>
              <w:bottom w:val="nil"/>
              <w:right w:val="nil"/>
              <w:tl2br w:val="nil"/>
              <w:tr2bl w:val="nil"/>
            </w:tcBorders>
            <w:noWrap/>
            <w:vAlign w:val="center"/>
          </w:tcPr>
          <w:p>
            <w:pPr>
              <w:jc w:val="center"/>
              <w:rPr>
                <w:rFonts w:ascii="宋体" w:eastAsia="宋体" w:cs="宋体"/>
                <w:sz w:val="22"/>
              </w:rPr>
            </w:pPr>
            <w:r>
              <w:rPr>
                <w:rFonts w:ascii="宋体" w:eastAsia="宋体" w:cs="宋体"/>
                <w:sz w:val="22"/>
              </w:rPr>
              <w:t>（2025年度）</w:t>
            </w:r>
          </w:p>
        </w:tc>
      </w:tr>
      <w:tr>
        <w:trPr>
          <w:trHeight w:val="314"/>
        </w:trPr>
        <w:tc>
          <w:tcPr>
            <w:tcW w:w="141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项目名称</w:t>
            </w:r>
          </w:p>
        </w:tc>
        <w:tc>
          <w:tcPr>
            <w:tcW w:w="7416" w:type="dxa"/>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海关资产及专用设备运行维护费</w:t>
            </w:r>
          </w:p>
        </w:tc>
      </w:tr>
      <w:tr>
        <w:trPr>
          <w:trHeight w:val="659"/>
        </w:trPr>
        <w:tc>
          <w:tcPr>
            <w:tcW w:w="141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主管部门</w:t>
            </w:r>
          </w:p>
        </w:tc>
        <w:tc>
          <w:tcPr>
            <w:tcW w:w="2931"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[167] 海关总署</w:t>
            </w:r>
          </w:p>
        </w:tc>
        <w:tc>
          <w:tcPr>
            <w:tcW w:w="90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实施单位</w:t>
            </w:r>
          </w:p>
        </w:tc>
        <w:tc>
          <w:tcPr>
            <w:tcW w:w="3555"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呼和浩特国际旅行卫生保健中心(呼和浩特海关口岸门诊部）</w:t>
            </w:r>
          </w:p>
        </w:tc>
      </w:tr>
      <w:tr>
        <w:trPr>
          <w:trHeight w:val="314"/>
        </w:trPr>
        <w:tc>
          <w:tcPr>
            <w:tcW w:w="1410" w:type="dxa"/>
            <w:gridSpan w:val="2"/>
            <w:vMerge w:val="restart"/>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项目资金</w:t>
            </w:r>
          </w:p>
          <w:p>
            <w:pPr>
              <w:jc w:val="center"/>
              <w:rPr>
                <w:rFonts w:ascii="宋体" w:eastAsia="宋体" w:cs="宋体"/>
                <w:sz w:val="18"/>
              </w:rPr>
            </w:pPr>
            <w:r>
              <w:rPr>
                <w:rFonts w:ascii="宋体" w:eastAsia="宋体" w:cs="宋体"/>
                <w:sz w:val="18"/>
              </w:rPr>
              <w:t>（万元）</w:t>
            </w:r>
          </w:p>
        </w:tc>
        <w:tc>
          <w:tcPr>
            <w:tcW w:w="1752"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11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年初预算数</w:t>
            </w:r>
          </w:p>
        </w:tc>
        <w:tc>
          <w:tcPr>
            <w:tcW w:w="90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全年预算数</w:t>
            </w:r>
          </w:p>
        </w:tc>
        <w:tc>
          <w:tcPr>
            <w:tcW w:w="13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全年执行数</w:t>
            </w:r>
          </w:p>
        </w:tc>
        <w:tc>
          <w:tcPr>
            <w:tcW w:w="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分值</w:t>
            </w:r>
          </w:p>
        </w:tc>
        <w:tc>
          <w:tcPr>
            <w:tcW w:w="70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执行率</w:t>
            </w:r>
          </w:p>
        </w:tc>
        <w:tc>
          <w:tcPr>
            <w:tcW w:w="8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得分</w:t>
            </w:r>
          </w:p>
        </w:tc>
      </w:tr>
      <w:tr>
        <w:trPr>
          <w:trHeight w:val="314"/>
        </w:trPr>
        <w:tc>
          <w:tcPr>
            <w:tcW w:w="1395" w:type="dxa"/>
            <w:gridSpan w:val="2"/>
            <w:vMerge/>
            <w:tcBorders>
              <w:top w:val="nil"/>
              <w:left w:val="single" w:sz="6" w:space="0" w:color="000000"/>
              <w:bottom w:val="nil"/>
              <w:right w:val="single" w:sz="6" w:space="0" w:color="000000"/>
              <w:tl2br w:val="nil"/>
              <w:tr2bl w:val="nil"/>
            </w:tcBorders>
            <w:noWrap/>
            <w:vAlign w:val="center"/>
          </w:tcPr>
          <w:p/>
        </w:tc>
        <w:tc>
          <w:tcPr>
            <w:tcW w:w="1752"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年度资金总额：</w:t>
            </w:r>
          </w:p>
        </w:tc>
        <w:tc>
          <w:tcPr>
            <w:tcW w:w="11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10.08</w:t>
            </w:r>
          </w:p>
        </w:tc>
        <w:tc>
          <w:tcPr>
            <w:tcW w:w="90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10.08</w:t>
            </w:r>
          </w:p>
        </w:tc>
        <w:tc>
          <w:tcPr>
            <w:tcW w:w="13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10.08</w:t>
            </w:r>
          </w:p>
        </w:tc>
        <w:tc>
          <w:tcPr>
            <w:tcW w:w="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c>
          <w:tcPr>
            <w:tcW w:w="70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w:t>
            </w:r>
          </w:p>
        </w:tc>
        <w:tc>
          <w:tcPr>
            <w:tcW w:w="8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r>
      <w:tr>
        <w:trPr>
          <w:trHeight w:val="314"/>
        </w:trPr>
        <w:tc>
          <w:tcPr>
            <w:tcW w:w="1395" w:type="dxa"/>
            <w:gridSpan w:val="2"/>
            <w:vMerge/>
            <w:tcBorders>
              <w:top w:val="nil"/>
              <w:left w:val="single" w:sz="6" w:space="0" w:color="000000"/>
              <w:bottom w:val="nil"/>
              <w:right w:val="single" w:sz="6" w:space="0" w:color="000000"/>
              <w:tl2br w:val="nil"/>
              <w:tr2bl w:val="nil"/>
            </w:tcBorders>
            <w:noWrap/>
            <w:vAlign w:val="center"/>
          </w:tcPr>
          <w:p/>
        </w:tc>
        <w:tc>
          <w:tcPr>
            <w:tcW w:w="1752"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其中：财政拨款</w:t>
            </w:r>
          </w:p>
        </w:tc>
        <w:tc>
          <w:tcPr>
            <w:tcW w:w="11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10.08</w:t>
            </w:r>
          </w:p>
        </w:tc>
        <w:tc>
          <w:tcPr>
            <w:tcW w:w="90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10.08</w:t>
            </w:r>
          </w:p>
        </w:tc>
        <w:tc>
          <w:tcPr>
            <w:tcW w:w="13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10.08</w:t>
            </w:r>
          </w:p>
        </w:tc>
        <w:tc>
          <w:tcPr>
            <w:tcW w:w="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70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8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14"/>
        </w:trPr>
        <w:tc>
          <w:tcPr>
            <w:tcW w:w="1395" w:type="dxa"/>
            <w:gridSpan w:val="2"/>
            <w:vMerge/>
            <w:tcBorders>
              <w:top w:val="nil"/>
              <w:left w:val="single" w:sz="6" w:space="0" w:color="000000"/>
              <w:bottom w:val="nil"/>
              <w:right w:val="single" w:sz="6" w:space="0" w:color="000000"/>
              <w:tl2br w:val="nil"/>
              <w:tr2bl w:val="nil"/>
            </w:tcBorders>
            <w:noWrap/>
            <w:vAlign w:val="center"/>
          </w:tcPr>
          <w:p/>
        </w:tc>
        <w:tc>
          <w:tcPr>
            <w:tcW w:w="1752" w:type="dxa"/>
            <w:gridSpan w:val="2"/>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 xml:space="preserve"> 上年结转</w:t>
            </w:r>
          </w:p>
        </w:tc>
        <w:tc>
          <w:tcPr>
            <w:tcW w:w="11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90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13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70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8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14"/>
        </w:trPr>
        <w:tc>
          <w:tcPr>
            <w:tcW w:w="1395" w:type="dxa"/>
            <w:gridSpan w:val="2"/>
            <w:vMerge/>
            <w:tcBorders>
              <w:top w:val="nil"/>
              <w:left w:val="single" w:sz="6" w:space="0" w:color="000000"/>
              <w:bottom w:val="single" w:sz="6" w:space="0" w:color="000000"/>
              <w:right w:val="single" w:sz="6" w:space="0" w:color="000000"/>
              <w:tl2br w:val="nil"/>
              <w:tr2bl w:val="nil"/>
            </w:tcBorders>
            <w:noWrap/>
            <w:vAlign w:val="center"/>
          </w:tcPr>
          <w:p/>
        </w:tc>
        <w:tc>
          <w:tcPr>
            <w:tcW w:w="1752"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 xml:space="preserve">其他资金 </w:t>
            </w:r>
          </w:p>
        </w:tc>
        <w:tc>
          <w:tcPr>
            <w:tcW w:w="117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90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13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70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8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14"/>
        </w:trPr>
        <w:tc>
          <w:tcPr>
            <w:tcW w:w="379"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w:t>
            </w:r>
          </w:p>
          <w:p>
            <w:pPr>
              <w:jc w:val="center"/>
              <w:rPr>
                <w:rFonts w:ascii="宋体" w:eastAsia="宋体" w:cs="宋体"/>
                <w:sz w:val="18"/>
              </w:rPr>
            </w:pPr>
            <w:r>
              <w:rPr>
                <w:rFonts w:ascii="宋体" w:eastAsia="宋体" w:cs="宋体"/>
                <w:sz w:val="18"/>
              </w:rPr>
              <w:t>度</w:t>
            </w:r>
          </w:p>
          <w:p>
            <w:pPr>
              <w:jc w:val="center"/>
              <w:rPr>
                <w:rFonts w:ascii="宋体" w:eastAsia="宋体" w:cs="宋体"/>
                <w:sz w:val="18"/>
              </w:rPr>
            </w:pPr>
            <w:r>
              <w:rPr>
                <w:rFonts w:ascii="宋体" w:eastAsia="宋体" w:cs="宋体"/>
                <w:sz w:val="18"/>
              </w:rPr>
              <w:t>总</w:t>
            </w:r>
          </w:p>
          <w:p>
            <w:pPr>
              <w:jc w:val="center"/>
              <w:rPr>
                <w:rFonts w:ascii="宋体" w:eastAsia="宋体" w:cs="宋体"/>
                <w:sz w:val="18"/>
              </w:rPr>
            </w:pPr>
            <w:r>
              <w:rPr>
                <w:rFonts w:ascii="宋体" w:eastAsia="宋体" w:cs="宋体"/>
                <w:sz w:val="18"/>
              </w:rPr>
              <w:t>体</w:t>
            </w:r>
          </w:p>
          <w:p>
            <w:pPr>
              <w:jc w:val="center"/>
              <w:rPr>
                <w:rFonts w:ascii="宋体" w:eastAsia="宋体" w:cs="宋体"/>
                <w:sz w:val="18"/>
              </w:rPr>
            </w:pPr>
            <w:r>
              <w:rPr>
                <w:rFonts w:ascii="宋体" w:eastAsia="宋体" w:cs="宋体"/>
                <w:sz w:val="18"/>
              </w:rPr>
              <w:t>目</w:t>
            </w:r>
          </w:p>
          <w:p>
            <w:pPr>
              <w:jc w:val="center"/>
              <w:rPr>
                <w:rFonts w:ascii="宋体" w:eastAsia="宋体" w:cs="宋体"/>
                <w:sz w:val="18"/>
              </w:rPr>
            </w:pPr>
            <w:r>
              <w:rPr>
                <w:rFonts w:ascii="宋体" w:eastAsia="宋体" w:cs="宋体"/>
                <w:sz w:val="18"/>
              </w:rPr>
              <w:t>标</w:t>
            </w:r>
          </w:p>
        </w:tc>
        <w:tc>
          <w:tcPr>
            <w:tcW w:w="4850"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预期目标</w:t>
            </w:r>
          </w:p>
        </w:tc>
        <w:tc>
          <w:tcPr>
            <w:tcW w:w="3555"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实际完成情况</w:t>
            </w:r>
          </w:p>
        </w:tc>
      </w:tr>
      <w:tr>
        <w:trPr>
          <w:trHeight w:val="1034"/>
        </w:trPr>
        <w:tc>
          <w:tcPr>
            <w:tcW w:w="379" w:type="dxa"/>
            <w:vMerge/>
            <w:tcBorders>
              <w:top w:val="single" w:sz="6" w:space="0" w:color="000000"/>
              <w:left w:val="single" w:sz="6" w:space="0" w:color="000000"/>
              <w:bottom w:val="nil"/>
              <w:right w:val="single" w:sz="6" w:space="0" w:color="000000"/>
              <w:tl2br w:val="nil"/>
              <w:tr2bl w:val="nil"/>
            </w:tcBorders>
            <w:noWrap/>
            <w:vAlign w:val="center"/>
          </w:tcPr>
          <w:p/>
        </w:tc>
        <w:tc>
          <w:tcPr>
            <w:tcW w:w="4850" w:type="dxa"/>
            <w:gridSpan w:val="5"/>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宋体"/>
                <w:sz w:val="18"/>
              </w:rPr>
            </w:pPr>
            <w:r>
              <w:rPr>
                <w:rFonts w:ascii="宋体" w:eastAsia="宋体" w:cs="宋体"/>
                <w:sz w:val="18"/>
              </w:rPr>
              <w:t>目标：通过对保健中心专用设备及业务用房的维修维护提升海关相关检测能力，解决现有检测能力不适应检测业务需求的问题。</w:t>
            </w:r>
          </w:p>
        </w:tc>
        <w:tc>
          <w:tcPr>
            <w:tcW w:w="3555" w:type="dxa"/>
            <w:gridSpan w:val="4"/>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宋体"/>
                <w:sz w:val="18"/>
              </w:rPr>
            </w:pPr>
            <w:r>
              <w:rPr>
                <w:rFonts w:ascii="宋体" w:eastAsia="宋体" w:cs="宋体"/>
                <w:sz w:val="18"/>
              </w:rPr>
              <w:t>通过该项目完成了实验室设备、设施运行维护工作，出现的问题及时处理，提升法定体检业务及入境航班传染病检测效率，解决了检测业务需求。</w:t>
            </w:r>
          </w:p>
        </w:tc>
      </w:tr>
      <w:tr>
        <w:trPr>
          <w:trHeight w:val="674"/>
        </w:trPr>
        <w:tc>
          <w:tcPr>
            <w:tcW w:w="379"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绩</w:t>
            </w:r>
          </w:p>
          <w:p>
            <w:pPr>
              <w:jc w:val="center"/>
              <w:rPr>
                <w:rFonts w:ascii="宋体" w:eastAsia="宋体" w:cs="宋体"/>
                <w:sz w:val="18"/>
              </w:rPr>
            </w:pPr>
            <w:r>
              <w:rPr>
                <w:rFonts w:ascii="宋体" w:eastAsia="宋体" w:cs="宋体"/>
                <w:sz w:val="18"/>
              </w:rPr>
              <w:t>效</w:t>
            </w:r>
          </w:p>
          <w:p>
            <w:pPr>
              <w:jc w:val="center"/>
              <w:rPr>
                <w:rFonts w:ascii="宋体" w:eastAsia="宋体" w:cs="宋体"/>
                <w:sz w:val="18"/>
              </w:rPr>
            </w:pPr>
            <w:r>
              <w:rPr>
                <w:rFonts w:ascii="宋体" w:eastAsia="宋体" w:cs="宋体"/>
                <w:sz w:val="18"/>
              </w:rPr>
              <w:t>指</w:t>
            </w:r>
          </w:p>
          <w:p>
            <w:pPr>
              <w:jc w:val="center"/>
              <w:rPr>
                <w:rFonts w:ascii="宋体" w:eastAsia="宋体" w:cs="宋体"/>
                <w:sz w:val="18"/>
              </w:rPr>
            </w:pPr>
            <w:r>
              <w:rPr>
                <w:rFonts w:ascii="宋体" w:eastAsia="宋体" w:cs="宋体"/>
                <w:sz w:val="18"/>
              </w:rPr>
              <w:t>标</w:t>
            </w:r>
          </w:p>
        </w:tc>
        <w:tc>
          <w:tcPr>
            <w:tcW w:w="1016"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一级指标</w:t>
            </w:r>
          </w:p>
        </w:tc>
        <w:tc>
          <w:tcPr>
            <w:tcW w:w="102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二级指标</w:t>
            </w:r>
          </w:p>
        </w:tc>
        <w:tc>
          <w:tcPr>
            <w:tcW w:w="191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三级指标</w:t>
            </w:r>
          </w:p>
        </w:tc>
        <w:tc>
          <w:tcPr>
            <w:tcW w:w="90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年度指标值</w:t>
            </w:r>
          </w:p>
        </w:tc>
        <w:tc>
          <w:tcPr>
            <w:tcW w:w="13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实际完成值</w:t>
            </w:r>
          </w:p>
        </w:tc>
        <w:tc>
          <w:tcPr>
            <w:tcW w:w="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分值</w:t>
            </w:r>
          </w:p>
        </w:tc>
        <w:tc>
          <w:tcPr>
            <w:tcW w:w="70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得分</w:t>
            </w:r>
          </w:p>
        </w:tc>
        <w:tc>
          <w:tcPr>
            <w:tcW w:w="855" w:type="dxa"/>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偏差原因分析及</w:t>
            </w:r>
          </w:p>
          <w:p>
            <w:pPr>
              <w:jc w:val="center"/>
              <w:rPr>
                <w:rFonts w:ascii="宋体" w:eastAsia="宋体" w:cs="宋体"/>
                <w:sz w:val="18"/>
              </w:rPr>
            </w:pPr>
            <w:r>
              <w:rPr>
                <w:rFonts w:ascii="宋体" w:eastAsia="宋体" w:cs="宋体"/>
                <w:sz w:val="18"/>
              </w:rPr>
              <w:t>改进措施</w:t>
            </w:r>
          </w:p>
        </w:tc>
      </w:tr>
      <w:tr>
        <w:trPr>
          <w:trHeight w:val="314"/>
        </w:trPr>
        <w:tc>
          <w:tcPr>
            <w:tcW w:w="379" w:type="dxa"/>
            <w:vMerge/>
            <w:tcBorders>
              <w:top w:val="nil"/>
              <w:left w:val="single" w:sz="6" w:space="0" w:color="auto"/>
              <w:bottom w:val="single" w:sz="6" w:space="0" w:color="auto"/>
              <w:right w:val="single" w:sz="6" w:space="0" w:color="auto"/>
              <w:tl2br w:val="nil"/>
              <w:tr2bl w:val="nil"/>
            </w:tcBorders>
            <w:noWrap/>
            <w:vAlign w:val="center"/>
          </w:tcPr>
          <w:p/>
        </w:tc>
        <w:tc>
          <w:tcPr>
            <w:tcW w:w="1016" w:type="dxa"/>
            <w:vMerge w:val="restart"/>
            <w:tcBorders>
              <w:top w:val="single" w:sz="6" w:space="0" w:color="auto"/>
              <w:left w:val="nil"/>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产出指标</w:t>
            </w:r>
          </w:p>
        </w:tc>
        <w:tc>
          <w:tcPr>
            <w:tcW w:w="102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数量指标</w:t>
            </w:r>
          </w:p>
        </w:tc>
        <w:tc>
          <w:tcPr>
            <w:tcW w:w="1910"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运维专用设备数量</w:t>
            </w:r>
          </w:p>
        </w:tc>
        <w:tc>
          <w:tcPr>
            <w:tcW w:w="90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≥3台/套</w:t>
            </w:r>
          </w:p>
        </w:tc>
        <w:tc>
          <w:tcPr>
            <w:tcW w:w="13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3.00台/套</w:t>
            </w:r>
          </w:p>
        </w:tc>
        <w:tc>
          <w:tcPr>
            <w:tcW w:w="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15</w:t>
            </w:r>
          </w:p>
        </w:tc>
        <w:tc>
          <w:tcPr>
            <w:tcW w:w="706"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15.0</w:t>
            </w:r>
          </w:p>
        </w:tc>
        <w:tc>
          <w:tcPr>
            <w:tcW w:w="8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14"/>
        </w:trPr>
        <w:tc>
          <w:tcPr>
            <w:tcW w:w="379" w:type="dxa"/>
            <w:vMerge/>
            <w:tcBorders>
              <w:top w:val="nil"/>
              <w:left w:val="single" w:sz="6" w:space="0" w:color="auto"/>
              <w:bottom w:val="single" w:sz="6" w:space="0" w:color="auto"/>
              <w:right w:val="single" w:sz="6" w:space="0" w:color="auto"/>
              <w:tl2br w:val="nil"/>
              <w:tr2bl w:val="nil"/>
            </w:tcBorders>
            <w:noWrap/>
            <w:vAlign w:val="center"/>
          </w:tcPr>
          <w:p/>
        </w:tc>
        <w:tc>
          <w:tcPr>
            <w:tcW w:w="1016" w:type="dxa"/>
            <w:vMerge/>
            <w:tcBorders>
              <w:top w:val="single" w:sz="6" w:space="0" w:color="auto"/>
              <w:left w:val="nil"/>
              <w:bottom w:val="nil"/>
              <w:right w:val="single" w:sz="6" w:space="0" w:color="auto"/>
              <w:tl2br w:val="nil"/>
              <w:tr2bl w:val="nil"/>
            </w:tcBorders>
            <w:noWrap/>
            <w:vAlign w:val="center"/>
          </w:tcPr>
          <w:p/>
        </w:tc>
        <w:tc>
          <w:tcPr>
            <w:tcW w:w="102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质量指标</w:t>
            </w:r>
          </w:p>
        </w:tc>
        <w:tc>
          <w:tcPr>
            <w:tcW w:w="1910"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专用设备正常使用率</w:t>
            </w:r>
          </w:p>
        </w:tc>
        <w:tc>
          <w:tcPr>
            <w:tcW w:w="90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≥98%</w:t>
            </w:r>
          </w:p>
        </w:tc>
        <w:tc>
          <w:tcPr>
            <w:tcW w:w="13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706"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8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14"/>
        </w:trPr>
        <w:tc>
          <w:tcPr>
            <w:tcW w:w="379" w:type="dxa"/>
            <w:vMerge/>
            <w:tcBorders>
              <w:top w:val="nil"/>
              <w:left w:val="single" w:sz="6" w:space="0" w:color="auto"/>
              <w:bottom w:val="single" w:sz="6" w:space="0" w:color="auto"/>
              <w:right w:val="single" w:sz="6" w:space="0" w:color="auto"/>
              <w:tl2br w:val="nil"/>
              <w:tr2bl w:val="nil"/>
            </w:tcBorders>
            <w:noWrap/>
            <w:vAlign w:val="center"/>
          </w:tcPr>
          <w:p/>
        </w:tc>
        <w:tc>
          <w:tcPr>
            <w:tcW w:w="1016" w:type="dxa"/>
            <w:vMerge/>
            <w:tcBorders>
              <w:top w:val="single" w:sz="6" w:space="0" w:color="auto"/>
              <w:left w:val="nil"/>
              <w:bottom w:val="nil"/>
              <w:right w:val="single" w:sz="6" w:space="0" w:color="auto"/>
              <w:tl2br w:val="nil"/>
              <w:tr2bl w:val="nil"/>
            </w:tcBorders>
            <w:noWrap/>
            <w:vAlign w:val="center"/>
          </w:tcPr>
          <w:p/>
        </w:tc>
        <w:tc>
          <w:tcPr>
            <w:tcW w:w="1020" w:type="dxa"/>
            <w:vMerge/>
            <w:tcBorders>
              <w:top w:val="single" w:sz="6" w:space="0" w:color="auto"/>
              <w:left w:val="single" w:sz="6" w:space="0" w:color="auto"/>
              <w:bottom w:val="nil"/>
              <w:right w:val="single" w:sz="6" w:space="0" w:color="auto"/>
              <w:tl2br w:val="nil"/>
              <w:tr2bl w:val="nil"/>
            </w:tcBorders>
            <w:noWrap/>
            <w:vAlign w:val="center"/>
          </w:tcPr>
          <w:p/>
        </w:tc>
        <w:tc>
          <w:tcPr>
            <w:tcW w:w="1910"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维修合格率</w:t>
            </w:r>
          </w:p>
        </w:tc>
        <w:tc>
          <w:tcPr>
            <w:tcW w:w="90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≥95%</w:t>
            </w:r>
          </w:p>
        </w:tc>
        <w:tc>
          <w:tcPr>
            <w:tcW w:w="13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706"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8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14"/>
        </w:trPr>
        <w:tc>
          <w:tcPr>
            <w:tcW w:w="379" w:type="dxa"/>
            <w:vMerge/>
            <w:tcBorders>
              <w:top w:val="nil"/>
              <w:left w:val="single" w:sz="6" w:space="0" w:color="auto"/>
              <w:bottom w:val="single" w:sz="6" w:space="0" w:color="auto"/>
              <w:right w:val="single" w:sz="6" w:space="0" w:color="auto"/>
              <w:tl2br w:val="nil"/>
              <w:tr2bl w:val="nil"/>
            </w:tcBorders>
            <w:noWrap/>
            <w:vAlign w:val="center"/>
          </w:tcPr>
          <w:p/>
        </w:tc>
        <w:tc>
          <w:tcPr>
            <w:tcW w:w="1016" w:type="dxa"/>
            <w:vMerge/>
            <w:tcBorders>
              <w:top w:val="single" w:sz="6" w:space="0" w:color="auto"/>
              <w:left w:val="nil"/>
              <w:bottom w:val="nil"/>
              <w:right w:val="single" w:sz="6" w:space="0" w:color="auto"/>
              <w:tl2br w:val="nil"/>
              <w:tr2bl w:val="nil"/>
            </w:tcBorders>
            <w:noWrap/>
            <w:vAlign w:val="center"/>
          </w:tcPr>
          <w:p/>
        </w:tc>
        <w:tc>
          <w:tcPr>
            <w:tcW w:w="102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时效指标</w:t>
            </w:r>
          </w:p>
        </w:tc>
        <w:tc>
          <w:tcPr>
            <w:tcW w:w="1910"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仪器设备验收及时率</w:t>
            </w:r>
          </w:p>
        </w:tc>
        <w:tc>
          <w:tcPr>
            <w:tcW w:w="90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≥98%</w:t>
            </w:r>
          </w:p>
        </w:tc>
        <w:tc>
          <w:tcPr>
            <w:tcW w:w="13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15</w:t>
            </w:r>
          </w:p>
        </w:tc>
        <w:tc>
          <w:tcPr>
            <w:tcW w:w="706"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15.0</w:t>
            </w:r>
          </w:p>
        </w:tc>
        <w:tc>
          <w:tcPr>
            <w:tcW w:w="8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14"/>
        </w:trPr>
        <w:tc>
          <w:tcPr>
            <w:tcW w:w="379" w:type="dxa"/>
            <w:vMerge/>
            <w:tcBorders>
              <w:top w:val="nil"/>
              <w:left w:val="single" w:sz="6" w:space="0" w:color="auto"/>
              <w:bottom w:val="single" w:sz="6" w:space="0" w:color="auto"/>
              <w:right w:val="single" w:sz="6" w:space="0" w:color="auto"/>
              <w:tl2br w:val="nil"/>
              <w:tr2bl w:val="nil"/>
            </w:tcBorders>
            <w:noWrap/>
            <w:vAlign w:val="center"/>
          </w:tcPr>
          <w:p/>
        </w:tc>
        <w:tc>
          <w:tcPr>
            <w:tcW w:w="1016" w:type="dxa"/>
            <w:vMerge w:val="restart"/>
            <w:tcBorders>
              <w:top w:val="single" w:sz="6" w:space="0" w:color="auto"/>
              <w:left w:val="nil"/>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效益指标</w:t>
            </w:r>
          </w:p>
        </w:tc>
        <w:tc>
          <w:tcPr>
            <w:tcW w:w="102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社会效益指标</w:t>
            </w:r>
          </w:p>
        </w:tc>
        <w:tc>
          <w:tcPr>
            <w:tcW w:w="1910"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检测结果社会认可率</w:t>
            </w:r>
          </w:p>
        </w:tc>
        <w:tc>
          <w:tcPr>
            <w:tcW w:w="90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≥98%</w:t>
            </w:r>
          </w:p>
        </w:tc>
        <w:tc>
          <w:tcPr>
            <w:tcW w:w="13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706"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8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14"/>
        </w:trPr>
        <w:tc>
          <w:tcPr>
            <w:tcW w:w="379" w:type="dxa"/>
            <w:vMerge/>
            <w:tcBorders>
              <w:top w:val="nil"/>
              <w:left w:val="single" w:sz="6" w:space="0" w:color="auto"/>
              <w:bottom w:val="single" w:sz="6" w:space="0" w:color="auto"/>
              <w:right w:val="single" w:sz="6" w:space="0" w:color="auto"/>
              <w:tl2br w:val="nil"/>
              <w:tr2bl w:val="nil"/>
            </w:tcBorders>
            <w:noWrap/>
            <w:vAlign w:val="center"/>
          </w:tcPr>
          <w:p/>
        </w:tc>
        <w:tc>
          <w:tcPr>
            <w:tcW w:w="1016" w:type="dxa"/>
            <w:vMerge/>
            <w:tcBorders>
              <w:top w:val="single" w:sz="6" w:space="0" w:color="auto"/>
              <w:left w:val="nil"/>
              <w:bottom w:val="nil"/>
              <w:right w:val="single" w:sz="6" w:space="0" w:color="auto"/>
              <w:tl2br w:val="nil"/>
              <w:tr2bl w:val="nil"/>
            </w:tcBorders>
            <w:noWrap/>
            <w:vAlign w:val="center"/>
          </w:tcPr>
          <w:p/>
        </w:tc>
        <w:tc>
          <w:tcPr>
            <w:tcW w:w="1020" w:type="dxa"/>
            <w:vMerge/>
            <w:tcBorders>
              <w:top w:val="single" w:sz="6" w:space="0" w:color="auto"/>
              <w:left w:val="single" w:sz="6" w:space="0" w:color="auto"/>
              <w:bottom w:val="nil"/>
              <w:right w:val="single" w:sz="6" w:space="0" w:color="auto"/>
              <w:tl2br w:val="nil"/>
              <w:tr2bl w:val="nil"/>
            </w:tcBorders>
            <w:noWrap/>
            <w:vAlign w:val="center"/>
          </w:tcPr>
          <w:p/>
        </w:tc>
        <w:tc>
          <w:tcPr>
            <w:tcW w:w="1910"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设备有效利用率</w:t>
            </w:r>
          </w:p>
        </w:tc>
        <w:tc>
          <w:tcPr>
            <w:tcW w:w="90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≥90%</w:t>
            </w:r>
          </w:p>
        </w:tc>
        <w:tc>
          <w:tcPr>
            <w:tcW w:w="13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706"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8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14"/>
        </w:trPr>
        <w:tc>
          <w:tcPr>
            <w:tcW w:w="379" w:type="dxa"/>
            <w:vMerge/>
            <w:tcBorders>
              <w:top w:val="nil"/>
              <w:left w:val="single" w:sz="6" w:space="0" w:color="auto"/>
              <w:bottom w:val="single" w:sz="6" w:space="0" w:color="auto"/>
              <w:right w:val="single" w:sz="6" w:space="0" w:color="auto"/>
              <w:tl2br w:val="nil"/>
              <w:tr2bl w:val="nil"/>
            </w:tcBorders>
            <w:noWrap/>
            <w:vAlign w:val="center"/>
          </w:tcPr>
          <w:p/>
        </w:tc>
        <w:tc>
          <w:tcPr>
            <w:tcW w:w="1016" w:type="dxa"/>
            <w:vMerge/>
            <w:tcBorders>
              <w:top w:val="single" w:sz="6" w:space="0" w:color="auto"/>
              <w:left w:val="nil"/>
              <w:bottom w:val="nil"/>
              <w:right w:val="single" w:sz="6" w:space="0" w:color="auto"/>
              <w:tl2br w:val="nil"/>
              <w:tr2bl w:val="nil"/>
            </w:tcBorders>
            <w:noWrap/>
            <w:vAlign w:val="center"/>
          </w:tcPr>
          <w:p/>
        </w:tc>
        <w:tc>
          <w:tcPr>
            <w:tcW w:w="1020" w:type="dxa"/>
            <w:vMerge/>
            <w:tcBorders>
              <w:top w:val="single" w:sz="6" w:space="0" w:color="auto"/>
              <w:left w:val="single" w:sz="6" w:space="0" w:color="auto"/>
              <w:bottom w:val="nil"/>
              <w:right w:val="single" w:sz="6" w:space="0" w:color="auto"/>
              <w:tl2br w:val="nil"/>
              <w:tr2bl w:val="nil"/>
            </w:tcBorders>
            <w:noWrap/>
            <w:vAlign w:val="center"/>
          </w:tcPr>
          <w:p/>
        </w:tc>
        <w:tc>
          <w:tcPr>
            <w:tcW w:w="1910"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安全事故发生次数</w:t>
            </w:r>
          </w:p>
        </w:tc>
        <w:tc>
          <w:tcPr>
            <w:tcW w:w="90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0次</w:t>
            </w:r>
          </w:p>
        </w:tc>
        <w:tc>
          <w:tcPr>
            <w:tcW w:w="13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0.00次</w:t>
            </w:r>
          </w:p>
        </w:tc>
        <w:tc>
          <w:tcPr>
            <w:tcW w:w="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706"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8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599"/>
        </w:trPr>
        <w:tc>
          <w:tcPr>
            <w:tcW w:w="379" w:type="dxa"/>
            <w:vMerge/>
            <w:tcBorders>
              <w:top w:val="nil"/>
              <w:left w:val="single" w:sz="6" w:space="0" w:color="auto"/>
              <w:bottom w:val="single" w:sz="6" w:space="0" w:color="auto"/>
              <w:right w:val="single" w:sz="6" w:space="0" w:color="auto"/>
              <w:tl2br w:val="nil"/>
              <w:tr2bl w:val="nil"/>
            </w:tcBorders>
            <w:noWrap/>
            <w:vAlign w:val="center"/>
          </w:tcPr>
          <w:p/>
        </w:tc>
        <w:tc>
          <w:tcPr>
            <w:tcW w:w="1016" w:type="dxa"/>
            <w:tcBorders>
              <w:top w:val="single" w:sz="6" w:space="0" w:color="auto"/>
              <w:left w:val="nil"/>
              <w:bottom w:val="nil"/>
              <w:right w:val="single" w:sz="6" w:space="0" w:color="auto"/>
              <w:tl2br w:val="nil"/>
              <w:tr2bl w:val="nil"/>
            </w:tcBorders>
            <w:noWrap/>
            <w:vAlign w:val="center"/>
          </w:tcPr>
          <w:p>
            <w:pPr>
              <w:jc w:val="center"/>
              <w:rPr>
                <w:rFonts w:ascii="宋体" w:eastAsia="宋体"/>
                <w:sz w:val="18"/>
              </w:rPr>
            </w:pPr>
            <w:r>
              <w:rPr>
                <w:rFonts w:ascii="宋体" w:eastAsia="宋体"/>
                <w:sz w:val="18"/>
              </w:rPr>
              <w:t>满意度指标</w:t>
            </w:r>
          </w:p>
        </w:tc>
        <w:tc>
          <w:tcPr>
            <w:tcW w:w="102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服务对象</w:t>
            </w:r>
          </w:p>
          <w:p>
            <w:pPr>
              <w:jc w:val="center"/>
              <w:rPr>
                <w:rFonts w:ascii="宋体" w:eastAsia="宋体" w:cs="宋体"/>
                <w:sz w:val="18"/>
              </w:rPr>
            </w:pPr>
            <w:r>
              <w:rPr>
                <w:rFonts w:ascii="宋体" w:eastAsia="宋体" w:cs="宋体"/>
                <w:sz w:val="18"/>
              </w:rPr>
              <w:t>满意度指标</w:t>
            </w:r>
          </w:p>
        </w:tc>
        <w:tc>
          <w:tcPr>
            <w:tcW w:w="1910"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中心工作人员对维修服务满意度</w:t>
            </w:r>
          </w:p>
        </w:tc>
        <w:tc>
          <w:tcPr>
            <w:tcW w:w="90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≥90%</w:t>
            </w:r>
          </w:p>
        </w:tc>
        <w:tc>
          <w:tcPr>
            <w:tcW w:w="138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706"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8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14"/>
        </w:trPr>
        <w:tc>
          <w:tcPr>
            <w:tcW w:w="6635" w:type="dxa"/>
            <w:gridSpan w:val="7"/>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总分</w:t>
            </w:r>
          </w:p>
        </w:tc>
        <w:tc>
          <w:tcPr>
            <w:tcW w:w="629"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c>
          <w:tcPr>
            <w:tcW w:w="70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w:t>
            </w:r>
          </w:p>
        </w:tc>
        <w:tc>
          <w:tcPr>
            <w:tcW w:w="855" w:type="dxa"/>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r>
    </w:tbl>
    <w:p>
      <w:pPr>
        <w:pStyle w:val="1"/>
        <w:rPr>
          <w:rFonts w:ascii="方正黑体_GBK" w:eastAsia="方正黑体_GBK"/>
          <w:b w:val="0"/>
          <w:bCs w:val="0"/>
          <w:kern w:val="0"/>
          <w:sz w:val="30"/>
          <w:szCs w:val="30"/>
        </w:rPr>
      </w:pPr>
    </w:p>
    <w:p/>
    <w:p/>
    <w:p/>
    <w:p/>
    <w:p/>
    <w:tbl>
      <w:tblPr>
        <w:jc w:val="left"/>
        <w:tblW w:w="882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53"/>
        <w:gridCol w:w="827"/>
        <w:gridCol w:w="1033"/>
        <w:gridCol w:w="1021"/>
        <w:gridCol w:w="561"/>
        <w:gridCol w:w="1048"/>
        <w:gridCol w:w="947"/>
        <w:gridCol w:w="944"/>
        <w:gridCol w:w="945"/>
        <w:gridCol w:w="946"/>
      </w:tblGrid>
      <w:tr>
        <w:trPr>
          <w:trHeight w:val="419"/>
        </w:trPr>
        <w:tc>
          <w:tcPr>
            <w:tcW w:w="8825" w:type="dxa"/>
            <w:gridSpan w:val="10"/>
            <w:tcBorders>
              <w:top w:val="nil"/>
              <w:left w:val="nil"/>
              <w:bottom w:val="nil"/>
              <w:right w:val="nil"/>
              <w:tl2br w:val="nil"/>
              <w:tr2bl w:val="nil"/>
            </w:tcBorders>
            <w:noWrap/>
            <w:vAlign w:val="center"/>
          </w:tcPr>
          <w:p>
            <w:pPr>
              <w:jc w:val="center"/>
              <w:rPr>
                <w:rFonts w:ascii="宋体" w:eastAsia="宋体" w:cs="宋体"/>
                <w:b/>
                <w:i w:val="0"/>
                <w:sz w:val="32"/>
              </w:rPr>
            </w:pPr>
            <w:r>
              <w:rPr>
                <w:rFonts w:ascii="宋体" w:eastAsia="宋体" w:cs="宋体"/>
                <w:b/>
                <w:i w:val="0"/>
                <w:sz w:val="32"/>
              </w:rPr>
              <w:t>海关仪器设备购置及能力保障专项项目绩效自评表</w:t>
            </w:r>
          </w:p>
        </w:tc>
      </w:tr>
      <w:tr>
        <w:trPr>
          <w:trHeight w:val="284"/>
        </w:trPr>
        <w:tc>
          <w:tcPr>
            <w:tcW w:w="8825" w:type="dxa"/>
            <w:gridSpan w:val="10"/>
            <w:tcBorders>
              <w:top w:val="nil"/>
              <w:left w:val="nil"/>
              <w:bottom w:val="nil"/>
              <w:right w:val="nil"/>
              <w:tl2br w:val="nil"/>
              <w:tr2bl w:val="nil"/>
            </w:tcBorders>
            <w:noWrap/>
            <w:vAlign w:val="center"/>
          </w:tcPr>
          <w:p>
            <w:pPr>
              <w:jc w:val="center"/>
              <w:rPr>
                <w:rFonts w:ascii="宋体" w:eastAsia="宋体" w:cs="宋体"/>
                <w:sz w:val="22"/>
              </w:rPr>
            </w:pPr>
            <w:r>
              <w:rPr>
                <w:rFonts w:ascii="宋体" w:eastAsia="宋体" w:cs="宋体"/>
                <w:sz w:val="22"/>
              </w:rPr>
              <w:t>（2025年度）</w:t>
            </w:r>
          </w:p>
        </w:tc>
      </w:tr>
      <w:tr>
        <w:trPr>
          <w:trHeight w:val="374"/>
        </w:trPr>
        <w:tc>
          <w:tcPr>
            <w:tcW w:w="138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项目名称</w:t>
            </w:r>
          </w:p>
        </w:tc>
        <w:tc>
          <w:tcPr>
            <w:tcW w:w="7445" w:type="dxa"/>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海关仪器设备购置及能力保障专项</w:t>
            </w:r>
          </w:p>
        </w:tc>
      </w:tr>
      <w:tr>
        <w:trPr>
          <w:trHeight w:val="374"/>
        </w:trPr>
        <w:tc>
          <w:tcPr>
            <w:tcW w:w="138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主管部门</w:t>
            </w:r>
          </w:p>
        </w:tc>
        <w:tc>
          <w:tcPr>
            <w:tcW w:w="2615"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[167] 海关总署</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实施单位</w:t>
            </w:r>
          </w:p>
        </w:tc>
        <w:tc>
          <w:tcPr>
            <w:tcW w:w="3780"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呼和浩特国际旅行卫生保健中心(呼和浩特海关口岸门诊部）</w:t>
            </w:r>
          </w:p>
        </w:tc>
      </w:tr>
      <w:tr>
        <w:trPr>
          <w:trHeight w:val="374"/>
        </w:trPr>
        <w:tc>
          <w:tcPr>
            <w:tcW w:w="1380" w:type="dxa"/>
            <w:gridSpan w:val="2"/>
            <w:vMerge w:val="restart"/>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项目资金</w:t>
            </w:r>
          </w:p>
          <w:p>
            <w:pPr>
              <w:jc w:val="center"/>
              <w:rPr>
                <w:rFonts w:ascii="宋体" w:eastAsia="宋体" w:cs="宋体"/>
                <w:sz w:val="18"/>
              </w:rPr>
            </w:pPr>
            <w:r>
              <w:rPr>
                <w:rFonts w:ascii="宋体" w:eastAsia="宋体" w:cs="宋体"/>
                <w:sz w:val="18"/>
              </w:rPr>
              <w:t>（万元）</w:t>
            </w:r>
          </w:p>
        </w:tc>
        <w:tc>
          <w:tcPr>
            <w:tcW w:w="205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56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年初预算数</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全年预算数</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全年执行数</w:t>
            </w: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分值</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执行率</w:t>
            </w: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得分</w:t>
            </w:r>
          </w:p>
        </w:tc>
      </w:tr>
      <w:tr>
        <w:trPr>
          <w:trHeight w:val="374"/>
        </w:trPr>
        <w:tc>
          <w:tcPr>
            <w:tcW w:w="1380" w:type="dxa"/>
            <w:gridSpan w:val="2"/>
            <w:vMerge/>
            <w:tcBorders>
              <w:top w:val="nil"/>
              <w:left w:val="single" w:sz="6" w:space="0" w:color="000000"/>
              <w:bottom w:val="nil"/>
              <w:right w:val="single" w:sz="6" w:space="0" w:color="000000"/>
              <w:tl2br w:val="nil"/>
              <w:tr2bl w:val="nil"/>
            </w:tcBorders>
            <w:noWrap/>
            <w:vAlign w:val="center"/>
          </w:tcPr>
          <w:p/>
        </w:tc>
        <w:tc>
          <w:tcPr>
            <w:tcW w:w="205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年度资金总额：</w:t>
            </w:r>
          </w:p>
        </w:tc>
        <w:tc>
          <w:tcPr>
            <w:tcW w:w="56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12.00</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12.00</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12.00</w:t>
            </w: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w:t>
            </w: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r>
      <w:tr>
        <w:trPr>
          <w:trHeight w:val="374"/>
        </w:trPr>
        <w:tc>
          <w:tcPr>
            <w:tcW w:w="1380" w:type="dxa"/>
            <w:gridSpan w:val="2"/>
            <w:vMerge/>
            <w:tcBorders>
              <w:top w:val="nil"/>
              <w:left w:val="single" w:sz="6" w:space="0" w:color="000000"/>
              <w:bottom w:val="nil"/>
              <w:right w:val="single" w:sz="6" w:space="0" w:color="000000"/>
              <w:tl2br w:val="nil"/>
              <w:tr2bl w:val="nil"/>
            </w:tcBorders>
            <w:noWrap/>
            <w:vAlign w:val="center"/>
          </w:tcPr>
          <w:p/>
        </w:tc>
        <w:tc>
          <w:tcPr>
            <w:tcW w:w="205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其中：财政拨款</w:t>
            </w:r>
          </w:p>
        </w:tc>
        <w:tc>
          <w:tcPr>
            <w:tcW w:w="56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12.00</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12.00</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12.00</w:t>
            </w: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trPr>
        <w:tc>
          <w:tcPr>
            <w:tcW w:w="1380" w:type="dxa"/>
            <w:gridSpan w:val="2"/>
            <w:vMerge/>
            <w:tcBorders>
              <w:top w:val="nil"/>
              <w:left w:val="single" w:sz="6" w:space="0" w:color="000000"/>
              <w:bottom w:val="nil"/>
              <w:right w:val="single" w:sz="6" w:space="0" w:color="000000"/>
              <w:tl2br w:val="nil"/>
              <w:tr2bl w:val="nil"/>
            </w:tcBorders>
            <w:noWrap/>
            <w:vAlign w:val="center"/>
          </w:tcPr>
          <w:p/>
        </w:tc>
        <w:tc>
          <w:tcPr>
            <w:tcW w:w="2054" w:type="dxa"/>
            <w:gridSpan w:val="2"/>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上年结转</w:t>
            </w:r>
          </w:p>
        </w:tc>
        <w:tc>
          <w:tcPr>
            <w:tcW w:w="56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trPr>
        <w:tc>
          <w:tcPr>
            <w:tcW w:w="1380" w:type="dxa"/>
            <w:gridSpan w:val="2"/>
            <w:vMerge/>
            <w:tcBorders>
              <w:top w:val="nil"/>
              <w:left w:val="single" w:sz="6" w:space="0" w:color="000000"/>
              <w:bottom w:val="single" w:sz="6" w:space="0" w:color="000000"/>
              <w:right w:val="single" w:sz="6" w:space="0" w:color="000000"/>
              <w:tl2br w:val="nil"/>
              <w:tr2bl w:val="nil"/>
            </w:tcBorders>
            <w:noWrap/>
            <w:vAlign w:val="center"/>
          </w:tcPr>
          <w:p/>
        </w:tc>
        <w:tc>
          <w:tcPr>
            <w:tcW w:w="205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 xml:space="preserve"> 其他资金 </w:t>
            </w:r>
          </w:p>
        </w:tc>
        <w:tc>
          <w:tcPr>
            <w:tcW w:w="561"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trPr>
        <w:tc>
          <w:tcPr>
            <w:tcW w:w="553"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w:t>
            </w:r>
          </w:p>
          <w:p>
            <w:pPr>
              <w:jc w:val="center"/>
              <w:rPr>
                <w:rFonts w:ascii="宋体" w:eastAsia="宋体" w:cs="宋体"/>
                <w:sz w:val="18"/>
              </w:rPr>
            </w:pPr>
            <w:r>
              <w:rPr>
                <w:rFonts w:ascii="宋体" w:eastAsia="宋体" w:cs="宋体"/>
                <w:sz w:val="18"/>
              </w:rPr>
              <w:t>度</w:t>
            </w:r>
          </w:p>
          <w:p>
            <w:pPr>
              <w:jc w:val="center"/>
              <w:rPr>
                <w:rFonts w:ascii="宋体" w:eastAsia="宋体" w:cs="宋体"/>
                <w:sz w:val="18"/>
              </w:rPr>
            </w:pPr>
            <w:r>
              <w:rPr>
                <w:rFonts w:ascii="宋体" w:eastAsia="宋体" w:cs="宋体"/>
                <w:sz w:val="18"/>
              </w:rPr>
              <w:t>总</w:t>
            </w:r>
          </w:p>
          <w:p>
            <w:pPr>
              <w:jc w:val="center"/>
              <w:rPr>
                <w:rFonts w:ascii="宋体" w:eastAsia="宋体" w:cs="宋体"/>
                <w:sz w:val="18"/>
              </w:rPr>
            </w:pPr>
            <w:r>
              <w:rPr>
                <w:rFonts w:ascii="宋体" w:eastAsia="宋体" w:cs="宋体"/>
                <w:sz w:val="18"/>
              </w:rPr>
              <w:t>体</w:t>
            </w:r>
          </w:p>
          <w:p>
            <w:pPr>
              <w:jc w:val="center"/>
              <w:rPr>
                <w:rFonts w:ascii="宋体" w:eastAsia="宋体" w:cs="宋体"/>
                <w:sz w:val="18"/>
              </w:rPr>
            </w:pPr>
            <w:r>
              <w:rPr>
                <w:rFonts w:ascii="宋体" w:eastAsia="宋体" w:cs="宋体"/>
                <w:sz w:val="18"/>
              </w:rPr>
              <w:t>目</w:t>
            </w:r>
          </w:p>
          <w:p>
            <w:pPr>
              <w:jc w:val="center"/>
              <w:rPr>
                <w:rFonts w:ascii="宋体" w:eastAsia="宋体" w:cs="宋体"/>
                <w:sz w:val="18"/>
              </w:rPr>
            </w:pPr>
            <w:r>
              <w:rPr>
                <w:rFonts w:ascii="宋体" w:eastAsia="宋体" w:cs="宋体"/>
                <w:sz w:val="18"/>
              </w:rPr>
              <w:t>标</w:t>
            </w:r>
          </w:p>
        </w:tc>
        <w:tc>
          <w:tcPr>
            <w:tcW w:w="4490"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预期目标</w:t>
            </w:r>
          </w:p>
        </w:tc>
        <w:tc>
          <w:tcPr>
            <w:tcW w:w="3780"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实际完成情况</w:t>
            </w:r>
          </w:p>
        </w:tc>
      </w:tr>
      <w:tr>
        <w:trPr>
          <w:trHeight w:val="1424"/>
        </w:trPr>
        <w:tc>
          <w:tcPr>
            <w:tcW w:w="553" w:type="dxa"/>
            <w:vMerge/>
            <w:tcBorders>
              <w:top w:val="single" w:sz="6" w:space="0" w:color="000000"/>
              <w:left w:val="single" w:sz="6" w:space="0" w:color="000000"/>
              <w:bottom w:val="nil"/>
              <w:right w:val="single" w:sz="6" w:space="0" w:color="000000"/>
              <w:tl2br w:val="nil"/>
              <w:tr2bl w:val="nil"/>
            </w:tcBorders>
            <w:noWrap/>
            <w:vAlign w:val="center"/>
          </w:tcPr>
          <w:p/>
        </w:tc>
        <w:tc>
          <w:tcPr>
            <w:tcW w:w="4490" w:type="dxa"/>
            <w:gridSpan w:val="5"/>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宋体"/>
                <w:sz w:val="18"/>
              </w:rPr>
            </w:pPr>
            <w:r>
              <w:rPr>
                <w:rFonts w:ascii="宋体" w:eastAsia="宋体" w:cs="宋体"/>
                <w:sz w:val="18"/>
              </w:rPr>
              <w:t>通过维修出入境人员体检设备，提升海关相关检测效率。</w:t>
            </w:r>
          </w:p>
        </w:tc>
        <w:tc>
          <w:tcPr>
            <w:tcW w:w="3780" w:type="dxa"/>
            <w:gridSpan w:val="4"/>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宋体"/>
                <w:sz w:val="18"/>
              </w:rPr>
            </w:pPr>
            <w:r>
              <w:rPr>
                <w:rFonts w:ascii="宋体" w:eastAsia="宋体" w:cs="宋体"/>
                <w:sz w:val="18"/>
              </w:rPr>
              <w:t>全年共完成维修设备95台，完成率达到100%。通过维修后，体检设备平均发生故障率下降，设备正常使用率稳定在95%以上，设备检测数据精准度显著提高，为传染病筛查提供了可靠支撑，全年体检人数达到34000人次，检测效率大幅度提升。</w:t>
            </w:r>
          </w:p>
        </w:tc>
      </w:tr>
      <w:tr>
        <w:trPr>
          <w:trHeight w:val="539"/>
        </w:trPr>
        <w:tc>
          <w:tcPr>
            <w:tcW w:w="553"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绩</w:t>
            </w:r>
          </w:p>
          <w:p>
            <w:pPr>
              <w:jc w:val="center"/>
              <w:rPr>
                <w:rFonts w:ascii="宋体" w:eastAsia="宋体" w:cs="宋体"/>
                <w:sz w:val="18"/>
              </w:rPr>
            </w:pPr>
            <w:r>
              <w:rPr>
                <w:rFonts w:ascii="宋体" w:eastAsia="宋体" w:cs="宋体"/>
                <w:sz w:val="18"/>
              </w:rPr>
              <w:t>效</w:t>
            </w:r>
          </w:p>
          <w:p>
            <w:pPr>
              <w:jc w:val="center"/>
              <w:rPr>
                <w:rFonts w:ascii="宋体" w:eastAsia="宋体" w:cs="宋体"/>
                <w:sz w:val="18"/>
              </w:rPr>
            </w:pPr>
            <w:r>
              <w:rPr>
                <w:rFonts w:ascii="宋体" w:eastAsia="宋体" w:cs="宋体"/>
                <w:sz w:val="18"/>
              </w:rPr>
              <w:t>指</w:t>
            </w:r>
          </w:p>
          <w:p>
            <w:pPr>
              <w:jc w:val="center"/>
              <w:rPr>
                <w:rFonts w:ascii="宋体" w:eastAsia="宋体" w:cs="宋体"/>
                <w:sz w:val="18"/>
              </w:rPr>
            </w:pPr>
            <w:r>
              <w:rPr>
                <w:rFonts w:ascii="宋体" w:eastAsia="宋体" w:cs="宋体"/>
                <w:sz w:val="18"/>
              </w:rPr>
              <w:t>标</w:t>
            </w:r>
          </w:p>
        </w:tc>
        <w:tc>
          <w:tcPr>
            <w:tcW w:w="827"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一级指标</w:t>
            </w:r>
          </w:p>
        </w:tc>
        <w:tc>
          <w:tcPr>
            <w:tcW w:w="103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二级指标</w:t>
            </w:r>
          </w:p>
        </w:tc>
        <w:tc>
          <w:tcPr>
            <w:tcW w:w="1581"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三级指标</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年度指标值</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实际完成值</w:t>
            </w: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分值</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得分</w:t>
            </w:r>
          </w:p>
        </w:tc>
        <w:tc>
          <w:tcPr>
            <w:tcW w:w="944" w:type="dxa"/>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偏差原因分析及</w:t>
            </w:r>
          </w:p>
          <w:p>
            <w:pPr>
              <w:jc w:val="center"/>
              <w:rPr>
                <w:rFonts w:ascii="宋体" w:eastAsia="宋体" w:cs="宋体"/>
                <w:sz w:val="18"/>
              </w:rPr>
            </w:pPr>
            <w:r>
              <w:rPr>
                <w:rFonts w:ascii="宋体" w:eastAsia="宋体" w:cs="宋体"/>
                <w:sz w:val="18"/>
              </w:rPr>
              <w:t>改进措施</w:t>
            </w:r>
          </w:p>
        </w:tc>
      </w:tr>
      <w:tr>
        <w:trPr>
          <w:trHeight w:val="374"/>
        </w:trPr>
        <w:tc>
          <w:tcPr>
            <w:tcW w:w="553" w:type="dxa"/>
            <w:vMerge/>
            <w:tcBorders>
              <w:top w:val="nil"/>
              <w:left w:val="single" w:sz="6" w:space="0" w:color="auto"/>
              <w:bottom w:val="single" w:sz="6" w:space="0" w:color="auto"/>
              <w:right w:val="single" w:sz="6" w:space="0" w:color="auto"/>
              <w:tl2br w:val="nil"/>
              <w:tr2bl w:val="nil"/>
            </w:tcBorders>
            <w:noWrap/>
            <w:vAlign w:val="center"/>
          </w:tcPr>
          <w:p/>
        </w:tc>
        <w:tc>
          <w:tcPr>
            <w:tcW w:w="827" w:type="dxa"/>
            <w:vMerge w:val="restart"/>
            <w:tcBorders>
              <w:top w:val="single" w:sz="6" w:space="0" w:color="auto"/>
              <w:left w:val="nil"/>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产出指标</w:t>
            </w:r>
          </w:p>
        </w:tc>
        <w:tc>
          <w:tcPr>
            <w:tcW w:w="1033"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数量指标</w:t>
            </w:r>
          </w:p>
        </w:tc>
        <w:tc>
          <w:tcPr>
            <w:tcW w:w="1581"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设备检测维修</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≥3项</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3.00项</w:t>
            </w: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15</w:t>
            </w:r>
          </w:p>
        </w:tc>
        <w:tc>
          <w:tcPr>
            <w:tcW w:w="945"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15.0</w:t>
            </w:r>
          </w:p>
        </w:tc>
        <w:tc>
          <w:tcPr>
            <w:tcW w:w="9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3" w:type="dxa"/>
            <w:vMerge/>
            <w:tcBorders>
              <w:top w:val="nil"/>
              <w:left w:val="single" w:sz="6" w:space="0" w:color="auto"/>
              <w:bottom w:val="single" w:sz="6" w:space="0" w:color="auto"/>
              <w:right w:val="single" w:sz="6" w:space="0" w:color="auto"/>
              <w:tl2br w:val="nil"/>
              <w:tr2bl w:val="nil"/>
            </w:tcBorders>
            <w:noWrap/>
            <w:vAlign w:val="center"/>
          </w:tcPr>
          <w:p/>
        </w:tc>
        <w:tc>
          <w:tcPr>
            <w:tcW w:w="827" w:type="dxa"/>
            <w:vMerge/>
            <w:tcBorders>
              <w:top w:val="single" w:sz="6" w:space="0" w:color="auto"/>
              <w:left w:val="nil"/>
              <w:bottom w:val="nil"/>
              <w:right w:val="single" w:sz="6" w:space="0" w:color="auto"/>
              <w:tl2br w:val="nil"/>
              <w:tr2bl w:val="nil"/>
            </w:tcBorders>
            <w:noWrap/>
            <w:vAlign w:val="center"/>
          </w:tcPr>
          <w:p/>
        </w:tc>
        <w:tc>
          <w:tcPr>
            <w:tcW w:w="1033"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质量指标</w:t>
            </w:r>
          </w:p>
        </w:tc>
        <w:tc>
          <w:tcPr>
            <w:tcW w:w="1581"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维修合格率</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≥98%</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15</w:t>
            </w:r>
          </w:p>
        </w:tc>
        <w:tc>
          <w:tcPr>
            <w:tcW w:w="945"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15.0</w:t>
            </w:r>
          </w:p>
        </w:tc>
        <w:tc>
          <w:tcPr>
            <w:tcW w:w="9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3" w:type="dxa"/>
            <w:vMerge/>
            <w:tcBorders>
              <w:top w:val="nil"/>
              <w:left w:val="single" w:sz="6" w:space="0" w:color="auto"/>
              <w:bottom w:val="single" w:sz="6" w:space="0" w:color="auto"/>
              <w:right w:val="single" w:sz="6" w:space="0" w:color="auto"/>
              <w:tl2br w:val="nil"/>
              <w:tr2bl w:val="nil"/>
            </w:tcBorders>
            <w:noWrap/>
            <w:vAlign w:val="center"/>
          </w:tcPr>
          <w:p/>
        </w:tc>
        <w:tc>
          <w:tcPr>
            <w:tcW w:w="827" w:type="dxa"/>
            <w:vMerge/>
            <w:tcBorders>
              <w:top w:val="single" w:sz="6" w:space="0" w:color="auto"/>
              <w:left w:val="nil"/>
              <w:bottom w:val="nil"/>
              <w:right w:val="single" w:sz="6" w:space="0" w:color="auto"/>
              <w:tl2br w:val="nil"/>
              <w:tr2bl w:val="nil"/>
            </w:tcBorders>
            <w:noWrap/>
            <w:vAlign w:val="center"/>
          </w:tcPr>
          <w:p/>
        </w:tc>
        <w:tc>
          <w:tcPr>
            <w:tcW w:w="1033" w:type="dxa"/>
            <w:vMerge/>
            <w:tcBorders>
              <w:top w:val="single" w:sz="6" w:space="0" w:color="auto"/>
              <w:left w:val="single" w:sz="6" w:space="0" w:color="auto"/>
              <w:bottom w:val="nil"/>
              <w:right w:val="single" w:sz="6" w:space="0" w:color="auto"/>
              <w:tl2br w:val="nil"/>
              <w:tr2bl w:val="nil"/>
            </w:tcBorders>
            <w:noWrap/>
            <w:vAlign w:val="center"/>
          </w:tcPr>
          <w:p/>
        </w:tc>
        <w:tc>
          <w:tcPr>
            <w:tcW w:w="1581"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设备正常使用率</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≥95%</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945"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9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3" w:type="dxa"/>
            <w:vMerge/>
            <w:tcBorders>
              <w:top w:val="nil"/>
              <w:left w:val="single" w:sz="6" w:space="0" w:color="auto"/>
              <w:bottom w:val="single" w:sz="6" w:space="0" w:color="auto"/>
              <w:right w:val="single" w:sz="6" w:space="0" w:color="auto"/>
              <w:tl2br w:val="nil"/>
              <w:tr2bl w:val="nil"/>
            </w:tcBorders>
            <w:noWrap/>
            <w:vAlign w:val="center"/>
          </w:tcPr>
          <w:p/>
        </w:tc>
        <w:tc>
          <w:tcPr>
            <w:tcW w:w="827" w:type="dxa"/>
            <w:vMerge/>
            <w:tcBorders>
              <w:top w:val="single" w:sz="6" w:space="0" w:color="auto"/>
              <w:left w:val="nil"/>
              <w:bottom w:val="nil"/>
              <w:right w:val="single" w:sz="6" w:space="0" w:color="auto"/>
              <w:tl2br w:val="nil"/>
              <w:tr2bl w:val="nil"/>
            </w:tcBorders>
            <w:noWrap/>
            <w:vAlign w:val="center"/>
          </w:tcPr>
          <w:p/>
        </w:tc>
        <w:tc>
          <w:tcPr>
            <w:tcW w:w="1033"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时效指标</w:t>
            </w:r>
          </w:p>
        </w:tc>
        <w:tc>
          <w:tcPr>
            <w:tcW w:w="1581"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设备维修及时率</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≥98%</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945"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9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3" w:type="dxa"/>
            <w:vMerge/>
            <w:tcBorders>
              <w:top w:val="nil"/>
              <w:left w:val="single" w:sz="6" w:space="0" w:color="auto"/>
              <w:bottom w:val="single" w:sz="6" w:space="0" w:color="auto"/>
              <w:right w:val="single" w:sz="6" w:space="0" w:color="auto"/>
              <w:tl2br w:val="nil"/>
              <w:tr2bl w:val="nil"/>
            </w:tcBorders>
            <w:noWrap/>
            <w:vAlign w:val="center"/>
          </w:tcPr>
          <w:p/>
        </w:tc>
        <w:tc>
          <w:tcPr>
            <w:tcW w:w="827" w:type="dxa"/>
            <w:tcBorders>
              <w:top w:val="single" w:sz="6" w:space="0" w:color="auto"/>
              <w:left w:val="nil"/>
              <w:bottom w:val="nil"/>
              <w:right w:val="single" w:sz="6" w:space="0" w:color="auto"/>
              <w:tl2br w:val="nil"/>
              <w:tr2bl w:val="nil"/>
            </w:tcBorders>
            <w:noWrap/>
            <w:vAlign w:val="center"/>
          </w:tcPr>
          <w:p>
            <w:pPr>
              <w:jc w:val="center"/>
              <w:rPr>
                <w:rFonts w:ascii="宋体" w:eastAsia="宋体"/>
                <w:sz w:val="18"/>
              </w:rPr>
            </w:pPr>
            <w:r>
              <w:rPr>
                <w:rFonts w:ascii="宋体" w:eastAsia="宋体"/>
                <w:sz w:val="18"/>
              </w:rPr>
              <w:t>效益指标</w:t>
            </w:r>
          </w:p>
        </w:tc>
        <w:tc>
          <w:tcPr>
            <w:tcW w:w="1033"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社会效益指标</w:t>
            </w:r>
          </w:p>
        </w:tc>
        <w:tc>
          <w:tcPr>
            <w:tcW w:w="1581"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法检自检率</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≥90%</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30</w:t>
            </w:r>
          </w:p>
        </w:tc>
        <w:tc>
          <w:tcPr>
            <w:tcW w:w="945"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30.0</w:t>
            </w:r>
          </w:p>
        </w:tc>
        <w:tc>
          <w:tcPr>
            <w:tcW w:w="9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3" w:type="dxa"/>
            <w:vMerge/>
            <w:tcBorders>
              <w:top w:val="nil"/>
              <w:left w:val="single" w:sz="6" w:space="0" w:color="auto"/>
              <w:bottom w:val="single" w:sz="6" w:space="0" w:color="auto"/>
              <w:right w:val="single" w:sz="6" w:space="0" w:color="auto"/>
              <w:tl2br w:val="nil"/>
              <w:tr2bl w:val="nil"/>
            </w:tcBorders>
            <w:noWrap/>
            <w:vAlign w:val="center"/>
          </w:tcPr>
          <w:p/>
        </w:tc>
        <w:tc>
          <w:tcPr>
            <w:tcW w:w="827" w:type="dxa"/>
            <w:tcBorders>
              <w:top w:val="single" w:sz="6" w:space="0" w:color="auto"/>
              <w:left w:val="nil"/>
              <w:bottom w:val="nil"/>
              <w:right w:val="single" w:sz="6" w:space="0" w:color="auto"/>
              <w:tl2br w:val="nil"/>
              <w:tr2bl w:val="nil"/>
            </w:tcBorders>
            <w:noWrap/>
            <w:vAlign w:val="center"/>
          </w:tcPr>
          <w:p>
            <w:pPr>
              <w:jc w:val="center"/>
              <w:rPr>
                <w:rFonts w:ascii="宋体" w:eastAsia="宋体"/>
                <w:sz w:val="18"/>
              </w:rPr>
            </w:pPr>
            <w:r>
              <w:rPr>
                <w:rFonts w:ascii="宋体" w:eastAsia="宋体"/>
                <w:sz w:val="18"/>
              </w:rPr>
              <w:t>满意度指标</w:t>
            </w:r>
          </w:p>
        </w:tc>
        <w:tc>
          <w:tcPr>
            <w:tcW w:w="1033"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服务对象</w:t>
            </w:r>
          </w:p>
          <w:p>
            <w:pPr>
              <w:jc w:val="center"/>
              <w:rPr>
                <w:rFonts w:ascii="宋体" w:eastAsia="宋体" w:cs="宋体"/>
                <w:sz w:val="18"/>
              </w:rPr>
            </w:pPr>
            <w:r>
              <w:rPr>
                <w:rFonts w:ascii="宋体" w:eastAsia="宋体" w:cs="宋体"/>
                <w:sz w:val="18"/>
              </w:rPr>
              <w:t>满意度指标</w:t>
            </w:r>
          </w:p>
        </w:tc>
        <w:tc>
          <w:tcPr>
            <w:tcW w:w="1581"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中心工作人员对维修服务满意度</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≥90%</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945"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944"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434"/>
        </w:trPr>
        <w:tc>
          <w:tcPr>
            <w:tcW w:w="5990" w:type="dxa"/>
            <w:gridSpan w:val="7"/>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总分</w:t>
            </w:r>
          </w:p>
        </w:tc>
        <w:tc>
          <w:tcPr>
            <w:tcW w:w="94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w:t>
            </w:r>
          </w:p>
        </w:tc>
        <w:tc>
          <w:tcPr>
            <w:tcW w:w="944" w:type="dxa"/>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r>
    </w:tbl>
    <w:p/>
    <w:p/>
    <w:p/>
    <w:p/>
    <w:p/>
    <w:p/>
    <w:p/>
    <w:p/>
    <w:p/>
    <w:p/>
    <w:p/>
    <w:p/>
    <w:p/>
    <w:tbl>
      <w:tblPr>
        <w:jc w:val="left"/>
        <w:tblW w:w="8826"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2"/>
        <w:gridCol w:w="713"/>
        <w:gridCol w:w="1258"/>
        <w:gridCol w:w="736"/>
        <w:gridCol w:w="945"/>
        <w:gridCol w:w="943"/>
        <w:gridCol w:w="948"/>
        <w:gridCol w:w="1085"/>
        <w:gridCol w:w="756"/>
        <w:gridCol w:w="0"/>
        <w:gridCol w:w="890"/>
      </w:tblGrid>
      <w:tr>
        <w:trPr>
          <w:trHeight w:val="419"/>
        </w:trPr>
        <w:tc>
          <w:tcPr>
            <w:tcW w:w="8826" w:type="dxa"/>
            <w:gridSpan w:val="11"/>
            <w:tcBorders>
              <w:top w:val="nil"/>
              <w:left w:val="nil"/>
              <w:bottom w:val="nil"/>
              <w:right w:val="nil"/>
              <w:tl2br w:val="nil"/>
              <w:tr2bl w:val="nil"/>
            </w:tcBorders>
            <w:noWrap/>
            <w:vAlign w:val="center"/>
          </w:tcPr>
          <w:p>
            <w:pPr>
              <w:jc w:val="center"/>
              <w:rPr>
                <w:rFonts w:ascii="宋体" w:eastAsia="宋体" w:cs="宋体"/>
                <w:b/>
                <w:i w:val="0"/>
                <w:sz w:val="32"/>
              </w:rPr>
            </w:pPr>
            <w:bookmarkEnd w:id="17"/>
            <w:r>
              <w:rPr>
                <w:rFonts w:ascii="宋体" w:eastAsia="宋体" w:cs="宋体"/>
                <w:b/>
                <w:i w:val="0"/>
                <w:sz w:val="32"/>
              </w:rPr>
              <w:t>海关法检业务工作专项项目绩效自评表</w:t>
            </w:r>
          </w:p>
        </w:tc>
      </w:tr>
      <w:tr>
        <w:trPr>
          <w:trHeight w:val="284"/>
        </w:trPr>
        <w:tc>
          <w:tcPr>
            <w:tcW w:w="8826" w:type="dxa"/>
            <w:gridSpan w:val="11"/>
            <w:tcBorders>
              <w:top w:val="nil"/>
              <w:left w:val="nil"/>
              <w:bottom w:val="nil"/>
              <w:right w:val="nil"/>
              <w:tl2br w:val="nil"/>
              <w:tr2bl w:val="nil"/>
            </w:tcBorders>
            <w:noWrap/>
            <w:vAlign w:val="center"/>
          </w:tcPr>
          <w:p>
            <w:pPr>
              <w:jc w:val="center"/>
              <w:rPr>
                <w:rFonts w:ascii="宋体" w:eastAsia="宋体" w:cs="宋体"/>
                <w:sz w:val="22"/>
              </w:rPr>
            </w:pPr>
            <w:r>
              <w:rPr>
                <w:rFonts w:ascii="宋体" w:eastAsia="宋体" w:cs="宋体"/>
                <w:sz w:val="22"/>
              </w:rPr>
              <w:t>（2025年度）</w:t>
            </w:r>
          </w:p>
        </w:tc>
      </w:tr>
      <w:tr>
        <w:trPr>
          <w:trHeight w:val="374"/>
        </w:trPr>
        <w:tc>
          <w:tcPr>
            <w:tcW w:w="126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项目名称</w:t>
            </w:r>
          </w:p>
        </w:tc>
        <w:tc>
          <w:tcPr>
            <w:tcW w:w="7560" w:type="dxa"/>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海关法检业务工作专项</w:t>
            </w:r>
          </w:p>
        </w:tc>
      </w:tr>
      <w:tr>
        <w:trPr>
          <w:trHeight w:val="374"/>
        </w:trPr>
        <w:tc>
          <w:tcPr>
            <w:tcW w:w="126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主管部门</w:t>
            </w:r>
          </w:p>
        </w:tc>
        <w:tc>
          <w:tcPr>
            <w:tcW w:w="2939"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[167] 海关总署</w:t>
            </w:r>
          </w:p>
        </w:tc>
        <w:tc>
          <w:tcPr>
            <w:tcW w:w="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实施单位</w:t>
            </w:r>
          </w:p>
        </w:tc>
        <w:tc>
          <w:tcPr>
            <w:tcW w:w="3676"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呼和浩特国际旅行卫生保健中心(呼和浩特海关口岸门诊部）</w:t>
            </w:r>
          </w:p>
        </w:tc>
      </w:tr>
      <w:tr>
        <w:trPr>
          <w:trHeight w:val="374"/>
        </w:trPr>
        <w:tc>
          <w:tcPr>
            <w:tcW w:w="1265" w:type="dxa"/>
            <w:gridSpan w:val="2"/>
            <w:vMerge w:val="restart"/>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项目资金</w:t>
            </w:r>
          </w:p>
          <w:p>
            <w:pPr>
              <w:jc w:val="center"/>
              <w:rPr>
                <w:rFonts w:ascii="宋体" w:eastAsia="宋体" w:cs="宋体"/>
                <w:sz w:val="18"/>
              </w:rPr>
            </w:pPr>
            <w:r>
              <w:rPr>
                <w:rFonts w:ascii="宋体" w:eastAsia="宋体" w:cs="宋体"/>
                <w:sz w:val="18"/>
              </w:rPr>
              <w:t>（万元）</w:t>
            </w:r>
          </w:p>
        </w:tc>
        <w:tc>
          <w:tcPr>
            <w:tcW w:w="199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年初预算数</w:t>
            </w:r>
          </w:p>
        </w:tc>
        <w:tc>
          <w:tcPr>
            <w:tcW w:w="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全年预算数</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全年执行数</w:t>
            </w:r>
          </w:p>
        </w:tc>
        <w:tc>
          <w:tcPr>
            <w:tcW w:w="10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分值</w:t>
            </w:r>
          </w:p>
        </w:tc>
        <w:tc>
          <w:tcPr>
            <w:tcW w:w="756"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执行率</w:t>
            </w:r>
          </w:p>
        </w:tc>
        <w:tc>
          <w:tcPr>
            <w:tcW w:w="88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得分</w:t>
            </w:r>
          </w:p>
        </w:tc>
      </w:tr>
      <w:tr>
        <w:trPr>
          <w:trHeight w:val="374"/>
        </w:trPr>
        <w:tc>
          <w:tcPr>
            <w:tcW w:w="1265" w:type="dxa"/>
            <w:gridSpan w:val="2"/>
            <w:vMerge/>
            <w:tcBorders>
              <w:top w:val="nil"/>
              <w:left w:val="single" w:sz="6" w:space="0" w:color="000000"/>
              <w:bottom w:val="nil"/>
              <w:right w:val="single" w:sz="6" w:space="0" w:color="000000"/>
              <w:tl2br w:val="nil"/>
              <w:tr2bl w:val="nil"/>
            </w:tcBorders>
            <w:noWrap/>
            <w:vAlign w:val="center"/>
          </w:tcPr>
          <w:p/>
        </w:tc>
        <w:tc>
          <w:tcPr>
            <w:tcW w:w="199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年度资金总额：</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369.97</w:t>
            </w:r>
          </w:p>
        </w:tc>
        <w:tc>
          <w:tcPr>
            <w:tcW w:w="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369.97</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369.97</w:t>
            </w:r>
          </w:p>
        </w:tc>
        <w:tc>
          <w:tcPr>
            <w:tcW w:w="10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c>
          <w:tcPr>
            <w:tcW w:w="756"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w:t>
            </w:r>
          </w:p>
        </w:tc>
        <w:tc>
          <w:tcPr>
            <w:tcW w:w="88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r>
      <w:tr>
        <w:trPr>
          <w:trHeight w:val="374"/>
        </w:trPr>
        <w:tc>
          <w:tcPr>
            <w:tcW w:w="1265" w:type="dxa"/>
            <w:gridSpan w:val="2"/>
            <w:vMerge/>
            <w:tcBorders>
              <w:top w:val="nil"/>
              <w:left w:val="single" w:sz="6" w:space="0" w:color="000000"/>
              <w:bottom w:val="nil"/>
              <w:right w:val="single" w:sz="6" w:space="0" w:color="000000"/>
              <w:tl2br w:val="nil"/>
              <w:tr2bl w:val="nil"/>
            </w:tcBorders>
            <w:noWrap/>
            <w:vAlign w:val="center"/>
          </w:tcPr>
          <w:p/>
        </w:tc>
        <w:tc>
          <w:tcPr>
            <w:tcW w:w="199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其中：财政拨款</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369.97</w:t>
            </w:r>
          </w:p>
        </w:tc>
        <w:tc>
          <w:tcPr>
            <w:tcW w:w="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369.97</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369.97</w:t>
            </w:r>
          </w:p>
        </w:tc>
        <w:tc>
          <w:tcPr>
            <w:tcW w:w="10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756"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88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trPr>
        <w:tc>
          <w:tcPr>
            <w:tcW w:w="1265" w:type="dxa"/>
            <w:gridSpan w:val="2"/>
            <w:vMerge/>
            <w:tcBorders>
              <w:top w:val="nil"/>
              <w:left w:val="single" w:sz="6" w:space="0" w:color="000000"/>
              <w:bottom w:val="nil"/>
              <w:right w:val="single" w:sz="6" w:space="0" w:color="000000"/>
              <w:tl2br w:val="nil"/>
              <w:tr2bl w:val="nil"/>
            </w:tcBorders>
            <w:noWrap/>
            <w:vAlign w:val="center"/>
          </w:tcPr>
          <w:p/>
        </w:tc>
        <w:tc>
          <w:tcPr>
            <w:tcW w:w="1994" w:type="dxa"/>
            <w:gridSpan w:val="2"/>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上年结转</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10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756"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88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trPr>
        <w:tc>
          <w:tcPr>
            <w:tcW w:w="1265" w:type="dxa"/>
            <w:gridSpan w:val="2"/>
            <w:vMerge/>
            <w:tcBorders>
              <w:top w:val="nil"/>
              <w:left w:val="single" w:sz="6" w:space="0" w:color="000000"/>
              <w:bottom w:val="single" w:sz="6" w:space="0" w:color="000000"/>
              <w:right w:val="single" w:sz="6" w:space="0" w:color="000000"/>
              <w:tl2br w:val="nil"/>
              <w:tr2bl w:val="nil"/>
            </w:tcBorders>
            <w:noWrap/>
            <w:vAlign w:val="center"/>
          </w:tcPr>
          <w:p/>
        </w:tc>
        <w:tc>
          <w:tcPr>
            <w:tcW w:w="199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 xml:space="preserve"> 其他资金 </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10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756"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88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trPr>
        <w:tc>
          <w:tcPr>
            <w:tcW w:w="552"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w:t>
            </w:r>
          </w:p>
          <w:p>
            <w:pPr>
              <w:jc w:val="center"/>
              <w:rPr>
                <w:rFonts w:ascii="宋体" w:eastAsia="宋体" w:cs="宋体"/>
                <w:sz w:val="18"/>
              </w:rPr>
            </w:pPr>
            <w:r>
              <w:rPr>
                <w:rFonts w:ascii="宋体" w:eastAsia="宋体" w:cs="宋体"/>
                <w:sz w:val="18"/>
              </w:rPr>
              <w:t>度</w:t>
            </w:r>
          </w:p>
          <w:p>
            <w:pPr>
              <w:jc w:val="center"/>
              <w:rPr>
                <w:rFonts w:ascii="宋体" w:eastAsia="宋体" w:cs="宋体"/>
                <w:sz w:val="18"/>
              </w:rPr>
            </w:pPr>
            <w:r>
              <w:rPr>
                <w:rFonts w:ascii="宋体" w:eastAsia="宋体" w:cs="宋体"/>
                <w:sz w:val="18"/>
              </w:rPr>
              <w:t>总</w:t>
            </w:r>
          </w:p>
          <w:p>
            <w:pPr>
              <w:jc w:val="center"/>
              <w:rPr>
                <w:rFonts w:ascii="宋体" w:eastAsia="宋体" w:cs="宋体"/>
                <w:sz w:val="18"/>
              </w:rPr>
            </w:pPr>
            <w:r>
              <w:rPr>
                <w:rFonts w:ascii="宋体" w:eastAsia="宋体" w:cs="宋体"/>
                <w:sz w:val="18"/>
              </w:rPr>
              <w:t>体</w:t>
            </w:r>
          </w:p>
          <w:p>
            <w:pPr>
              <w:jc w:val="center"/>
              <w:rPr>
                <w:rFonts w:ascii="宋体" w:eastAsia="宋体" w:cs="宋体"/>
                <w:sz w:val="18"/>
              </w:rPr>
            </w:pPr>
            <w:r>
              <w:rPr>
                <w:rFonts w:ascii="宋体" w:eastAsia="宋体" w:cs="宋体"/>
                <w:sz w:val="18"/>
              </w:rPr>
              <w:t>目</w:t>
            </w:r>
          </w:p>
          <w:p>
            <w:pPr>
              <w:jc w:val="center"/>
              <w:rPr>
                <w:rFonts w:ascii="宋体" w:eastAsia="宋体" w:cs="宋体"/>
                <w:sz w:val="18"/>
              </w:rPr>
            </w:pPr>
            <w:r>
              <w:rPr>
                <w:rFonts w:ascii="宋体" w:eastAsia="宋体" w:cs="宋体"/>
                <w:sz w:val="18"/>
              </w:rPr>
              <w:t>标</w:t>
            </w:r>
          </w:p>
        </w:tc>
        <w:tc>
          <w:tcPr>
            <w:tcW w:w="4595"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预期目标</w:t>
            </w:r>
          </w:p>
        </w:tc>
        <w:tc>
          <w:tcPr>
            <w:tcW w:w="3676"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实际完成情况</w:t>
            </w:r>
          </w:p>
        </w:tc>
      </w:tr>
      <w:tr>
        <w:trPr>
          <w:trHeight w:val="1904"/>
        </w:trPr>
        <w:tc>
          <w:tcPr>
            <w:tcW w:w="552" w:type="dxa"/>
            <w:vMerge/>
            <w:tcBorders>
              <w:top w:val="single" w:sz="6" w:space="0" w:color="000000"/>
              <w:left w:val="single" w:sz="6" w:space="0" w:color="000000"/>
              <w:bottom w:val="nil"/>
              <w:right w:val="single" w:sz="6" w:space="0" w:color="000000"/>
              <w:tl2br w:val="nil"/>
              <w:tr2bl w:val="nil"/>
            </w:tcBorders>
            <w:noWrap/>
            <w:vAlign w:val="center"/>
          </w:tcPr>
          <w:p/>
        </w:tc>
        <w:tc>
          <w:tcPr>
            <w:tcW w:w="4595" w:type="dxa"/>
            <w:gridSpan w:val="5"/>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宋体"/>
                <w:sz w:val="18"/>
              </w:rPr>
            </w:pPr>
            <w:r>
              <w:rPr>
                <w:rFonts w:ascii="宋体" w:eastAsia="宋体" w:cs="宋体"/>
                <w:sz w:val="18"/>
              </w:rPr>
              <w:t>1.通过开展卫生等法检工作，持续加强检验检疫监管能力，筑牢国门生物安全屏障，提升口岸疫病防控能力。</w:t>
            </w:r>
          </w:p>
          <w:p>
            <w:pPr>
              <w:rPr>
                <w:rFonts w:ascii="宋体" w:eastAsia="宋体" w:cs="宋体"/>
                <w:sz w:val="18"/>
              </w:rPr>
            </w:pPr>
            <w:r>
              <w:rPr>
                <w:rFonts w:ascii="宋体" w:eastAsia="宋体" w:cs="宋体"/>
                <w:sz w:val="18"/>
              </w:rPr>
              <w:t>2.通过对海关法检实验室进行运维，保障实验室的检验检疫业务正常开展，促进实验室持续高质量运转。</w:t>
            </w:r>
          </w:p>
        </w:tc>
        <w:tc>
          <w:tcPr>
            <w:tcW w:w="3676" w:type="dxa"/>
            <w:gridSpan w:val="5"/>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宋体"/>
                <w:sz w:val="18"/>
              </w:rPr>
            </w:pPr>
            <w:r>
              <w:rPr>
                <w:rFonts w:ascii="宋体" w:eastAsia="宋体" w:cs="宋体"/>
                <w:sz w:val="18"/>
              </w:rPr>
              <w:t>1.通过法检业务工作专项，完成了出入境人员体检业务工作及入境航班多病同防检测工作，提升检验检疫监管能力及口岸疫情疫病的防控能力。</w:t>
            </w:r>
          </w:p>
          <w:p>
            <w:pPr>
              <w:rPr>
                <w:rFonts w:ascii="宋体" w:eastAsia="宋体" w:cs="宋体"/>
                <w:sz w:val="18"/>
              </w:rPr>
            </w:pPr>
            <w:r>
              <w:rPr>
                <w:rFonts w:ascii="宋体" w:eastAsia="宋体" w:cs="宋体"/>
                <w:sz w:val="18"/>
              </w:rPr>
              <w:t>2.通过法检业务工作专项，进行海关实验用房日常正常运转所需相关保障及实验室日常维修维护，保障了检验检疫业务正常开展。</w:t>
            </w:r>
          </w:p>
        </w:tc>
      </w:tr>
      <w:tr>
        <w:trPr>
          <w:trHeight w:val="539"/>
        </w:trPr>
        <w:tc>
          <w:tcPr>
            <w:tcW w:w="55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绩</w:t>
            </w:r>
          </w:p>
          <w:p>
            <w:pPr>
              <w:jc w:val="center"/>
              <w:rPr>
                <w:rFonts w:ascii="宋体" w:eastAsia="宋体" w:cs="宋体"/>
                <w:sz w:val="18"/>
              </w:rPr>
            </w:pPr>
            <w:r>
              <w:rPr>
                <w:rFonts w:ascii="宋体" w:eastAsia="宋体" w:cs="宋体"/>
                <w:sz w:val="18"/>
              </w:rPr>
              <w:t>效</w:t>
            </w:r>
          </w:p>
          <w:p>
            <w:pPr>
              <w:jc w:val="center"/>
              <w:rPr>
                <w:rFonts w:ascii="宋体" w:eastAsia="宋体" w:cs="宋体"/>
                <w:sz w:val="18"/>
              </w:rPr>
            </w:pPr>
            <w:r>
              <w:rPr>
                <w:rFonts w:ascii="宋体" w:eastAsia="宋体" w:cs="宋体"/>
                <w:sz w:val="18"/>
              </w:rPr>
              <w:t>指</w:t>
            </w:r>
          </w:p>
          <w:p>
            <w:pPr>
              <w:jc w:val="center"/>
              <w:rPr>
                <w:rFonts w:ascii="宋体" w:eastAsia="宋体" w:cs="宋体"/>
                <w:sz w:val="18"/>
              </w:rPr>
            </w:pPr>
            <w:r>
              <w:rPr>
                <w:rFonts w:ascii="宋体" w:eastAsia="宋体" w:cs="宋体"/>
                <w:sz w:val="18"/>
              </w:rPr>
              <w:t>标</w:t>
            </w:r>
          </w:p>
        </w:tc>
        <w:tc>
          <w:tcPr>
            <w:tcW w:w="713"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一级指标</w:t>
            </w:r>
          </w:p>
        </w:tc>
        <w:tc>
          <w:tcPr>
            <w:tcW w:w="125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二级指标</w:t>
            </w:r>
          </w:p>
        </w:tc>
        <w:tc>
          <w:tcPr>
            <w:tcW w:w="168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三级指标</w:t>
            </w:r>
          </w:p>
        </w:tc>
        <w:tc>
          <w:tcPr>
            <w:tcW w:w="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年度指标值</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实际完成值</w:t>
            </w:r>
          </w:p>
        </w:tc>
        <w:tc>
          <w:tcPr>
            <w:tcW w:w="10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分值</w:t>
            </w:r>
          </w:p>
        </w:tc>
        <w:tc>
          <w:tcPr>
            <w:tcW w:w="75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得分</w:t>
            </w:r>
          </w:p>
        </w:tc>
        <w:tc>
          <w:tcPr>
            <w:tcW w:w="887" w:type="dxa"/>
            <w:gridSpan w:val="2"/>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偏差原因分析及</w:t>
            </w:r>
          </w:p>
          <w:p>
            <w:pPr>
              <w:jc w:val="center"/>
              <w:rPr>
                <w:rFonts w:ascii="宋体" w:eastAsia="宋体" w:cs="宋体"/>
                <w:sz w:val="18"/>
              </w:rPr>
            </w:pPr>
            <w:r>
              <w:rPr>
                <w:rFonts w:ascii="宋体" w:eastAsia="宋体" w:cs="宋体"/>
                <w:sz w:val="18"/>
              </w:rPr>
              <w:t>改进措施</w:t>
            </w:r>
          </w:p>
        </w:tc>
      </w:tr>
      <w:tr>
        <w:trPr>
          <w:trHeight w:val="513"/>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713" w:type="dxa"/>
            <w:vMerge w:val="restart"/>
            <w:tcBorders>
              <w:top w:val="single" w:sz="6" w:space="0" w:color="auto"/>
              <w:left w:val="nil"/>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产出指标</w:t>
            </w:r>
          </w:p>
        </w:tc>
        <w:tc>
          <w:tcPr>
            <w:tcW w:w="1258"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数量指标</w:t>
            </w:r>
          </w:p>
        </w:tc>
        <w:tc>
          <w:tcPr>
            <w:tcW w:w="1680"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法检批次数量（批次）</w:t>
            </w:r>
          </w:p>
        </w:tc>
        <w:tc>
          <w:tcPr>
            <w:tcW w:w="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≥500批次</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600.00批次</w:t>
            </w:r>
          </w:p>
        </w:tc>
        <w:tc>
          <w:tcPr>
            <w:tcW w:w="10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7</w:t>
            </w:r>
          </w:p>
        </w:tc>
        <w:tc>
          <w:tcPr>
            <w:tcW w:w="756"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7.0</w:t>
            </w:r>
          </w:p>
        </w:tc>
        <w:tc>
          <w:tcPr>
            <w:tcW w:w="88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713" w:type="dxa"/>
            <w:vMerge/>
            <w:tcBorders>
              <w:top w:val="single" w:sz="6" w:space="0" w:color="auto"/>
              <w:left w:val="nil"/>
              <w:bottom w:val="nil"/>
              <w:right w:val="single" w:sz="6" w:space="0" w:color="auto"/>
              <w:tl2br w:val="nil"/>
              <w:tr2bl w:val="nil"/>
            </w:tcBorders>
            <w:noWrap/>
            <w:vAlign w:val="center"/>
          </w:tcPr>
          <w:p/>
        </w:tc>
        <w:tc>
          <w:tcPr>
            <w:tcW w:w="1258" w:type="dxa"/>
            <w:vMerge/>
            <w:tcBorders>
              <w:top w:val="single" w:sz="6" w:space="0" w:color="auto"/>
              <w:left w:val="single" w:sz="6" w:space="0" w:color="auto"/>
              <w:bottom w:val="nil"/>
              <w:right w:val="single" w:sz="6" w:space="0" w:color="auto"/>
              <w:tl2br w:val="nil"/>
              <w:tr2bl w:val="nil"/>
            </w:tcBorders>
            <w:noWrap/>
            <w:vAlign w:val="center"/>
          </w:tcPr>
          <w:p/>
        </w:tc>
        <w:tc>
          <w:tcPr>
            <w:tcW w:w="1680"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试剂耗材购置数量（批次）</w:t>
            </w:r>
          </w:p>
        </w:tc>
        <w:tc>
          <w:tcPr>
            <w:tcW w:w="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≥30批次</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32.00批次</w:t>
            </w:r>
          </w:p>
        </w:tc>
        <w:tc>
          <w:tcPr>
            <w:tcW w:w="10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7</w:t>
            </w:r>
          </w:p>
        </w:tc>
        <w:tc>
          <w:tcPr>
            <w:tcW w:w="756"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7.0</w:t>
            </w:r>
          </w:p>
        </w:tc>
        <w:tc>
          <w:tcPr>
            <w:tcW w:w="88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713" w:type="dxa"/>
            <w:vMerge/>
            <w:tcBorders>
              <w:top w:val="single" w:sz="6" w:space="0" w:color="auto"/>
              <w:left w:val="nil"/>
              <w:bottom w:val="nil"/>
              <w:right w:val="single" w:sz="6" w:space="0" w:color="auto"/>
              <w:tl2br w:val="nil"/>
              <w:tr2bl w:val="nil"/>
            </w:tcBorders>
            <w:noWrap/>
            <w:vAlign w:val="center"/>
          </w:tcPr>
          <w:p/>
        </w:tc>
        <w:tc>
          <w:tcPr>
            <w:tcW w:w="1258" w:type="dxa"/>
            <w:vMerge/>
            <w:tcBorders>
              <w:top w:val="single" w:sz="6" w:space="0" w:color="auto"/>
              <w:left w:val="single" w:sz="6" w:space="0" w:color="auto"/>
              <w:bottom w:val="nil"/>
              <w:right w:val="single" w:sz="6" w:space="0" w:color="auto"/>
              <w:tl2br w:val="nil"/>
              <w:tr2bl w:val="nil"/>
            </w:tcBorders>
            <w:noWrap/>
            <w:vAlign w:val="center"/>
          </w:tcPr>
          <w:p/>
        </w:tc>
        <w:tc>
          <w:tcPr>
            <w:tcW w:w="1680"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实验室资质能力评审次数</w:t>
            </w:r>
          </w:p>
        </w:tc>
        <w:tc>
          <w:tcPr>
            <w:tcW w:w="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≥1次</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1.00次</w:t>
            </w:r>
          </w:p>
        </w:tc>
        <w:tc>
          <w:tcPr>
            <w:tcW w:w="10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6</w:t>
            </w:r>
          </w:p>
        </w:tc>
        <w:tc>
          <w:tcPr>
            <w:tcW w:w="756"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6.0</w:t>
            </w:r>
          </w:p>
        </w:tc>
        <w:tc>
          <w:tcPr>
            <w:tcW w:w="88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713" w:type="dxa"/>
            <w:vMerge/>
            <w:tcBorders>
              <w:top w:val="single" w:sz="6" w:space="0" w:color="auto"/>
              <w:left w:val="nil"/>
              <w:bottom w:val="nil"/>
              <w:right w:val="single" w:sz="6" w:space="0" w:color="auto"/>
              <w:tl2br w:val="nil"/>
              <w:tr2bl w:val="nil"/>
            </w:tcBorders>
            <w:noWrap/>
            <w:vAlign w:val="center"/>
          </w:tcPr>
          <w:p/>
        </w:tc>
        <w:tc>
          <w:tcPr>
            <w:tcW w:w="1258"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质量指标</w:t>
            </w:r>
          </w:p>
        </w:tc>
        <w:tc>
          <w:tcPr>
            <w:tcW w:w="1680"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试剂耗材验收合格率（%）</w:t>
            </w:r>
          </w:p>
        </w:tc>
        <w:tc>
          <w:tcPr>
            <w:tcW w:w="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≥95%</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10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7</w:t>
            </w:r>
          </w:p>
        </w:tc>
        <w:tc>
          <w:tcPr>
            <w:tcW w:w="756"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7.0</w:t>
            </w:r>
          </w:p>
        </w:tc>
        <w:tc>
          <w:tcPr>
            <w:tcW w:w="88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713" w:type="dxa"/>
            <w:vMerge/>
            <w:tcBorders>
              <w:top w:val="single" w:sz="6" w:space="0" w:color="auto"/>
              <w:left w:val="nil"/>
              <w:bottom w:val="nil"/>
              <w:right w:val="single" w:sz="6" w:space="0" w:color="auto"/>
              <w:tl2br w:val="nil"/>
              <w:tr2bl w:val="nil"/>
            </w:tcBorders>
            <w:noWrap/>
            <w:vAlign w:val="center"/>
          </w:tcPr>
          <w:p/>
        </w:tc>
        <w:tc>
          <w:tcPr>
            <w:tcW w:w="1258" w:type="dxa"/>
            <w:vMerge/>
            <w:tcBorders>
              <w:top w:val="single" w:sz="6" w:space="0" w:color="auto"/>
              <w:left w:val="single" w:sz="6" w:space="0" w:color="auto"/>
              <w:bottom w:val="nil"/>
              <w:right w:val="single" w:sz="6" w:space="0" w:color="auto"/>
              <w:tl2br w:val="nil"/>
              <w:tr2bl w:val="nil"/>
            </w:tcBorders>
            <w:noWrap/>
            <w:vAlign w:val="center"/>
          </w:tcPr>
          <w:p/>
        </w:tc>
        <w:tc>
          <w:tcPr>
            <w:tcW w:w="1680"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实验室资质审核通过率（%）</w:t>
            </w:r>
          </w:p>
        </w:tc>
        <w:tc>
          <w:tcPr>
            <w:tcW w:w="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≥95%</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10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7</w:t>
            </w:r>
          </w:p>
        </w:tc>
        <w:tc>
          <w:tcPr>
            <w:tcW w:w="756"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7.0</w:t>
            </w:r>
          </w:p>
        </w:tc>
        <w:tc>
          <w:tcPr>
            <w:tcW w:w="88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713" w:type="dxa"/>
            <w:vMerge/>
            <w:tcBorders>
              <w:top w:val="single" w:sz="6" w:space="0" w:color="auto"/>
              <w:left w:val="nil"/>
              <w:bottom w:val="nil"/>
              <w:right w:val="single" w:sz="6" w:space="0" w:color="auto"/>
              <w:tl2br w:val="nil"/>
              <w:tr2bl w:val="nil"/>
            </w:tcBorders>
            <w:noWrap/>
            <w:vAlign w:val="center"/>
          </w:tcPr>
          <w:p/>
        </w:tc>
        <w:tc>
          <w:tcPr>
            <w:tcW w:w="1258" w:type="dxa"/>
            <w:vMerge/>
            <w:tcBorders>
              <w:top w:val="single" w:sz="6" w:space="0" w:color="auto"/>
              <w:left w:val="single" w:sz="6" w:space="0" w:color="auto"/>
              <w:bottom w:val="nil"/>
              <w:right w:val="single" w:sz="6" w:space="0" w:color="auto"/>
              <w:tl2br w:val="nil"/>
              <w:tr2bl w:val="nil"/>
            </w:tcBorders>
            <w:noWrap/>
            <w:vAlign w:val="center"/>
          </w:tcPr>
          <w:p/>
        </w:tc>
        <w:tc>
          <w:tcPr>
            <w:tcW w:w="1680"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法检检测准确率</w:t>
            </w:r>
          </w:p>
        </w:tc>
        <w:tc>
          <w:tcPr>
            <w:tcW w:w="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≥98%</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10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6</w:t>
            </w:r>
          </w:p>
        </w:tc>
        <w:tc>
          <w:tcPr>
            <w:tcW w:w="756"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6.0</w:t>
            </w:r>
          </w:p>
        </w:tc>
        <w:tc>
          <w:tcPr>
            <w:tcW w:w="88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713" w:type="dxa"/>
            <w:vMerge/>
            <w:tcBorders>
              <w:top w:val="single" w:sz="6" w:space="0" w:color="auto"/>
              <w:left w:val="nil"/>
              <w:bottom w:val="nil"/>
              <w:right w:val="single" w:sz="6" w:space="0" w:color="auto"/>
              <w:tl2br w:val="nil"/>
              <w:tr2bl w:val="nil"/>
            </w:tcBorders>
            <w:noWrap/>
            <w:vAlign w:val="center"/>
          </w:tcPr>
          <w:p/>
        </w:tc>
        <w:tc>
          <w:tcPr>
            <w:tcW w:w="1258"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时效指标</w:t>
            </w:r>
          </w:p>
        </w:tc>
        <w:tc>
          <w:tcPr>
            <w:tcW w:w="1680"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法检检测结果出具及时率</w:t>
            </w:r>
          </w:p>
        </w:tc>
        <w:tc>
          <w:tcPr>
            <w:tcW w:w="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≥96%</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10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756"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88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713" w:type="dxa"/>
            <w:vMerge w:val="restart"/>
            <w:tcBorders>
              <w:top w:val="single" w:sz="6" w:space="0" w:color="auto"/>
              <w:left w:val="nil"/>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效益指标</w:t>
            </w:r>
          </w:p>
        </w:tc>
        <w:tc>
          <w:tcPr>
            <w:tcW w:w="1258"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社会效益指标</w:t>
            </w:r>
          </w:p>
        </w:tc>
        <w:tc>
          <w:tcPr>
            <w:tcW w:w="1680"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实验室通过认定、认可的检测项目</w:t>
            </w:r>
          </w:p>
        </w:tc>
        <w:tc>
          <w:tcPr>
            <w:tcW w:w="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≥19个</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19.00个</w:t>
            </w:r>
          </w:p>
        </w:tc>
        <w:tc>
          <w:tcPr>
            <w:tcW w:w="10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20</w:t>
            </w:r>
          </w:p>
        </w:tc>
        <w:tc>
          <w:tcPr>
            <w:tcW w:w="756"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20.0</w:t>
            </w:r>
          </w:p>
        </w:tc>
        <w:tc>
          <w:tcPr>
            <w:tcW w:w="88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713" w:type="dxa"/>
            <w:vMerge/>
            <w:tcBorders>
              <w:top w:val="single" w:sz="6" w:space="0" w:color="auto"/>
              <w:left w:val="nil"/>
              <w:bottom w:val="nil"/>
              <w:right w:val="single" w:sz="6" w:space="0" w:color="auto"/>
              <w:tl2br w:val="nil"/>
              <w:tr2bl w:val="nil"/>
            </w:tcBorders>
            <w:noWrap/>
            <w:vAlign w:val="center"/>
          </w:tcPr>
          <w:p/>
        </w:tc>
        <w:tc>
          <w:tcPr>
            <w:tcW w:w="1258" w:type="dxa"/>
            <w:vMerge/>
            <w:tcBorders>
              <w:top w:val="single" w:sz="6" w:space="0" w:color="auto"/>
              <w:left w:val="single" w:sz="6" w:space="0" w:color="auto"/>
              <w:bottom w:val="nil"/>
              <w:right w:val="single" w:sz="6" w:space="0" w:color="auto"/>
              <w:tl2br w:val="nil"/>
              <w:tr2bl w:val="nil"/>
            </w:tcBorders>
            <w:noWrap/>
            <w:vAlign w:val="center"/>
          </w:tcPr>
          <w:p/>
        </w:tc>
        <w:tc>
          <w:tcPr>
            <w:tcW w:w="1680"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发生重大检验检疫安全事故</w:t>
            </w:r>
          </w:p>
        </w:tc>
        <w:tc>
          <w:tcPr>
            <w:tcW w:w="94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≤1起</w:t>
            </w:r>
          </w:p>
        </w:tc>
        <w:tc>
          <w:tcPr>
            <w:tcW w:w="94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0.00起</w:t>
            </w:r>
          </w:p>
        </w:tc>
        <w:tc>
          <w:tcPr>
            <w:tcW w:w="10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20</w:t>
            </w:r>
          </w:p>
        </w:tc>
        <w:tc>
          <w:tcPr>
            <w:tcW w:w="756"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20.0</w:t>
            </w:r>
          </w:p>
        </w:tc>
        <w:tc>
          <w:tcPr>
            <w:tcW w:w="887"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434"/>
        </w:trPr>
        <w:tc>
          <w:tcPr>
            <w:tcW w:w="6095" w:type="dxa"/>
            <w:gridSpan w:val="7"/>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总分</w:t>
            </w:r>
          </w:p>
        </w:tc>
        <w:tc>
          <w:tcPr>
            <w:tcW w:w="108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c>
          <w:tcPr>
            <w:tcW w:w="75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w:t>
            </w:r>
          </w:p>
        </w:tc>
        <w:tc>
          <w:tcPr>
            <w:tcW w:w="887" w:type="dxa"/>
            <w:gridSpan w:val="2"/>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r>
    </w:tbl>
    <w:p>
      <w:pPr>
        <w:pStyle w:val="62"/>
        <w:tabs>
          <w:tab w:val="left" w:pos="5978"/>
        </w:tabs>
        <w:spacing w:before="901"/>
        <w:jc w:val="both"/>
        <w:rPr>
          <w:rFonts w:ascii="黑体" w:eastAsia="黑体" w:cs="黑体"/>
          <w:sz w:val="30"/>
          <w:szCs w:val="30"/>
        </w:rPr>
      </w:pPr>
    </w:p>
    <w:p>
      <w:pPr>
        <w:pStyle w:val="62"/>
        <w:tabs>
          <w:tab w:val="left" w:pos="5978"/>
        </w:tabs>
        <w:spacing w:before="901"/>
        <w:jc w:val="both"/>
        <w:rPr>
          <w:rFonts w:ascii="黑体" w:eastAsia="黑体" w:cs="黑体"/>
          <w:sz w:val="30"/>
          <w:szCs w:val="30"/>
        </w:rPr>
      </w:pPr>
    </w:p>
    <w:tbl>
      <w:tblPr>
        <w:jc w:val="left"/>
        <w:tblW w:w="882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53"/>
        <w:gridCol w:w="692"/>
        <w:gridCol w:w="928"/>
        <w:gridCol w:w="772"/>
        <w:gridCol w:w="945"/>
        <w:gridCol w:w="1048"/>
        <w:gridCol w:w="1366"/>
        <w:gridCol w:w="630"/>
        <w:gridCol w:w="735"/>
        <w:gridCol w:w="1157"/>
      </w:tblGrid>
      <w:tr>
        <w:trPr>
          <w:trHeight w:val="419"/>
        </w:trPr>
        <w:tc>
          <w:tcPr>
            <w:tcW w:w="8826" w:type="dxa"/>
            <w:gridSpan w:val="10"/>
            <w:tcBorders>
              <w:top w:val="nil"/>
              <w:left w:val="nil"/>
              <w:bottom w:val="nil"/>
              <w:right w:val="nil"/>
              <w:tl2br w:val="nil"/>
              <w:tr2bl w:val="nil"/>
            </w:tcBorders>
            <w:noWrap/>
            <w:vAlign w:val="center"/>
          </w:tcPr>
          <w:p>
            <w:pPr>
              <w:jc w:val="center"/>
              <w:rPr>
                <w:rFonts w:ascii="宋体" w:eastAsia="宋体" w:cs="宋体"/>
                <w:b/>
                <w:i w:val="0"/>
                <w:sz w:val="32"/>
              </w:rPr>
            </w:pPr>
            <w:r>
              <w:rPr>
                <w:rFonts w:ascii="宋体" w:eastAsia="宋体" w:cs="宋体"/>
                <w:b/>
                <w:i w:val="0"/>
                <w:sz w:val="32"/>
              </w:rPr>
              <w:t>口岸公共卫生安全专项项目绩效自评表</w:t>
            </w:r>
          </w:p>
        </w:tc>
      </w:tr>
      <w:tr>
        <w:trPr>
          <w:trHeight w:val="284"/>
        </w:trPr>
        <w:tc>
          <w:tcPr>
            <w:tcW w:w="8826" w:type="dxa"/>
            <w:gridSpan w:val="10"/>
            <w:tcBorders>
              <w:top w:val="nil"/>
              <w:left w:val="nil"/>
              <w:bottom w:val="nil"/>
              <w:right w:val="nil"/>
              <w:tl2br w:val="nil"/>
              <w:tr2bl w:val="nil"/>
            </w:tcBorders>
            <w:noWrap/>
            <w:vAlign w:val="center"/>
          </w:tcPr>
          <w:p>
            <w:pPr>
              <w:jc w:val="center"/>
              <w:rPr>
                <w:rFonts w:ascii="宋体" w:eastAsia="宋体" w:cs="宋体"/>
                <w:sz w:val="22"/>
              </w:rPr>
            </w:pPr>
            <w:r>
              <w:rPr>
                <w:rFonts w:ascii="宋体" w:eastAsia="宋体" w:cs="宋体"/>
                <w:sz w:val="22"/>
              </w:rPr>
              <w:t>（2025年度）</w:t>
            </w:r>
          </w:p>
        </w:tc>
      </w:tr>
      <w:tr>
        <w:trPr>
          <w:trHeight w:val="374"/>
        </w:trPr>
        <w:tc>
          <w:tcPr>
            <w:tcW w:w="124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项目名称</w:t>
            </w:r>
          </w:p>
        </w:tc>
        <w:tc>
          <w:tcPr>
            <w:tcW w:w="7581" w:type="dxa"/>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口岸公共卫生安全专项</w:t>
            </w:r>
          </w:p>
        </w:tc>
      </w:tr>
      <w:tr>
        <w:trPr>
          <w:trHeight w:val="374"/>
        </w:trPr>
        <w:tc>
          <w:tcPr>
            <w:tcW w:w="124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主管部门</w:t>
            </w:r>
          </w:p>
        </w:tc>
        <w:tc>
          <w:tcPr>
            <w:tcW w:w="2645"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[167] 海关总署</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实施单位</w:t>
            </w:r>
          </w:p>
        </w:tc>
        <w:tc>
          <w:tcPr>
            <w:tcW w:w="3886"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呼和浩特国际旅行卫生保健中心(呼和浩特海关口岸门诊部）</w:t>
            </w:r>
          </w:p>
        </w:tc>
      </w:tr>
      <w:tr>
        <w:trPr>
          <w:trHeight w:val="374"/>
        </w:trPr>
        <w:tc>
          <w:tcPr>
            <w:tcW w:w="1244" w:type="dxa"/>
            <w:gridSpan w:val="2"/>
            <w:vMerge w:val="restart"/>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项目资金</w:t>
            </w:r>
          </w:p>
          <w:p>
            <w:pPr>
              <w:jc w:val="center"/>
              <w:rPr>
                <w:rFonts w:ascii="宋体" w:eastAsia="宋体" w:cs="宋体"/>
                <w:sz w:val="18"/>
              </w:rPr>
            </w:pPr>
            <w:r>
              <w:rPr>
                <w:rFonts w:ascii="宋体" w:eastAsia="宋体" w:cs="宋体"/>
                <w:sz w:val="18"/>
              </w:rPr>
              <w:t>（万元）</w:t>
            </w:r>
          </w:p>
        </w:tc>
        <w:tc>
          <w:tcPr>
            <w:tcW w:w="170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年初预算数</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全年预算数</w:t>
            </w:r>
          </w:p>
        </w:tc>
        <w:tc>
          <w:tcPr>
            <w:tcW w:w="136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全年执行数</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分值</w:t>
            </w:r>
          </w:p>
        </w:tc>
        <w:tc>
          <w:tcPr>
            <w:tcW w:w="7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执行率</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得分</w:t>
            </w:r>
          </w:p>
        </w:tc>
      </w:tr>
      <w:tr>
        <w:trPr>
          <w:trHeight w:val="374"/>
        </w:trPr>
        <w:tc>
          <w:tcPr>
            <w:tcW w:w="1245" w:type="dxa"/>
            <w:gridSpan w:val="2"/>
            <w:vMerge/>
            <w:tcBorders>
              <w:top w:val="nil"/>
              <w:left w:val="single" w:sz="6" w:space="0" w:color="000000"/>
              <w:bottom w:val="nil"/>
              <w:right w:val="single" w:sz="6" w:space="0" w:color="000000"/>
              <w:tl2br w:val="nil"/>
              <w:tr2bl w:val="nil"/>
            </w:tcBorders>
            <w:noWrap/>
            <w:vAlign w:val="center"/>
          </w:tcPr>
          <w:p/>
        </w:tc>
        <w:tc>
          <w:tcPr>
            <w:tcW w:w="170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年度资金总额：</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4.00</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4.00</w:t>
            </w:r>
          </w:p>
        </w:tc>
        <w:tc>
          <w:tcPr>
            <w:tcW w:w="136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4.00</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c>
          <w:tcPr>
            <w:tcW w:w="7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w:t>
            </w: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r>
      <w:tr>
        <w:trPr>
          <w:trHeight w:val="374"/>
        </w:trPr>
        <w:tc>
          <w:tcPr>
            <w:tcW w:w="1245" w:type="dxa"/>
            <w:gridSpan w:val="2"/>
            <w:vMerge/>
            <w:tcBorders>
              <w:top w:val="nil"/>
              <w:left w:val="single" w:sz="6" w:space="0" w:color="000000"/>
              <w:bottom w:val="nil"/>
              <w:right w:val="single" w:sz="6" w:space="0" w:color="000000"/>
              <w:tl2br w:val="nil"/>
              <w:tr2bl w:val="nil"/>
            </w:tcBorders>
            <w:noWrap/>
            <w:vAlign w:val="center"/>
          </w:tcPr>
          <w:p/>
        </w:tc>
        <w:tc>
          <w:tcPr>
            <w:tcW w:w="170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 xml:space="preserve">  其中：财政拨款</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4.00</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4.00</w:t>
            </w:r>
          </w:p>
        </w:tc>
        <w:tc>
          <w:tcPr>
            <w:tcW w:w="136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4.00</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7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trPr>
        <w:tc>
          <w:tcPr>
            <w:tcW w:w="1245" w:type="dxa"/>
            <w:gridSpan w:val="2"/>
            <w:vMerge/>
            <w:tcBorders>
              <w:top w:val="nil"/>
              <w:left w:val="single" w:sz="6" w:space="0" w:color="000000"/>
              <w:bottom w:val="nil"/>
              <w:right w:val="single" w:sz="6" w:space="0" w:color="000000"/>
              <w:tl2br w:val="nil"/>
              <w:tr2bl w:val="nil"/>
            </w:tcBorders>
            <w:noWrap/>
            <w:vAlign w:val="center"/>
          </w:tcPr>
          <w:p/>
        </w:tc>
        <w:tc>
          <w:tcPr>
            <w:tcW w:w="1700" w:type="dxa"/>
            <w:gridSpan w:val="2"/>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 xml:space="preserve">  上年结转</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136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7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trPr>
        <w:tc>
          <w:tcPr>
            <w:tcW w:w="1245" w:type="dxa"/>
            <w:gridSpan w:val="2"/>
            <w:vMerge/>
            <w:tcBorders>
              <w:top w:val="nil"/>
              <w:left w:val="single" w:sz="6" w:space="0" w:color="000000"/>
              <w:bottom w:val="single" w:sz="6" w:space="0" w:color="000000"/>
              <w:right w:val="single" w:sz="6" w:space="0" w:color="000000"/>
              <w:tl2br w:val="nil"/>
              <w:tr2bl w:val="nil"/>
            </w:tcBorders>
            <w:noWrap/>
            <w:vAlign w:val="center"/>
          </w:tcPr>
          <w:p/>
        </w:tc>
        <w:tc>
          <w:tcPr>
            <w:tcW w:w="170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 xml:space="preserve">   其他资金 </w:t>
            </w:r>
          </w:p>
        </w:tc>
        <w:tc>
          <w:tcPr>
            <w:tcW w:w="94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136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7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115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trPr>
        <w:tc>
          <w:tcPr>
            <w:tcW w:w="553"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w:t>
            </w:r>
          </w:p>
          <w:p>
            <w:pPr>
              <w:jc w:val="center"/>
              <w:rPr>
                <w:rFonts w:ascii="宋体" w:eastAsia="宋体" w:cs="宋体"/>
                <w:sz w:val="18"/>
              </w:rPr>
            </w:pPr>
            <w:r>
              <w:rPr>
                <w:rFonts w:ascii="宋体" w:eastAsia="宋体" w:cs="宋体"/>
                <w:sz w:val="18"/>
              </w:rPr>
              <w:t>度</w:t>
            </w:r>
          </w:p>
          <w:p>
            <w:pPr>
              <w:jc w:val="center"/>
              <w:rPr>
                <w:rFonts w:ascii="宋体" w:eastAsia="宋体" w:cs="宋体"/>
                <w:sz w:val="18"/>
              </w:rPr>
            </w:pPr>
            <w:r>
              <w:rPr>
                <w:rFonts w:ascii="宋体" w:eastAsia="宋体" w:cs="宋体"/>
                <w:sz w:val="18"/>
              </w:rPr>
              <w:t>总</w:t>
            </w:r>
          </w:p>
          <w:p>
            <w:pPr>
              <w:jc w:val="center"/>
              <w:rPr>
                <w:rFonts w:ascii="宋体" w:eastAsia="宋体" w:cs="宋体"/>
                <w:sz w:val="18"/>
              </w:rPr>
            </w:pPr>
            <w:r>
              <w:rPr>
                <w:rFonts w:ascii="宋体" w:eastAsia="宋体" w:cs="宋体"/>
                <w:sz w:val="18"/>
              </w:rPr>
              <w:t>体</w:t>
            </w:r>
          </w:p>
          <w:p>
            <w:pPr>
              <w:jc w:val="center"/>
              <w:rPr>
                <w:rFonts w:ascii="宋体" w:eastAsia="宋体" w:cs="宋体"/>
                <w:sz w:val="18"/>
              </w:rPr>
            </w:pPr>
            <w:r>
              <w:rPr>
                <w:rFonts w:ascii="宋体" w:eastAsia="宋体" w:cs="宋体"/>
                <w:sz w:val="18"/>
              </w:rPr>
              <w:t>目</w:t>
            </w:r>
          </w:p>
          <w:p>
            <w:pPr>
              <w:jc w:val="center"/>
              <w:rPr>
                <w:rFonts w:ascii="宋体" w:eastAsia="宋体" w:cs="宋体"/>
                <w:sz w:val="18"/>
              </w:rPr>
            </w:pPr>
            <w:r>
              <w:rPr>
                <w:rFonts w:ascii="宋体" w:eastAsia="宋体" w:cs="宋体"/>
                <w:sz w:val="18"/>
              </w:rPr>
              <w:t>标</w:t>
            </w:r>
          </w:p>
        </w:tc>
        <w:tc>
          <w:tcPr>
            <w:tcW w:w="4385"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预期目标</w:t>
            </w:r>
          </w:p>
        </w:tc>
        <w:tc>
          <w:tcPr>
            <w:tcW w:w="3886"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实际完成情况</w:t>
            </w:r>
          </w:p>
        </w:tc>
      </w:tr>
      <w:tr>
        <w:trPr>
          <w:trHeight w:val="2729"/>
        </w:trPr>
        <w:tc>
          <w:tcPr>
            <w:tcW w:w="553" w:type="dxa"/>
            <w:vMerge/>
            <w:tcBorders>
              <w:top w:val="single" w:sz="6" w:space="0" w:color="000000"/>
              <w:left w:val="single" w:sz="6" w:space="0" w:color="000000"/>
              <w:bottom w:val="nil"/>
              <w:right w:val="single" w:sz="6" w:space="0" w:color="000000"/>
              <w:tl2br w:val="nil"/>
              <w:tr2bl w:val="nil"/>
            </w:tcBorders>
            <w:noWrap/>
            <w:vAlign w:val="center"/>
          </w:tcPr>
          <w:p/>
        </w:tc>
        <w:tc>
          <w:tcPr>
            <w:tcW w:w="4385" w:type="dxa"/>
            <w:gridSpan w:val="5"/>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宋体"/>
                <w:sz w:val="18"/>
              </w:rPr>
            </w:pPr>
            <w:r>
              <w:rPr>
                <w:rFonts w:ascii="宋体" w:eastAsia="宋体" w:cs="宋体"/>
                <w:sz w:val="18"/>
              </w:rPr>
              <w:t xml:space="preserve"> 项目的主要目标：呼和浩特海关所辖口岸的发热病人传染病筛查工作（包含新冠肺炎检测工作），病媒生物监测、检测及鉴定工作，卫生处理效果评价工作，同时确保生物安全三级实验室和生物安全二级实验室（含P2+，移动P2，P2）的运行维护和保障工作开展所需的检测试剂耗材购买，委托检测服务，差旅，劳务等相关费用。</w:t>
            </w:r>
          </w:p>
        </w:tc>
        <w:tc>
          <w:tcPr>
            <w:tcW w:w="3886" w:type="dxa"/>
            <w:gridSpan w:val="4"/>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宋体"/>
                <w:sz w:val="18"/>
              </w:rPr>
            </w:pPr>
            <w:r>
              <w:rPr>
                <w:rFonts w:ascii="宋体" w:eastAsia="宋体" w:cs="宋体"/>
                <w:sz w:val="18"/>
              </w:rPr>
              <w:t>全年严格按照口岸防控方案，开展入境人员“多病共防”检测共计874人，开展流感等重点病种检测5522人次，所有结果均及时反馈并依规处置，有效防范了传染病输入风险。按年度监测计划，全年共完成监测5次，捕获各类病媒生物1237只，监测覆盖率100%。对卫生处理作业开展了效果评价，覆盖率100%，对不达标的作业及时督促整改，有效降低病媒生物及传染病传播风险。按实验室检测需求，足额采购各类检测试剂耗材，根据工作需要，参与应急处理演练等差旅任务，并以规支付相关费用，保障各项业务正常开展。</w:t>
            </w:r>
          </w:p>
        </w:tc>
      </w:tr>
      <w:tr>
        <w:trPr>
          <w:trHeight w:val="539"/>
        </w:trPr>
        <w:tc>
          <w:tcPr>
            <w:tcW w:w="553"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绩</w:t>
            </w:r>
          </w:p>
          <w:p>
            <w:pPr>
              <w:jc w:val="center"/>
              <w:rPr>
                <w:rFonts w:ascii="宋体" w:eastAsia="宋体" w:cs="宋体"/>
                <w:sz w:val="18"/>
              </w:rPr>
            </w:pPr>
            <w:r>
              <w:rPr>
                <w:rFonts w:ascii="宋体" w:eastAsia="宋体" w:cs="宋体"/>
                <w:sz w:val="18"/>
              </w:rPr>
              <w:t>效</w:t>
            </w:r>
          </w:p>
          <w:p>
            <w:pPr>
              <w:jc w:val="center"/>
              <w:rPr>
                <w:rFonts w:ascii="宋体" w:eastAsia="宋体" w:cs="宋体"/>
                <w:sz w:val="18"/>
              </w:rPr>
            </w:pPr>
            <w:r>
              <w:rPr>
                <w:rFonts w:ascii="宋体" w:eastAsia="宋体" w:cs="宋体"/>
                <w:sz w:val="18"/>
              </w:rPr>
              <w:t>指</w:t>
            </w:r>
          </w:p>
          <w:p>
            <w:pPr>
              <w:jc w:val="center"/>
              <w:rPr>
                <w:rFonts w:ascii="宋体" w:eastAsia="宋体" w:cs="宋体"/>
                <w:sz w:val="18"/>
              </w:rPr>
            </w:pPr>
            <w:r>
              <w:rPr>
                <w:rFonts w:ascii="宋体" w:eastAsia="宋体" w:cs="宋体"/>
                <w:sz w:val="18"/>
              </w:rPr>
              <w:t>标</w:t>
            </w:r>
          </w:p>
        </w:tc>
        <w:tc>
          <w:tcPr>
            <w:tcW w:w="692"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一级指标</w:t>
            </w:r>
          </w:p>
        </w:tc>
        <w:tc>
          <w:tcPr>
            <w:tcW w:w="9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二级指标</w:t>
            </w:r>
          </w:p>
        </w:tc>
        <w:tc>
          <w:tcPr>
            <w:tcW w:w="1716"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三级指标</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年度指标值</w:t>
            </w:r>
          </w:p>
        </w:tc>
        <w:tc>
          <w:tcPr>
            <w:tcW w:w="136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实际完成值</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分值</w:t>
            </w:r>
          </w:p>
        </w:tc>
        <w:tc>
          <w:tcPr>
            <w:tcW w:w="7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得分</w:t>
            </w:r>
          </w:p>
        </w:tc>
        <w:tc>
          <w:tcPr>
            <w:tcW w:w="1155" w:type="dxa"/>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偏差原因分析及</w:t>
            </w:r>
          </w:p>
          <w:p>
            <w:pPr>
              <w:jc w:val="center"/>
              <w:rPr>
                <w:rFonts w:ascii="宋体" w:eastAsia="宋体" w:cs="宋体"/>
                <w:sz w:val="18"/>
              </w:rPr>
            </w:pPr>
            <w:r>
              <w:rPr>
                <w:rFonts w:ascii="宋体" w:eastAsia="宋体" w:cs="宋体"/>
                <w:sz w:val="18"/>
              </w:rPr>
              <w:t>改进措施</w:t>
            </w:r>
          </w:p>
        </w:tc>
      </w:tr>
      <w:tr>
        <w:trPr>
          <w:trHeight w:val="374"/>
        </w:trPr>
        <w:tc>
          <w:tcPr>
            <w:tcW w:w="553" w:type="dxa"/>
            <w:vMerge/>
            <w:tcBorders>
              <w:top w:val="nil"/>
              <w:left w:val="single" w:sz="6" w:space="0" w:color="auto"/>
              <w:bottom w:val="single" w:sz="6" w:space="0" w:color="auto"/>
              <w:right w:val="single" w:sz="6" w:space="0" w:color="auto"/>
              <w:tl2br w:val="nil"/>
              <w:tr2bl w:val="nil"/>
            </w:tcBorders>
            <w:noWrap/>
            <w:vAlign w:val="center"/>
          </w:tcPr>
          <w:p/>
        </w:tc>
        <w:tc>
          <w:tcPr>
            <w:tcW w:w="692" w:type="dxa"/>
            <w:vMerge w:val="restart"/>
            <w:tcBorders>
              <w:top w:val="single" w:sz="6" w:space="0" w:color="auto"/>
              <w:left w:val="nil"/>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产出指标</w:t>
            </w:r>
          </w:p>
        </w:tc>
        <w:tc>
          <w:tcPr>
            <w:tcW w:w="928"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数量指标</w:t>
            </w:r>
          </w:p>
        </w:tc>
        <w:tc>
          <w:tcPr>
            <w:tcW w:w="1716"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传染病防控宣传（次）</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≥1次</w:t>
            </w:r>
          </w:p>
        </w:tc>
        <w:tc>
          <w:tcPr>
            <w:tcW w:w="136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1.00次</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8</w:t>
            </w:r>
          </w:p>
        </w:tc>
        <w:tc>
          <w:tcPr>
            <w:tcW w:w="735"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8.0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3" w:type="dxa"/>
            <w:vMerge/>
            <w:tcBorders>
              <w:top w:val="nil"/>
              <w:left w:val="single" w:sz="6" w:space="0" w:color="auto"/>
              <w:bottom w:val="single" w:sz="6" w:space="0" w:color="auto"/>
              <w:right w:val="single" w:sz="6" w:space="0" w:color="auto"/>
              <w:tl2br w:val="nil"/>
              <w:tr2bl w:val="nil"/>
            </w:tcBorders>
            <w:noWrap/>
            <w:vAlign w:val="center"/>
          </w:tcPr>
          <w:p/>
        </w:tc>
        <w:tc>
          <w:tcPr>
            <w:tcW w:w="692" w:type="dxa"/>
            <w:vMerge/>
            <w:tcBorders>
              <w:top w:val="single" w:sz="6" w:space="0" w:color="auto"/>
              <w:left w:val="nil"/>
              <w:bottom w:val="nil"/>
              <w:right w:val="single" w:sz="6" w:space="0" w:color="auto"/>
              <w:tl2br w:val="nil"/>
              <w:tr2bl w:val="nil"/>
            </w:tcBorders>
            <w:noWrap/>
            <w:vAlign w:val="center"/>
          </w:tcPr>
          <w:p/>
        </w:tc>
        <w:tc>
          <w:tcPr>
            <w:tcW w:w="928" w:type="dxa"/>
            <w:vMerge/>
            <w:tcBorders>
              <w:top w:val="single" w:sz="6" w:space="0" w:color="auto"/>
              <w:left w:val="single" w:sz="6" w:space="0" w:color="auto"/>
              <w:bottom w:val="nil"/>
              <w:right w:val="single" w:sz="6" w:space="0" w:color="auto"/>
              <w:tl2br w:val="nil"/>
              <w:tr2bl w:val="nil"/>
            </w:tcBorders>
            <w:noWrap/>
            <w:vAlign w:val="center"/>
          </w:tcPr>
          <w:p/>
        </w:tc>
        <w:tc>
          <w:tcPr>
            <w:tcW w:w="1716"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口岸传染病疫情风险评估（次）</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≥1次</w:t>
            </w:r>
          </w:p>
        </w:tc>
        <w:tc>
          <w:tcPr>
            <w:tcW w:w="136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1.00次</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8</w:t>
            </w:r>
          </w:p>
        </w:tc>
        <w:tc>
          <w:tcPr>
            <w:tcW w:w="735"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8.0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3" w:type="dxa"/>
            <w:vMerge/>
            <w:tcBorders>
              <w:top w:val="nil"/>
              <w:left w:val="single" w:sz="6" w:space="0" w:color="auto"/>
              <w:bottom w:val="single" w:sz="6" w:space="0" w:color="auto"/>
              <w:right w:val="single" w:sz="6" w:space="0" w:color="auto"/>
              <w:tl2br w:val="nil"/>
              <w:tr2bl w:val="nil"/>
            </w:tcBorders>
            <w:noWrap/>
            <w:vAlign w:val="center"/>
          </w:tcPr>
          <w:p/>
        </w:tc>
        <w:tc>
          <w:tcPr>
            <w:tcW w:w="692" w:type="dxa"/>
            <w:vMerge/>
            <w:tcBorders>
              <w:top w:val="single" w:sz="6" w:space="0" w:color="auto"/>
              <w:left w:val="nil"/>
              <w:bottom w:val="nil"/>
              <w:right w:val="single" w:sz="6" w:space="0" w:color="auto"/>
              <w:tl2br w:val="nil"/>
              <w:tr2bl w:val="nil"/>
            </w:tcBorders>
            <w:noWrap/>
            <w:vAlign w:val="center"/>
          </w:tcPr>
          <w:p/>
        </w:tc>
        <w:tc>
          <w:tcPr>
            <w:tcW w:w="928" w:type="dxa"/>
            <w:vMerge/>
            <w:tcBorders>
              <w:top w:val="single" w:sz="6" w:space="0" w:color="auto"/>
              <w:left w:val="single" w:sz="6" w:space="0" w:color="auto"/>
              <w:bottom w:val="nil"/>
              <w:right w:val="single" w:sz="6" w:space="0" w:color="auto"/>
              <w:tl2br w:val="nil"/>
              <w:tr2bl w:val="nil"/>
            </w:tcBorders>
            <w:noWrap/>
            <w:vAlign w:val="center"/>
          </w:tcPr>
          <w:p/>
        </w:tc>
        <w:tc>
          <w:tcPr>
            <w:tcW w:w="1716"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病媒生物监测、检测及鉴定批次</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≥100批次</w:t>
            </w:r>
          </w:p>
        </w:tc>
        <w:tc>
          <w:tcPr>
            <w:tcW w:w="136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110.00批次</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w:t>
            </w:r>
          </w:p>
        </w:tc>
        <w:tc>
          <w:tcPr>
            <w:tcW w:w="735"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9.0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3" w:type="dxa"/>
            <w:vMerge/>
            <w:tcBorders>
              <w:top w:val="nil"/>
              <w:left w:val="single" w:sz="6" w:space="0" w:color="auto"/>
              <w:bottom w:val="single" w:sz="6" w:space="0" w:color="auto"/>
              <w:right w:val="single" w:sz="6" w:space="0" w:color="auto"/>
              <w:tl2br w:val="nil"/>
              <w:tr2bl w:val="nil"/>
            </w:tcBorders>
            <w:noWrap/>
            <w:vAlign w:val="center"/>
          </w:tcPr>
          <w:p/>
        </w:tc>
        <w:tc>
          <w:tcPr>
            <w:tcW w:w="692" w:type="dxa"/>
            <w:vMerge/>
            <w:tcBorders>
              <w:top w:val="single" w:sz="6" w:space="0" w:color="auto"/>
              <w:left w:val="nil"/>
              <w:bottom w:val="nil"/>
              <w:right w:val="single" w:sz="6" w:space="0" w:color="auto"/>
              <w:tl2br w:val="nil"/>
              <w:tr2bl w:val="nil"/>
            </w:tcBorders>
            <w:noWrap/>
            <w:vAlign w:val="center"/>
          </w:tcPr>
          <w:p/>
        </w:tc>
        <w:tc>
          <w:tcPr>
            <w:tcW w:w="928"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质量指标</w:t>
            </w:r>
          </w:p>
        </w:tc>
        <w:tc>
          <w:tcPr>
            <w:tcW w:w="1716"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病媒生物监测、检测及鉴定合格率</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≥96%</w:t>
            </w:r>
          </w:p>
        </w:tc>
        <w:tc>
          <w:tcPr>
            <w:tcW w:w="136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8</w:t>
            </w:r>
          </w:p>
        </w:tc>
        <w:tc>
          <w:tcPr>
            <w:tcW w:w="735"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8.0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3" w:type="dxa"/>
            <w:vMerge/>
            <w:tcBorders>
              <w:top w:val="nil"/>
              <w:left w:val="single" w:sz="6" w:space="0" w:color="auto"/>
              <w:bottom w:val="single" w:sz="6" w:space="0" w:color="auto"/>
              <w:right w:val="single" w:sz="6" w:space="0" w:color="auto"/>
              <w:tl2br w:val="nil"/>
              <w:tr2bl w:val="nil"/>
            </w:tcBorders>
            <w:noWrap/>
            <w:vAlign w:val="center"/>
          </w:tcPr>
          <w:p/>
        </w:tc>
        <w:tc>
          <w:tcPr>
            <w:tcW w:w="692" w:type="dxa"/>
            <w:vMerge/>
            <w:tcBorders>
              <w:top w:val="single" w:sz="6" w:space="0" w:color="auto"/>
              <w:left w:val="nil"/>
              <w:bottom w:val="nil"/>
              <w:right w:val="single" w:sz="6" w:space="0" w:color="auto"/>
              <w:tl2br w:val="nil"/>
              <w:tr2bl w:val="nil"/>
            </w:tcBorders>
            <w:noWrap/>
            <w:vAlign w:val="center"/>
          </w:tcPr>
          <w:p/>
        </w:tc>
        <w:tc>
          <w:tcPr>
            <w:tcW w:w="928" w:type="dxa"/>
            <w:vMerge/>
            <w:tcBorders>
              <w:top w:val="single" w:sz="6" w:space="0" w:color="auto"/>
              <w:left w:val="single" w:sz="6" w:space="0" w:color="auto"/>
              <w:bottom w:val="nil"/>
              <w:right w:val="single" w:sz="6" w:space="0" w:color="auto"/>
              <w:tl2br w:val="nil"/>
              <w:tr2bl w:val="nil"/>
            </w:tcBorders>
            <w:noWrap/>
            <w:vAlign w:val="center"/>
          </w:tcPr>
          <w:p/>
        </w:tc>
        <w:tc>
          <w:tcPr>
            <w:tcW w:w="1716"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因保障能力造成检测结果的差错率</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w:t>
            </w:r>
          </w:p>
        </w:tc>
        <w:tc>
          <w:tcPr>
            <w:tcW w:w="136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w:t>
            </w:r>
          </w:p>
        </w:tc>
        <w:tc>
          <w:tcPr>
            <w:tcW w:w="735"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9.0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3" w:type="dxa"/>
            <w:vMerge/>
            <w:tcBorders>
              <w:top w:val="nil"/>
              <w:left w:val="single" w:sz="6" w:space="0" w:color="auto"/>
              <w:bottom w:val="single" w:sz="6" w:space="0" w:color="auto"/>
              <w:right w:val="single" w:sz="6" w:space="0" w:color="auto"/>
              <w:tl2br w:val="nil"/>
              <w:tr2bl w:val="nil"/>
            </w:tcBorders>
            <w:noWrap/>
            <w:vAlign w:val="center"/>
          </w:tcPr>
          <w:p/>
        </w:tc>
        <w:tc>
          <w:tcPr>
            <w:tcW w:w="692" w:type="dxa"/>
            <w:vMerge/>
            <w:tcBorders>
              <w:top w:val="single" w:sz="6" w:space="0" w:color="auto"/>
              <w:left w:val="nil"/>
              <w:bottom w:val="nil"/>
              <w:right w:val="single" w:sz="6" w:space="0" w:color="auto"/>
              <w:tl2br w:val="nil"/>
              <w:tr2bl w:val="nil"/>
            </w:tcBorders>
            <w:noWrap/>
            <w:vAlign w:val="center"/>
          </w:tcPr>
          <w:p/>
        </w:tc>
        <w:tc>
          <w:tcPr>
            <w:tcW w:w="928" w:type="dxa"/>
            <w:vMerge/>
            <w:tcBorders>
              <w:top w:val="single" w:sz="6" w:space="0" w:color="auto"/>
              <w:left w:val="single" w:sz="6" w:space="0" w:color="auto"/>
              <w:bottom w:val="nil"/>
              <w:right w:val="single" w:sz="6" w:space="0" w:color="auto"/>
              <w:tl2br w:val="nil"/>
              <w:tr2bl w:val="nil"/>
            </w:tcBorders>
            <w:noWrap/>
            <w:vAlign w:val="center"/>
          </w:tcPr>
          <w:p/>
        </w:tc>
        <w:tc>
          <w:tcPr>
            <w:tcW w:w="1716"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传染病防控宣传活动完成率</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≥98%</w:t>
            </w:r>
          </w:p>
        </w:tc>
        <w:tc>
          <w:tcPr>
            <w:tcW w:w="136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8</w:t>
            </w:r>
          </w:p>
        </w:tc>
        <w:tc>
          <w:tcPr>
            <w:tcW w:w="735"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8.0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3" w:type="dxa"/>
            <w:vMerge/>
            <w:tcBorders>
              <w:top w:val="nil"/>
              <w:left w:val="single" w:sz="6" w:space="0" w:color="auto"/>
              <w:bottom w:val="single" w:sz="6" w:space="0" w:color="auto"/>
              <w:right w:val="single" w:sz="6" w:space="0" w:color="auto"/>
              <w:tl2br w:val="nil"/>
              <w:tr2bl w:val="nil"/>
            </w:tcBorders>
            <w:noWrap/>
            <w:vAlign w:val="center"/>
          </w:tcPr>
          <w:p/>
        </w:tc>
        <w:tc>
          <w:tcPr>
            <w:tcW w:w="692" w:type="dxa"/>
            <w:tcBorders>
              <w:top w:val="single" w:sz="6" w:space="0" w:color="auto"/>
              <w:left w:val="nil"/>
              <w:bottom w:val="nil"/>
              <w:right w:val="single" w:sz="6" w:space="0" w:color="auto"/>
              <w:tl2br w:val="nil"/>
              <w:tr2bl w:val="nil"/>
            </w:tcBorders>
            <w:noWrap/>
            <w:vAlign w:val="center"/>
          </w:tcPr>
          <w:p>
            <w:pPr>
              <w:jc w:val="center"/>
              <w:rPr>
                <w:rFonts w:ascii="宋体" w:eastAsia="宋体"/>
                <w:sz w:val="18"/>
              </w:rPr>
            </w:pPr>
            <w:r>
              <w:rPr>
                <w:rFonts w:ascii="宋体" w:eastAsia="宋体"/>
                <w:sz w:val="18"/>
              </w:rPr>
              <w:t>效益指标</w:t>
            </w:r>
          </w:p>
        </w:tc>
        <w:tc>
          <w:tcPr>
            <w:tcW w:w="928"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社会效益指标</w:t>
            </w:r>
          </w:p>
        </w:tc>
        <w:tc>
          <w:tcPr>
            <w:tcW w:w="1716" w:type="dxa"/>
            <w:gridSpan w:val="2"/>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因传染病引起突发口岸重大突发公共卫生事件处置率</w:t>
            </w:r>
          </w:p>
        </w:tc>
        <w:tc>
          <w:tcPr>
            <w:tcW w:w="10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≥90%</w:t>
            </w:r>
          </w:p>
        </w:tc>
        <w:tc>
          <w:tcPr>
            <w:tcW w:w="136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40</w:t>
            </w:r>
          </w:p>
        </w:tc>
        <w:tc>
          <w:tcPr>
            <w:tcW w:w="735"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40.0</w:t>
            </w:r>
          </w:p>
        </w:tc>
        <w:tc>
          <w:tcPr>
            <w:tcW w:w="115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434"/>
        </w:trPr>
        <w:tc>
          <w:tcPr>
            <w:tcW w:w="6304" w:type="dxa"/>
            <w:gridSpan w:val="7"/>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总分</w:t>
            </w:r>
          </w:p>
        </w:tc>
        <w:tc>
          <w:tcPr>
            <w:tcW w:w="6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c>
          <w:tcPr>
            <w:tcW w:w="73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w:t>
            </w:r>
          </w:p>
        </w:tc>
        <w:tc>
          <w:tcPr>
            <w:tcW w:w="1155" w:type="dxa"/>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r>
    </w:tbl>
    <w:p>
      <w:pPr>
        <w:pStyle w:val="62"/>
        <w:tabs>
          <w:tab w:val="left" w:pos="5978"/>
        </w:tabs>
        <w:spacing w:before="901"/>
        <w:jc w:val="both"/>
        <w:rPr>
          <w:rFonts w:ascii="黑体" w:eastAsia="黑体" w:cs="黑体"/>
          <w:sz w:val="32"/>
          <w:szCs w:val="32"/>
        </w:rPr>
      </w:pPr>
    </w:p>
    <w:p>
      <w:pPr>
        <w:pStyle w:val="62"/>
        <w:tabs>
          <w:tab w:val="left" w:pos="5978"/>
        </w:tabs>
        <w:spacing w:before="901"/>
        <w:jc w:val="both"/>
        <w:rPr>
          <w:rFonts w:ascii="黑体" w:eastAsia="黑体" w:cs="黑体"/>
          <w:sz w:val="32"/>
          <w:szCs w:val="32"/>
        </w:rPr>
      </w:pPr>
    </w:p>
    <w:tbl>
      <w:tblPr>
        <w:jc w:val="left"/>
        <w:tblW w:w="8919"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52"/>
        <w:gridCol w:w="712"/>
        <w:gridCol w:w="104"/>
        <w:gridCol w:w="190"/>
        <w:gridCol w:w="753"/>
        <w:gridCol w:w="86"/>
        <w:gridCol w:w="125"/>
        <w:gridCol w:w="654"/>
        <w:gridCol w:w="79"/>
        <w:gridCol w:w="313"/>
        <w:gridCol w:w="422"/>
        <w:gridCol w:w="55"/>
        <w:gridCol w:w="571"/>
        <w:gridCol w:w="318"/>
        <w:gridCol w:w="108"/>
        <w:gridCol w:w="414"/>
        <w:gridCol w:w="396"/>
        <w:gridCol w:w="628"/>
        <w:gridCol w:w="242"/>
        <w:gridCol w:w="246"/>
        <w:gridCol w:w="489"/>
        <w:gridCol w:w="214"/>
        <w:gridCol w:w="525"/>
        <w:gridCol w:w="524"/>
        <w:gridCol w:w="200"/>
      </w:tblGrid>
      <w:tr>
        <w:trPr>
          <w:trHeight w:val="419"/>
          <w:gridAfter w:val="1"/>
          <w:wAfter w:w="200" w:type="dxa"/>
        </w:trPr>
        <w:tc>
          <w:tcPr>
            <w:tcW w:w="8719" w:type="dxa"/>
            <w:gridSpan w:val="24"/>
            <w:tcBorders>
              <w:top w:val="nil"/>
              <w:left w:val="nil"/>
              <w:bottom w:val="nil"/>
              <w:right w:val="nil"/>
              <w:tl2br w:val="nil"/>
              <w:tr2bl w:val="nil"/>
            </w:tcBorders>
            <w:noWrap/>
            <w:vAlign w:val="center"/>
          </w:tcPr>
          <w:p>
            <w:pPr>
              <w:jc w:val="center"/>
              <w:rPr>
                <w:rFonts w:ascii="宋体" w:eastAsia="宋体" w:cs="宋体"/>
                <w:b/>
                <w:i w:val="0"/>
                <w:sz w:val="32"/>
              </w:rPr>
            </w:pPr>
            <w:r>
              <w:rPr>
                <w:rFonts w:ascii="宋体" w:eastAsia="宋体" w:cs="宋体"/>
                <w:b/>
                <w:i w:val="0"/>
                <w:sz w:val="32"/>
              </w:rPr>
              <w:t>智慧海关建设与科技赋能保障专项项目绩效自评表</w:t>
            </w:r>
          </w:p>
        </w:tc>
      </w:tr>
      <w:tr>
        <w:trPr>
          <w:trHeight w:val="284"/>
          <w:gridAfter w:val="1"/>
          <w:wAfter w:w="200" w:type="dxa"/>
        </w:trPr>
        <w:tc>
          <w:tcPr>
            <w:tcW w:w="8719" w:type="dxa"/>
            <w:gridSpan w:val="24"/>
            <w:tcBorders>
              <w:top w:val="nil"/>
              <w:left w:val="nil"/>
              <w:bottom w:val="nil"/>
              <w:right w:val="nil"/>
              <w:tl2br w:val="nil"/>
              <w:tr2bl w:val="nil"/>
            </w:tcBorders>
            <w:noWrap/>
            <w:vAlign w:val="center"/>
          </w:tcPr>
          <w:p>
            <w:pPr>
              <w:jc w:val="center"/>
              <w:rPr>
                <w:rFonts w:ascii="宋体" w:eastAsia="宋体" w:cs="宋体"/>
                <w:sz w:val="22"/>
              </w:rPr>
            </w:pPr>
            <w:r>
              <w:rPr>
                <w:rFonts w:ascii="宋体" w:eastAsia="宋体" w:cs="宋体"/>
                <w:sz w:val="22"/>
              </w:rPr>
              <w:t>（2025年度）</w:t>
            </w:r>
          </w:p>
        </w:tc>
      </w:tr>
      <w:tr>
        <w:trPr>
          <w:trHeight w:val="374"/>
          <w:gridAfter w:val="1"/>
          <w:wAfter w:w="200" w:type="dxa"/>
        </w:trPr>
        <w:tc>
          <w:tcPr>
            <w:tcW w:w="1558"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项目名称</w:t>
            </w:r>
          </w:p>
        </w:tc>
        <w:tc>
          <w:tcPr>
            <w:tcW w:w="7161" w:type="dxa"/>
            <w:gridSpan w:val="20"/>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智慧海关建设与科技赋能保障专项</w:t>
            </w:r>
          </w:p>
        </w:tc>
      </w:tr>
      <w:tr>
        <w:trPr>
          <w:trHeight w:val="374"/>
          <w:gridAfter w:val="1"/>
          <w:wAfter w:w="200" w:type="dxa"/>
        </w:trPr>
        <w:tc>
          <w:tcPr>
            <w:tcW w:w="1558"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主管部门</w:t>
            </w:r>
          </w:p>
        </w:tc>
        <w:tc>
          <w:tcPr>
            <w:tcW w:w="2487" w:type="dxa"/>
            <w:gridSpan w:val="8"/>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[167] 海关总署</w:t>
            </w:r>
          </w:p>
        </w:tc>
        <w:tc>
          <w:tcPr>
            <w:tcW w:w="997"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实施单位</w:t>
            </w:r>
          </w:p>
        </w:tc>
        <w:tc>
          <w:tcPr>
            <w:tcW w:w="3678" w:type="dxa"/>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呼和浩特国际旅行卫生保健中心(呼和浩特海关口岸门诊部）</w:t>
            </w:r>
          </w:p>
        </w:tc>
      </w:tr>
      <w:tr>
        <w:trPr>
          <w:trHeight w:val="374"/>
          <w:gridAfter w:val="1"/>
          <w:wAfter w:w="200" w:type="dxa"/>
        </w:trPr>
        <w:tc>
          <w:tcPr>
            <w:tcW w:w="1558" w:type="dxa"/>
            <w:gridSpan w:val="4"/>
            <w:vMerge w:val="restart"/>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项目资金</w:t>
            </w:r>
          </w:p>
          <w:p>
            <w:pPr>
              <w:jc w:val="center"/>
              <w:rPr>
                <w:rFonts w:ascii="宋体" w:eastAsia="宋体" w:cs="宋体"/>
                <w:sz w:val="18"/>
              </w:rPr>
            </w:pPr>
            <w:r>
              <w:rPr>
                <w:rFonts w:ascii="宋体" w:eastAsia="宋体" w:cs="宋体"/>
                <w:sz w:val="18"/>
              </w:rPr>
              <w:t>（万元）</w:t>
            </w:r>
          </w:p>
        </w:tc>
        <w:tc>
          <w:tcPr>
            <w:tcW w:w="1618"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869"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年初预算数</w:t>
            </w:r>
          </w:p>
        </w:tc>
        <w:tc>
          <w:tcPr>
            <w:tcW w:w="997"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全年预算数</w:t>
            </w:r>
          </w:p>
        </w:tc>
        <w:tc>
          <w:tcPr>
            <w:tcW w:w="81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全年执行数</w:t>
            </w:r>
          </w:p>
        </w:tc>
        <w:tc>
          <w:tcPr>
            <w:tcW w:w="87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分值</w:t>
            </w:r>
          </w:p>
        </w:tc>
        <w:tc>
          <w:tcPr>
            <w:tcW w:w="73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执行率</w:t>
            </w:r>
          </w:p>
        </w:tc>
        <w:tc>
          <w:tcPr>
            <w:tcW w:w="1263"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得分</w:t>
            </w:r>
          </w:p>
        </w:tc>
      </w:tr>
      <w:tr>
        <w:trPr>
          <w:trHeight w:val="374"/>
          <w:gridAfter w:val="1"/>
          <w:wAfter w:w="200" w:type="dxa"/>
        </w:trPr>
        <w:tc>
          <w:tcPr>
            <w:tcW w:w="1558" w:type="dxa"/>
            <w:gridSpan w:val="4"/>
            <w:vMerge/>
            <w:tcBorders>
              <w:top w:val="nil"/>
              <w:left w:val="single" w:sz="6" w:space="0" w:color="000000"/>
              <w:bottom w:val="nil"/>
              <w:right w:val="single" w:sz="6" w:space="0" w:color="000000"/>
              <w:tl2br w:val="nil"/>
              <w:tr2bl w:val="nil"/>
            </w:tcBorders>
            <w:noWrap/>
            <w:vAlign w:val="center"/>
          </w:tcPr>
          <w:p/>
        </w:tc>
        <w:tc>
          <w:tcPr>
            <w:tcW w:w="1618"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年度资金总额：</w:t>
            </w:r>
          </w:p>
        </w:tc>
        <w:tc>
          <w:tcPr>
            <w:tcW w:w="869"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40.00</w:t>
            </w:r>
          </w:p>
        </w:tc>
        <w:tc>
          <w:tcPr>
            <w:tcW w:w="997"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40.00</w:t>
            </w:r>
          </w:p>
        </w:tc>
        <w:tc>
          <w:tcPr>
            <w:tcW w:w="81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21.71</w:t>
            </w:r>
          </w:p>
        </w:tc>
        <w:tc>
          <w:tcPr>
            <w:tcW w:w="87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c>
          <w:tcPr>
            <w:tcW w:w="73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54.3%</w:t>
            </w:r>
          </w:p>
        </w:tc>
        <w:tc>
          <w:tcPr>
            <w:tcW w:w="1263"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5.4</w:t>
            </w:r>
          </w:p>
        </w:tc>
      </w:tr>
      <w:tr>
        <w:trPr>
          <w:trHeight w:val="374"/>
          <w:gridAfter w:val="1"/>
          <w:wAfter w:w="200" w:type="dxa"/>
        </w:trPr>
        <w:tc>
          <w:tcPr>
            <w:tcW w:w="1558" w:type="dxa"/>
            <w:gridSpan w:val="4"/>
            <w:vMerge/>
            <w:tcBorders>
              <w:top w:val="nil"/>
              <w:left w:val="single" w:sz="6" w:space="0" w:color="000000"/>
              <w:bottom w:val="nil"/>
              <w:right w:val="single" w:sz="6" w:space="0" w:color="000000"/>
              <w:tl2br w:val="nil"/>
              <w:tr2bl w:val="nil"/>
            </w:tcBorders>
            <w:noWrap/>
            <w:vAlign w:val="center"/>
          </w:tcPr>
          <w:p/>
        </w:tc>
        <w:tc>
          <w:tcPr>
            <w:tcW w:w="1618"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 xml:space="preserve"> 其中：财政拨款</w:t>
            </w:r>
          </w:p>
        </w:tc>
        <w:tc>
          <w:tcPr>
            <w:tcW w:w="869"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40.00</w:t>
            </w:r>
          </w:p>
        </w:tc>
        <w:tc>
          <w:tcPr>
            <w:tcW w:w="997"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40.00</w:t>
            </w:r>
          </w:p>
        </w:tc>
        <w:tc>
          <w:tcPr>
            <w:tcW w:w="81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21.71</w:t>
            </w:r>
          </w:p>
        </w:tc>
        <w:tc>
          <w:tcPr>
            <w:tcW w:w="87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73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1263"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gridAfter w:val="1"/>
          <w:wAfter w:w="200" w:type="dxa"/>
        </w:trPr>
        <w:tc>
          <w:tcPr>
            <w:tcW w:w="1558" w:type="dxa"/>
            <w:gridSpan w:val="4"/>
            <w:vMerge/>
            <w:tcBorders>
              <w:top w:val="nil"/>
              <w:left w:val="single" w:sz="6" w:space="0" w:color="000000"/>
              <w:bottom w:val="nil"/>
              <w:right w:val="single" w:sz="6" w:space="0" w:color="000000"/>
              <w:tl2br w:val="nil"/>
              <w:tr2bl w:val="nil"/>
            </w:tcBorders>
            <w:noWrap/>
            <w:vAlign w:val="center"/>
          </w:tcPr>
          <w:p/>
        </w:tc>
        <w:tc>
          <w:tcPr>
            <w:tcW w:w="1618" w:type="dxa"/>
            <w:gridSpan w:val="4"/>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 xml:space="preserve">  上年结转</w:t>
            </w:r>
          </w:p>
        </w:tc>
        <w:tc>
          <w:tcPr>
            <w:tcW w:w="869"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997"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81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87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73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1263"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gridAfter w:val="1"/>
          <w:wAfter w:w="200" w:type="dxa"/>
        </w:trPr>
        <w:tc>
          <w:tcPr>
            <w:tcW w:w="1558" w:type="dxa"/>
            <w:gridSpan w:val="4"/>
            <w:vMerge/>
            <w:tcBorders>
              <w:top w:val="nil"/>
              <w:left w:val="single" w:sz="6" w:space="0" w:color="000000"/>
              <w:bottom w:val="single" w:sz="6" w:space="0" w:color="000000"/>
              <w:right w:val="single" w:sz="6" w:space="0" w:color="000000"/>
              <w:tl2br w:val="nil"/>
              <w:tr2bl w:val="nil"/>
            </w:tcBorders>
            <w:noWrap/>
            <w:vAlign w:val="center"/>
          </w:tcPr>
          <w:p/>
        </w:tc>
        <w:tc>
          <w:tcPr>
            <w:tcW w:w="1618"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 xml:space="preserve"> 其他资金 </w:t>
            </w:r>
          </w:p>
        </w:tc>
        <w:tc>
          <w:tcPr>
            <w:tcW w:w="869"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997"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81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87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73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1263"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gridAfter w:val="1"/>
          <w:wAfter w:w="200" w:type="dxa"/>
        </w:trPr>
        <w:tc>
          <w:tcPr>
            <w:tcW w:w="552"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w:t>
            </w:r>
          </w:p>
          <w:p>
            <w:pPr>
              <w:jc w:val="center"/>
              <w:rPr>
                <w:rFonts w:ascii="宋体" w:eastAsia="宋体" w:cs="宋体"/>
                <w:sz w:val="18"/>
              </w:rPr>
            </w:pPr>
            <w:r>
              <w:rPr>
                <w:rFonts w:ascii="宋体" w:eastAsia="宋体" w:cs="宋体"/>
                <w:sz w:val="18"/>
              </w:rPr>
              <w:t>度</w:t>
            </w:r>
          </w:p>
          <w:p>
            <w:pPr>
              <w:jc w:val="center"/>
              <w:rPr>
                <w:rFonts w:ascii="宋体" w:eastAsia="宋体" w:cs="宋体"/>
                <w:sz w:val="18"/>
              </w:rPr>
            </w:pPr>
            <w:r>
              <w:rPr>
                <w:rFonts w:ascii="宋体" w:eastAsia="宋体" w:cs="宋体"/>
                <w:sz w:val="18"/>
              </w:rPr>
              <w:t>总</w:t>
            </w:r>
          </w:p>
          <w:p>
            <w:pPr>
              <w:jc w:val="center"/>
              <w:rPr>
                <w:rFonts w:ascii="宋体" w:eastAsia="宋体" w:cs="宋体"/>
                <w:sz w:val="18"/>
              </w:rPr>
            </w:pPr>
            <w:r>
              <w:rPr>
                <w:rFonts w:ascii="宋体" w:eastAsia="宋体" w:cs="宋体"/>
                <w:sz w:val="18"/>
              </w:rPr>
              <w:t>体</w:t>
            </w:r>
          </w:p>
          <w:p>
            <w:pPr>
              <w:jc w:val="center"/>
              <w:rPr>
                <w:rFonts w:ascii="宋体" w:eastAsia="宋体" w:cs="宋体"/>
                <w:sz w:val="18"/>
              </w:rPr>
            </w:pPr>
            <w:r>
              <w:rPr>
                <w:rFonts w:ascii="宋体" w:eastAsia="宋体" w:cs="宋体"/>
                <w:sz w:val="18"/>
              </w:rPr>
              <w:t>目</w:t>
            </w:r>
          </w:p>
          <w:p>
            <w:pPr>
              <w:jc w:val="center"/>
              <w:rPr>
                <w:rFonts w:ascii="宋体" w:eastAsia="宋体" w:cs="宋体"/>
                <w:sz w:val="18"/>
              </w:rPr>
            </w:pPr>
            <w:r>
              <w:rPr>
                <w:rFonts w:ascii="宋体" w:eastAsia="宋体" w:cs="宋体"/>
                <w:sz w:val="18"/>
              </w:rPr>
              <w:t>标</w:t>
            </w:r>
          </w:p>
        </w:tc>
        <w:tc>
          <w:tcPr>
            <w:tcW w:w="4489" w:type="dxa"/>
            <w:gridSpan w:val="1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预期目标</w:t>
            </w:r>
          </w:p>
        </w:tc>
        <w:tc>
          <w:tcPr>
            <w:tcW w:w="3678" w:type="dxa"/>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实际完成情况</w:t>
            </w:r>
          </w:p>
        </w:tc>
      </w:tr>
      <w:tr>
        <w:trPr>
          <w:trHeight w:val="1904"/>
          <w:gridAfter w:val="1"/>
          <w:wAfter w:w="200" w:type="dxa"/>
        </w:trPr>
        <w:tc>
          <w:tcPr>
            <w:tcW w:w="552" w:type="dxa"/>
            <w:vMerge/>
            <w:tcBorders>
              <w:top w:val="single" w:sz="6" w:space="0" w:color="000000"/>
              <w:left w:val="single" w:sz="6" w:space="0" w:color="000000"/>
              <w:bottom w:val="nil"/>
              <w:right w:val="single" w:sz="6" w:space="0" w:color="000000"/>
              <w:tl2br w:val="nil"/>
              <w:tr2bl w:val="nil"/>
            </w:tcBorders>
            <w:noWrap/>
            <w:vAlign w:val="center"/>
          </w:tcPr>
          <w:p/>
        </w:tc>
        <w:tc>
          <w:tcPr>
            <w:tcW w:w="4489" w:type="dxa"/>
            <w:gridSpan w:val="14"/>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宋体"/>
                <w:sz w:val="18"/>
              </w:rPr>
            </w:pPr>
            <w:r>
              <w:rPr>
                <w:rFonts w:ascii="宋体" w:eastAsia="宋体" w:cs="宋体"/>
                <w:sz w:val="18"/>
              </w:rPr>
              <w:t>目标1：围绕智慧海关建设和智关强国行动建设要求，建立北部边境地区口岸监测哨点，明确该地区的病媒生物种类及分布，有效提高口岸传染病防控技术支持保障能力。</w:t>
            </w:r>
          </w:p>
          <w:p>
            <w:pPr>
              <w:rPr>
                <w:rFonts w:ascii="宋体" w:eastAsia="宋体" w:cs="宋体"/>
                <w:sz w:val="18"/>
              </w:rPr>
            </w:pPr>
            <w:r>
              <w:rPr>
                <w:rFonts w:ascii="宋体" w:eastAsia="宋体" w:cs="宋体"/>
                <w:sz w:val="18"/>
              </w:rPr>
              <w:t>目标2：围绕智慧海关建设和智关强国行动建设要求，构建跨部门、跨区域的口岸输入性新发传染病联防联囧机制，并显著提升整体性治理效能，确保防控策略的科学性和高效性。</w:t>
            </w:r>
          </w:p>
        </w:tc>
        <w:tc>
          <w:tcPr>
            <w:tcW w:w="3678" w:type="dxa"/>
            <w:gridSpan w:val="9"/>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宋体"/>
                <w:sz w:val="18"/>
              </w:rPr>
            </w:pPr>
            <w:r>
              <w:rPr>
                <w:rFonts w:ascii="宋体" w:eastAsia="宋体" w:cs="宋体"/>
                <w:sz w:val="18"/>
              </w:rPr>
              <w:t>1.明确了北部边境地区口岸病媒生物种类和分布情况，通过技术研究有效提升了传染病防控技术水平。2.针对性提出政策建议和实践指导，为后续深入研究和实践工作提供思路和方向。</w:t>
            </w:r>
          </w:p>
        </w:tc>
      </w:tr>
      <w:tr>
        <w:trPr>
          <w:trHeight w:val="539"/>
          <w:gridAfter w:val="1"/>
          <w:wAfter w:w="200" w:type="dxa"/>
        </w:trPr>
        <w:tc>
          <w:tcPr>
            <w:tcW w:w="55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绩</w:t>
            </w:r>
          </w:p>
          <w:p>
            <w:pPr>
              <w:jc w:val="center"/>
              <w:rPr>
                <w:rFonts w:ascii="宋体" w:eastAsia="宋体" w:cs="宋体"/>
                <w:sz w:val="18"/>
              </w:rPr>
            </w:pPr>
            <w:r>
              <w:rPr>
                <w:rFonts w:ascii="宋体" w:eastAsia="宋体" w:cs="宋体"/>
                <w:sz w:val="18"/>
              </w:rPr>
              <w:t>效</w:t>
            </w:r>
          </w:p>
          <w:p>
            <w:pPr>
              <w:jc w:val="center"/>
              <w:rPr>
                <w:rFonts w:ascii="宋体" w:eastAsia="宋体" w:cs="宋体"/>
                <w:sz w:val="18"/>
              </w:rPr>
            </w:pPr>
            <w:r>
              <w:rPr>
                <w:rFonts w:ascii="宋体" w:eastAsia="宋体" w:cs="宋体"/>
                <w:sz w:val="18"/>
              </w:rPr>
              <w:t>指</w:t>
            </w:r>
          </w:p>
          <w:p>
            <w:pPr>
              <w:jc w:val="center"/>
              <w:rPr>
                <w:rFonts w:ascii="宋体" w:eastAsia="宋体" w:cs="宋体"/>
                <w:sz w:val="18"/>
              </w:rPr>
            </w:pPr>
            <w:r>
              <w:rPr>
                <w:rFonts w:ascii="宋体" w:eastAsia="宋体" w:cs="宋体"/>
                <w:sz w:val="18"/>
              </w:rPr>
              <w:t>标</w:t>
            </w:r>
          </w:p>
        </w:tc>
        <w:tc>
          <w:tcPr>
            <w:tcW w:w="1006" w:type="dxa"/>
            <w:gridSpan w:val="3"/>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一级指标</w:t>
            </w:r>
          </w:p>
        </w:tc>
        <w:tc>
          <w:tcPr>
            <w:tcW w:w="839"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二级指标</w:t>
            </w:r>
          </w:p>
        </w:tc>
        <w:tc>
          <w:tcPr>
            <w:tcW w:w="1648" w:type="dxa"/>
            <w:gridSpan w:val="6"/>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三级指标</w:t>
            </w:r>
          </w:p>
        </w:tc>
        <w:tc>
          <w:tcPr>
            <w:tcW w:w="997"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年度指标值</w:t>
            </w:r>
          </w:p>
        </w:tc>
        <w:tc>
          <w:tcPr>
            <w:tcW w:w="81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实际完成值</w:t>
            </w:r>
          </w:p>
        </w:tc>
        <w:tc>
          <w:tcPr>
            <w:tcW w:w="87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分值</w:t>
            </w:r>
          </w:p>
        </w:tc>
        <w:tc>
          <w:tcPr>
            <w:tcW w:w="73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得分</w:t>
            </w:r>
          </w:p>
        </w:tc>
        <w:tc>
          <w:tcPr>
            <w:tcW w:w="1263" w:type="dxa"/>
            <w:gridSpan w:val="3"/>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偏差原因分析及</w:t>
            </w:r>
          </w:p>
          <w:p>
            <w:pPr>
              <w:jc w:val="center"/>
              <w:rPr>
                <w:rFonts w:ascii="宋体" w:eastAsia="宋体" w:cs="宋体"/>
                <w:sz w:val="18"/>
              </w:rPr>
            </w:pPr>
            <w:r>
              <w:rPr>
                <w:rFonts w:ascii="宋体" w:eastAsia="宋体" w:cs="宋体"/>
                <w:sz w:val="18"/>
              </w:rPr>
              <w:t>改进措施</w:t>
            </w:r>
          </w:p>
        </w:tc>
      </w:tr>
      <w:tr>
        <w:trPr>
          <w:trHeight w:val="374"/>
          <w:gridAfter w:val="1"/>
          <w:wAfter w:w="200" w:type="dxa"/>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1006" w:type="dxa"/>
            <w:gridSpan w:val="3"/>
            <w:vMerge w:val="restart"/>
            <w:tcBorders>
              <w:top w:val="single" w:sz="6" w:space="0" w:color="auto"/>
              <w:left w:val="nil"/>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产出指标</w:t>
            </w:r>
          </w:p>
        </w:tc>
        <w:tc>
          <w:tcPr>
            <w:tcW w:w="839"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数量指标</w:t>
            </w:r>
          </w:p>
        </w:tc>
        <w:tc>
          <w:tcPr>
            <w:tcW w:w="1648" w:type="dxa"/>
            <w:gridSpan w:val="6"/>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相关论文发表数量</w:t>
            </w:r>
          </w:p>
        </w:tc>
        <w:tc>
          <w:tcPr>
            <w:tcW w:w="997"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≥1.00篇</w:t>
            </w:r>
          </w:p>
        </w:tc>
        <w:tc>
          <w:tcPr>
            <w:tcW w:w="81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1.00篇</w:t>
            </w:r>
          </w:p>
        </w:tc>
        <w:tc>
          <w:tcPr>
            <w:tcW w:w="87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735" w:type="dxa"/>
            <w:gridSpan w:val="2"/>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1263"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gridAfter w:val="1"/>
          <w:wAfter w:w="200" w:type="dxa"/>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1006" w:type="dxa"/>
            <w:gridSpan w:val="3"/>
            <w:vMerge/>
            <w:tcBorders>
              <w:top w:val="single" w:sz="6" w:space="0" w:color="auto"/>
              <w:left w:val="nil"/>
              <w:bottom w:val="nil"/>
              <w:right w:val="single" w:sz="6" w:space="0" w:color="auto"/>
              <w:tl2br w:val="nil"/>
              <w:tr2bl w:val="nil"/>
            </w:tcBorders>
            <w:noWrap/>
            <w:vAlign w:val="center"/>
          </w:tcPr>
          <w:p/>
        </w:tc>
        <w:tc>
          <w:tcPr>
            <w:tcW w:w="839" w:type="dxa"/>
            <w:gridSpan w:val="2"/>
            <w:vMerge/>
            <w:tcBorders>
              <w:top w:val="single" w:sz="6" w:space="0" w:color="auto"/>
              <w:left w:val="single" w:sz="6" w:space="0" w:color="auto"/>
              <w:bottom w:val="nil"/>
              <w:right w:val="single" w:sz="6" w:space="0" w:color="auto"/>
              <w:tl2br w:val="nil"/>
              <w:tr2bl w:val="nil"/>
            </w:tcBorders>
            <w:noWrap/>
            <w:vAlign w:val="center"/>
          </w:tcPr>
          <w:p/>
        </w:tc>
        <w:tc>
          <w:tcPr>
            <w:tcW w:w="1648" w:type="dxa"/>
            <w:gridSpan w:val="6"/>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科学技术研究项目</w:t>
            </w:r>
          </w:p>
        </w:tc>
        <w:tc>
          <w:tcPr>
            <w:tcW w:w="997"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≥2项</w:t>
            </w:r>
          </w:p>
        </w:tc>
        <w:tc>
          <w:tcPr>
            <w:tcW w:w="81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2.00项</w:t>
            </w:r>
          </w:p>
        </w:tc>
        <w:tc>
          <w:tcPr>
            <w:tcW w:w="87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735" w:type="dxa"/>
            <w:gridSpan w:val="2"/>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1263"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gridAfter w:val="1"/>
          <w:wAfter w:w="200" w:type="dxa"/>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1006" w:type="dxa"/>
            <w:gridSpan w:val="3"/>
            <w:vMerge/>
            <w:tcBorders>
              <w:top w:val="single" w:sz="6" w:space="0" w:color="auto"/>
              <w:left w:val="nil"/>
              <w:bottom w:val="nil"/>
              <w:right w:val="single" w:sz="6" w:space="0" w:color="auto"/>
              <w:tl2br w:val="nil"/>
              <w:tr2bl w:val="nil"/>
            </w:tcBorders>
            <w:noWrap/>
            <w:vAlign w:val="center"/>
          </w:tcPr>
          <w:p/>
        </w:tc>
        <w:tc>
          <w:tcPr>
            <w:tcW w:w="839" w:type="dxa"/>
            <w:gridSpan w:val="2"/>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质量指标</w:t>
            </w:r>
          </w:p>
        </w:tc>
        <w:tc>
          <w:tcPr>
            <w:tcW w:w="1648" w:type="dxa"/>
            <w:gridSpan w:val="6"/>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检测结果准确率</w:t>
            </w:r>
          </w:p>
        </w:tc>
        <w:tc>
          <w:tcPr>
            <w:tcW w:w="997"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≥95.00%</w:t>
            </w:r>
          </w:p>
        </w:tc>
        <w:tc>
          <w:tcPr>
            <w:tcW w:w="81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95.00%</w:t>
            </w:r>
          </w:p>
        </w:tc>
        <w:tc>
          <w:tcPr>
            <w:tcW w:w="87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20</w:t>
            </w:r>
          </w:p>
        </w:tc>
        <w:tc>
          <w:tcPr>
            <w:tcW w:w="735" w:type="dxa"/>
            <w:gridSpan w:val="2"/>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20.0</w:t>
            </w:r>
          </w:p>
        </w:tc>
        <w:tc>
          <w:tcPr>
            <w:tcW w:w="1263"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gridAfter w:val="1"/>
          <w:wAfter w:w="200" w:type="dxa"/>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1006" w:type="dxa"/>
            <w:gridSpan w:val="3"/>
            <w:vMerge/>
            <w:tcBorders>
              <w:top w:val="single" w:sz="6" w:space="0" w:color="auto"/>
              <w:left w:val="nil"/>
              <w:bottom w:val="nil"/>
              <w:right w:val="single" w:sz="6" w:space="0" w:color="auto"/>
              <w:tl2br w:val="nil"/>
              <w:tr2bl w:val="nil"/>
            </w:tcBorders>
            <w:noWrap/>
            <w:vAlign w:val="center"/>
          </w:tcPr>
          <w:p/>
        </w:tc>
        <w:tc>
          <w:tcPr>
            <w:tcW w:w="839" w:type="dxa"/>
            <w:gridSpan w:val="2"/>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时效指标</w:t>
            </w:r>
          </w:p>
        </w:tc>
        <w:tc>
          <w:tcPr>
            <w:tcW w:w="1648" w:type="dxa"/>
            <w:gridSpan w:val="6"/>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科研项目按期完成率</w:t>
            </w:r>
          </w:p>
        </w:tc>
        <w:tc>
          <w:tcPr>
            <w:tcW w:w="997"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≥98%</w:t>
            </w:r>
          </w:p>
        </w:tc>
        <w:tc>
          <w:tcPr>
            <w:tcW w:w="81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54.28%</w:t>
            </w:r>
          </w:p>
        </w:tc>
        <w:tc>
          <w:tcPr>
            <w:tcW w:w="87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735" w:type="dxa"/>
            <w:gridSpan w:val="2"/>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5.4</w:t>
            </w:r>
          </w:p>
        </w:tc>
        <w:tc>
          <w:tcPr>
            <w:tcW w:w="1263"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该项目所指的科研项目执行周期为1年，未到结题时间，经费还需继续支出。</w:t>
            </w:r>
          </w:p>
        </w:tc>
      </w:tr>
      <w:tr>
        <w:trPr>
          <w:trHeight w:val="374"/>
          <w:gridAfter w:val="1"/>
          <w:wAfter w:w="200" w:type="dxa"/>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1006" w:type="dxa"/>
            <w:gridSpan w:val="3"/>
            <w:tcBorders>
              <w:top w:val="single" w:sz="6" w:space="0" w:color="auto"/>
              <w:left w:val="nil"/>
              <w:bottom w:val="nil"/>
              <w:right w:val="single" w:sz="6" w:space="0" w:color="auto"/>
              <w:tl2br w:val="nil"/>
              <w:tr2bl w:val="nil"/>
            </w:tcBorders>
            <w:noWrap/>
            <w:vAlign w:val="center"/>
          </w:tcPr>
          <w:p>
            <w:pPr>
              <w:jc w:val="center"/>
              <w:rPr>
                <w:rFonts w:ascii="宋体" w:eastAsia="宋体"/>
                <w:sz w:val="18"/>
              </w:rPr>
            </w:pPr>
            <w:r>
              <w:rPr>
                <w:rFonts w:ascii="宋体" w:eastAsia="宋体"/>
                <w:sz w:val="18"/>
              </w:rPr>
              <w:t>效益指标</w:t>
            </w:r>
          </w:p>
        </w:tc>
        <w:tc>
          <w:tcPr>
            <w:tcW w:w="839" w:type="dxa"/>
            <w:gridSpan w:val="2"/>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社会效益指标</w:t>
            </w:r>
          </w:p>
        </w:tc>
        <w:tc>
          <w:tcPr>
            <w:tcW w:w="1648" w:type="dxa"/>
            <w:gridSpan w:val="6"/>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业务需求保障率</w:t>
            </w:r>
          </w:p>
        </w:tc>
        <w:tc>
          <w:tcPr>
            <w:tcW w:w="997"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≥95%</w:t>
            </w:r>
          </w:p>
        </w:tc>
        <w:tc>
          <w:tcPr>
            <w:tcW w:w="81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95.00%</w:t>
            </w:r>
          </w:p>
        </w:tc>
        <w:tc>
          <w:tcPr>
            <w:tcW w:w="87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40</w:t>
            </w:r>
          </w:p>
        </w:tc>
        <w:tc>
          <w:tcPr>
            <w:tcW w:w="735" w:type="dxa"/>
            <w:gridSpan w:val="2"/>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38.0</w:t>
            </w:r>
          </w:p>
        </w:tc>
        <w:tc>
          <w:tcPr>
            <w:tcW w:w="1263"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该项目所指的科研项目执行周期为1年，未到结题时间，经费还需继续支出。</w:t>
            </w:r>
          </w:p>
        </w:tc>
      </w:tr>
      <w:tr>
        <w:trPr>
          <w:trHeight w:val="434"/>
          <w:gridAfter w:val="1"/>
          <w:wAfter w:w="200" w:type="dxa"/>
        </w:trPr>
        <w:tc>
          <w:tcPr>
            <w:tcW w:w="5852" w:type="dxa"/>
            <w:gridSpan w:val="17"/>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总分</w:t>
            </w:r>
          </w:p>
        </w:tc>
        <w:tc>
          <w:tcPr>
            <w:tcW w:w="870"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c>
          <w:tcPr>
            <w:tcW w:w="73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88.8</w:t>
            </w:r>
          </w:p>
        </w:tc>
        <w:tc>
          <w:tcPr>
            <w:tcW w:w="1263" w:type="dxa"/>
            <w:gridSpan w:val="3"/>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r>
      <w:tr>
        <w:trPr>
          <w:trHeight w:val="419"/>
          <w:gridAfter w:val="1"/>
          <w:wAfter w:w="200" w:type="dxa"/>
        </w:trPr>
        <w:tc>
          <w:tcPr>
            <w:tcW w:w="8719" w:type="dxa"/>
            <w:gridSpan w:val="24"/>
            <w:tcBorders>
              <w:top w:val="nil"/>
              <w:left w:val="nil"/>
              <w:bottom w:val="nil"/>
              <w:right w:val="nil"/>
              <w:tl2br w:val="nil"/>
              <w:tr2bl w:val="nil"/>
            </w:tcBorders>
            <w:noWrap/>
            <w:vAlign w:val="center"/>
          </w:tcPr>
          <w:p>
            <w:pPr>
              <w:jc w:val="center"/>
              <w:rPr>
                <w:rFonts w:ascii="宋体" w:eastAsia="宋体" w:cs="宋体"/>
                <w:b/>
                <w:i w:val="0"/>
                <w:sz w:val="32"/>
              </w:rPr>
            </w:pPr>
          </w:p>
          <w:p>
            <w:pPr>
              <w:jc w:val="center"/>
              <w:rPr>
                <w:rFonts w:ascii="宋体" w:eastAsia="宋体" w:cs="宋体"/>
                <w:b/>
                <w:i w:val="0"/>
                <w:sz w:val="32"/>
              </w:rPr>
            </w:pPr>
          </w:p>
          <w:p>
            <w:pPr>
              <w:jc w:val="center"/>
              <w:rPr>
                <w:rFonts w:ascii="宋体" w:eastAsia="宋体" w:cs="宋体"/>
                <w:b/>
                <w:i w:val="0"/>
                <w:sz w:val="32"/>
              </w:rPr>
            </w:pPr>
          </w:p>
          <w:p>
            <w:pPr>
              <w:jc w:val="center"/>
              <w:rPr>
                <w:rFonts w:ascii="宋体" w:eastAsia="宋体" w:cs="宋体"/>
                <w:b/>
                <w:i w:val="0"/>
                <w:sz w:val="32"/>
              </w:rPr>
            </w:pPr>
          </w:p>
          <w:p>
            <w:pPr>
              <w:jc w:val="center"/>
              <w:rPr>
                <w:rFonts w:ascii="宋体" w:eastAsia="宋体" w:cs="宋体"/>
                <w:b/>
                <w:i w:val="0"/>
                <w:sz w:val="32"/>
              </w:rPr>
            </w:pPr>
          </w:p>
          <w:p>
            <w:pPr>
              <w:jc w:val="center"/>
              <w:rPr>
                <w:rFonts w:ascii="宋体" w:eastAsia="宋体" w:cs="宋体"/>
                <w:b/>
                <w:i w:val="0"/>
                <w:sz w:val="32"/>
              </w:rPr>
            </w:pPr>
            <w:r>
              <w:rPr>
                <w:rFonts w:ascii="宋体" w:eastAsia="宋体" w:cs="宋体"/>
                <w:b/>
                <w:i w:val="0"/>
                <w:sz w:val="32"/>
              </w:rPr>
              <w:t>海关实验室仪器设备更新项目（海关）项目绩效自评表</w:t>
            </w:r>
          </w:p>
        </w:tc>
      </w:tr>
      <w:tr>
        <w:trPr>
          <w:trHeight w:val="284"/>
          <w:gridAfter w:val="1"/>
          <w:wAfter w:w="200" w:type="dxa"/>
        </w:trPr>
        <w:tc>
          <w:tcPr>
            <w:tcW w:w="8719" w:type="dxa"/>
            <w:gridSpan w:val="24"/>
            <w:tcBorders>
              <w:top w:val="nil"/>
              <w:left w:val="nil"/>
              <w:bottom w:val="nil"/>
              <w:right w:val="nil"/>
              <w:tl2br w:val="nil"/>
              <w:tr2bl w:val="nil"/>
            </w:tcBorders>
            <w:noWrap/>
            <w:vAlign w:val="center"/>
          </w:tcPr>
          <w:p>
            <w:pPr>
              <w:jc w:val="center"/>
              <w:rPr>
                <w:rFonts w:ascii="宋体" w:eastAsia="宋体" w:cs="宋体"/>
                <w:sz w:val="22"/>
              </w:rPr>
            </w:pPr>
            <w:r>
              <w:rPr>
                <w:rFonts w:ascii="宋体" w:eastAsia="宋体" w:cs="宋体"/>
                <w:sz w:val="22"/>
              </w:rPr>
              <w:t>（2025年度）</w:t>
            </w:r>
          </w:p>
        </w:tc>
      </w:tr>
      <w:tr>
        <w:trPr>
          <w:trHeight w:val="374"/>
          <w:gridAfter w:val="1"/>
          <w:wAfter w:w="200" w:type="dxa"/>
        </w:trPr>
        <w:tc>
          <w:tcPr>
            <w:tcW w:w="136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项目名称</w:t>
            </w:r>
          </w:p>
        </w:tc>
        <w:tc>
          <w:tcPr>
            <w:tcW w:w="7352" w:type="dxa"/>
            <w:gridSpan w:val="2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海关实验室仪器设备更新项目（海关）</w:t>
            </w:r>
          </w:p>
        </w:tc>
      </w:tr>
      <w:tr>
        <w:trPr>
          <w:trHeight w:val="374"/>
          <w:gridAfter w:val="1"/>
          <w:wAfter w:w="200" w:type="dxa"/>
        </w:trPr>
        <w:tc>
          <w:tcPr>
            <w:tcW w:w="136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主管部门</w:t>
            </w:r>
          </w:p>
        </w:tc>
        <w:tc>
          <w:tcPr>
            <w:tcW w:w="2199" w:type="dxa"/>
            <w:gridSpan w:val="7"/>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[167] 海关总署</w:t>
            </w:r>
          </w:p>
        </w:tc>
        <w:tc>
          <w:tcPr>
            <w:tcW w:w="104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实施单位</w:t>
            </w:r>
          </w:p>
        </w:tc>
        <w:tc>
          <w:tcPr>
            <w:tcW w:w="4104" w:type="dxa"/>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呼和浩特国际旅行卫生保健中心(呼和浩特海关口岸门诊部）</w:t>
            </w:r>
          </w:p>
        </w:tc>
      </w:tr>
      <w:tr>
        <w:trPr>
          <w:trHeight w:val="374"/>
          <w:gridAfter w:val="1"/>
          <w:wAfter w:w="200" w:type="dxa"/>
        </w:trPr>
        <w:tc>
          <w:tcPr>
            <w:tcW w:w="1368" w:type="dxa"/>
            <w:gridSpan w:val="3"/>
            <w:vMerge w:val="restart"/>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项目资金</w:t>
            </w:r>
          </w:p>
          <w:p>
            <w:pPr>
              <w:jc w:val="center"/>
              <w:rPr>
                <w:rFonts w:ascii="宋体" w:eastAsia="宋体" w:cs="宋体"/>
                <w:sz w:val="18"/>
              </w:rPr>
            </w:pPr>
            <w:r>
              <w:rPr>
                <w:rFonts w:ascii="宋体" w:eastAsia="宋体" w:cs="宋体"/>
                <w:sz w:val="18"/>
              </w:rPr>
              <w:t>（万元）</w:t>
            </w:r>
          </w:p>
        </w:tc>
        <w:tc>
          <w:tcPr>
            <w:tcW w:w="1154"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104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年初预算数</w:t>
            </w:r>
          </w:p>
        </w:tc>
        <w:tc>
          <w:tcPr>
            <w:tcW w:w="104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全年预算数</w:t>
            </w:r>
          </w:p>
        </w:tc>
        <w:tc>
          <w:tcPr>
            <w:tcW w:w="84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全年执行数</w:t>
            </w:r>
          </w:p>
        </w:tc>
        <w:tc>
          <w:tcPr>
            <w:tcW w:w="3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分值</w:t>
            </w:r>
          </w:p>
        </w:tc>
        <w:tc>
          <w:tcPr>
            <w:tcW w:w="1818"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执行率</w:t>
            </w:r>
          </w:p>
        </w:tc>
        <w:tc>
          <w:tcPr>
            <w:tcW w:w="1049"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得分</w:t>
            </w:r>
          </w:p>
        </w:tc>
      </w:tr>
      <w:tr>
        <w:trPr>
          <w:trHeight w:val="374"/>
          <w:gridAfter w:val="1"/>
          <w:wAfter w:w="200" w:type="dxa"/>
        </w:trPr>
        <w:tc>
          <w:tcPr>
            <w:tcW w:w="1367" w:type="dxa"/>
            <w:gridSpan w:val="3"/>
            <w:vMerge/>
            <w:tcBorders>
              <w:top w:val="nil"/>
              <w:left w:val="single" w:sz="6" w:space="0" w:color="000000"/>
              <w:bottom w:val="nil"/>
              <w:right w:val="single" w:sz="6" w:space="0" w:color="000000"/>
              <w:tl2br w:val="nil"/>
              <w:tr2bl w:val="nil"/>
            </w:tcBorders>
            <w:noWrap/>
            <w:vAlign w:val="center"/>
          </w:tcPr>
          <w:p/>
        </w:tc>
        <w:tc>
          <w:tcPr>
            <w:tcW w:w="1154"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年度资金总额：</w:t>
            </w:r>
          </w:p>
        </w:tc>
        <w:tc>
          <w:tcPr>
            <w:tcW w:w="104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40.20</w:t>
            </w:r>
          </w:p>
        </w:tc>
        <w:tc>
          <w:tcPr>
            <w:tcW w:w="104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680.20</w:t>
            </w:r>
          </w:p>
        </w:tc>
        <w:tc>
          <w:tcPr>
            <w:tcW w:w="84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104.89</w:t>
            </w:r>
          </w:p>
        </w:tc>
        <w:tc>
          <w:tcPr>
            <w:tcW w:w="3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c>
          <w:tcPr>
            <w:tcW w:w="1818"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15.4%</w:t>
            </w:r>
          </w:p>
        </w:tc>
        <w:tc>
          <w:tcPr>
            <w:tcW w:w="1049"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1.5</w:t>
            </w:r>
          </w:p>
        </w:tc>
      </w:tr>
      <w:tr>
        <w:trPr>
          <w:trHeight w:val="374"/>
          <w:gridAfter w:val="1"/>
          <w:wAfter w:w="200" w:type="dxa"/>
        </w:trPr>
        <w:tc>
          <w:tcPr>
            <w:tcW w:w="1367" w:type="dxa"/>
            <w:gridSpan w:val="3"/>
            <w:vMerge/>
            <w:tcBorders>
              <w:top w:val="nil"/>
              <w:left w:val="single" w:sz="6" w:space="0" w:color="000000"/>
              <w:bottom w:val="nil"/>
              <w:right w:val="single" w:sz="6" w:space="0" w:color="000000"/>
              <w:tl2br w:val="nil"/>
              <w:tr2bl w:val="nil"/>
            </w:tcBorders>
            <w:noWrap/>
            <w:vAlign w:val="center"/>
          </w:tcPr>
          <w:p/>
        </w:tc>
        <w:tc>
          <w:tcPr>
            <w:tcW w:w="1154"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其中：财政拨款</w:t>
            </w:r>
          </w:p>
        </w:tc>
        <w:tc>
          <w:tcPr>
            <w:tcW w:w="104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104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640.00</w:t>
            </w:r>
          </w:p>
        </w:tc>
        <w:tc>
          <w:tcPr>
            <w:tcW w:w="84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104.89</w:t>
            </w:r>
          </w:p>
        </w:tc>
        <w:tc>
          <w:tcPr>
            <w:tcW w:w="3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1818"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1049"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gridAfter w:val="1"/>
          <w:wAfter w:w="200" w:type="dxa"/>
        </w:trPr>
        <w:tc>
          <w:tcPr>
            <w:tcW w:w="1367" w:type="dxa"/>
            <w:gridSpan w:val="3"/>
            <w:vMerge/>
            <w:tcBorders>
              <w:top w:val="nil"/>
              <w:left w:val="single" w:sz="6" w:space="0" w:color="000000"/>
              <w:bottom w:val="nil"/>
              <w:right w:val="single" w:sz="6" w:space="0" w:color="000000"/>
              <w:tl2br w:val="nil"/>
              <w:tr2bl w:val="nil"/>
            </w:tcBorders>
            <w:noWrap/>
            <w:vAlign w:val="center"/>
          </w:tcPr>
          <w:p/>
        </w:tc>
        <w:tc>
          <w:tcPr>
            <w:tcW w:w="1154" w:type="dxa"/>
            <w:gridSpan w:val="4"/>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上年结转</w:t>
            </w:r>
          </w:p>
        </w:tc>
        <w:tc>
          <w:tcPr>
            <w:tcW w:w="104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40.20</w:t>
            </w:r>
          </w:p>
        </w:tc>
        <w:tc>
          <w:tcPr>
            <w:tcW w:w="104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40.20</w:t>
            </w:r>
          </w:p>
        </w:tc>
        <w:tc>
          <w:tcPr>
            <w:tcW w:w="84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3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1818"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1049"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gridAfter w:val="1"/>
          <w:wAfter w:w="200" w:type="dxa"/>
        </w:trPr>
        <w:tc>
          <w:tcPr>
            <w:tcW w:w="1367" w:type="dxa"/>
            <w:gridSpan w:val="3"/>
            <w:vMerge/>
            <w:tcBorders>
              <w:top w:val="nil"/>
              <w:left w:val="single" w:sz="6" w:space="0" w:color="000000"/>
              <w:bottom w:val="single" w:sz="6" w:space="0" w:color="000000"/>
              <w:right w:val="single" w:sz="6" w:space="0" w:color="000000"/>
              <w:tl2br w:val="nil"/>
              <w:tr2bl w:val="nil"/>
            </w:tcBorders>
            <w:noWrap/>
            <w:vAlign w:val="center"/>
          </w:tcPr>
          <w:p/>
        </w:tc>
        <w:tc>
          <w:tcPr>
            <w:tcW w:w="1154"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 xml:space="preserve"> 其他资金 </w:t>
            </w:r>
          </w:p>
        </w:tc>
        <w:tc>
          <w:tcPr>
            <w:tcW w:w="104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104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84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3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1818"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1049"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gridAfter w:val="1"/>
          <w:wAfter w:w="200" w:type="dxa"/>
        </w:trPr>
        <w:tc>
          <w:tcPr>
            <w:tcW w:w="552"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w:t>
            </w:r>
          </w:p>
          <w:p>
            <w:pPr>
              <w:jc w:val="center"/>
              <w:rPr>
                <w:rFonts w:ascii="宋体" w:eastAsia="宋体" w:cs="宋体"/>
                <w:sz w:val="18"/>
              </w:rPr>
            </w:pPr>
            <w:r>
              <w:rPr>
                <w:rFonts w:ascii="宋体" w:eastAsia="宋体" w:cs="宋体"/>
                <w:sz w:val="18"/>
              </w:rPr>
              <w:t>度</w:t>
            </w:r>
          </w:p>
          <w:p>
            <w:pPr>
              <w:jc w:val="center"/>
              <w:rPr>
                <w:rFonts w:ascii="宋体" w:eastAsia="宋体" w:cs="宋体"/>
                <w:sz w:val="18"/>
              </w:rPr>
            </w:pPr>
            <w:r>
              <w:rPr>
                <w:rFonts w:ascii="宋体" w:eastAsia="宋体" w:cs="宋体"/>
                <w:sz w:val="18"/>
              </w:rPr>
              <w:t>总</w:t>
            </w:r>
          </w:p>
          <w:p>
            <w:pPr>
              <w:jc w:val="center"/>
              <w:rPr>
                <w:rFonts w:ascii="宋体" w:eastAsia="宋体" w:cs="宋体"/>
                <w:sz w:val="18"/>
              </w:rPr>
            </w:pPr>
            <w:r>
              <w:rPr>
                <w:rFonts w:ascii="宋体" w:eastAsia="宋体" w:cs="宋体"/>
                <w:sz w:val="18"/>
              </w:rPr>
              <w:t>体</w:t>
            </w:r>
          </w:p>
          <w:p>
            <w:pPr>
              <w:jc w:val="center"/>
              <w:rPr>
                <w:rFonts w:ascii="宋体" w:eastAsia="宋体" w:cs="宋体"/>
                <w:sz w:val="18"/>
              </w:rPr>
            </w:pPr>
            <w:r>
              <w:rPr>
                <w:rFonts w:ascii="宋体" w:eastAsia="宋体" w:cs="宋体"/>
                <w:sz w:val="18"/>
              </w:rPr>
              <w:t>目</w:t>
            </w:r>
          </w:p>
          <w:p>
            <w:pPr>
              <w:jc w:val="center"/>
              <w:rPr>
                <w:rFonts w:ascii="宋体" w:eastAsia="宋体" w:cs="宋体"/>
                <w:sz w:val="18"/>
              </w:rPr>
            </w:pPr>
            <w:r>
              <w:rPr>
                <w:rFonts w:ascii="宋体" w:eastAsia="宋体" w:cs="宋体"/>
                <w:sz w:val="18"/>
              </w:rPr>
              <w:t>标</w:t>
            </w:r>
          </w:p>
        </w:tc>
        <w:tc>
          <w:tcPr>
            <w:tcW w:w="4063" w:type="dxa"/>
            <w:gridSpan w:val="1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预期目标</w:t>
            </w:r>
          </w:p>
        </w:tc>
        <w:tc>
          <w:tcPr>
            <w:tcW w:w="4104" w:type="dxa"/>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实际完成情况</w:t>
            </w:r>
          </w:p>
        </w:tc>
      </w:tr>
      <w:tr>
        <w:trPr>
          <w:trHeight w:val="895"/>
          <w:gridAfter w:val="1"/>
          <w:wAfter w:w="200" w:type="dxa"/>
        </w:trPr>
        <w:tc>
          <w:tcPr>
            <w:tcW w:w="552" w:type="dxa"/>
            <w:vMerge/>
            <w:tcBorders>
              <w:top w:val="single" w:sz="6" w:space="0" w:color="000000"/>
              <w:left w:val="single" w:sz="6" w:space="0" w:color="000000"/>
              <w:bottom w:val="nil"/>
              <w:right w:val="single" w:sz="6" w:space="0" w:color="000000"/>
              <w:tl2br w:val="nil"/>
              <w:tr2bl w:val="nil"/>
            </w:tcBorders>
            <w:noWrap/>
            <w:vAlign w:val="center"/>
          </w:tcPr>
          <w:p/>
        </w:tc>
        <w:tc>
          <w:tcPr>
            <w:tcW w:w="4063" w:type="dxa"/>
            <w:gridSpan w:val="12"/>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宋体"/>
                <w:sz w:val="18"/>
              </w:rPr>
            </w:pPr>
            <w:r>
              <w:rPr>
                <w:rFonts w:ascii="宋体" w:eastAsia="宋体" w:cs="宋体"/>
                <w:sz w:val="18"/>
              </w:rPr>
              <w:t>通过对呼和浩特国际旅行卫生保健中心实验室仪器设备的投入，更新不能满足现有检测要求的仪器设备，提升海关相关检测能力，多维度保障海关职能的发挥。</w:t>
            </w:r>
          </w:p>
        </w:tc>
        <w:tc>
          <w:tcPr>
            <w:tcW w:w="4104" w:type="dxa"/>
            <w:gridSpan w:val="11"/>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宋体"/>
                <w:sz w:val="18"/>
              </w:rPr>
            </w:pPr>
            <w:r>
              <w:rPr>
                <w:rFonts w:ascii="宋体" w:eastAsia="宋体" w:cs="宋体"/>
                <w:sz w:val="18"/>
              </w:rPr>
              <w:t>保健中心海关实验室仪器设备更新预算8台设备，实际完成采购3台，预算执行104.89万元。已更新设备满足检测需求，提升了检测能力。</w:t>
            </w:r>
          </w:p>
        </w:tc>
      </w:tr>
      <w:tr>
        <w:trPr>
          <w:trHeight w:val="539"/>
          <w:gridAfter w:val="1"/>
          <w:wAfter w:w="200" w:type="dxa"/>
        </w:trPr>
        <w:tc>
          <w:tcPr>
            <w:tcW w:w="55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绩</w:t>
            </w:r>
          </w:p>
          <w:p>
            <w:pPr>
              <w:jc w:val="center"/>
              <w:rPr>
                <w:rFonts w:ascii="宋体" w:eastAsia="宋体" w:cs="宋体"/>
                <w:sz w:val="18"/>
              </w:rPr>
            </w:pPr>
            <w:r>
              <w:rPr>
                <w:rFonts w:ascii="宋体" w:eastAsia="宋体" w:cs="宋体"/>
                <w:sz w:val="18"/>
              </w:rPr>
              <w:t>效</w:t>
            </w:r>
          </w:p>
          <w:p>
            <w:pPr>
              <w:jc w:val="center"/>
              <w:rPr>
                <w:rFonts w:ascii="宋体" w:eastAsia="宋体" w:cs="宋体"/>
                <w:sz w:val="18"/>
              </w:rPr>
            </w:pPr>
            <w:r>
              <w:rPr>
                <w:rFonts w:ascii="宋体" w:eastAsia="宋体" w:cs="宋体"/>
                <w:sz w:val="18"/>
              </w:rPr>
              <w:t>指</w:t>
            </w:r>
          </w:p>
          <w:p>
            <w:pPr>
              <w:jc w:val="center"/>
              <w:rPr>
                <w:rFonts w:ascii="宋体" w:eastAsia="宋体" w:cs="宋体"/>
                <w:sz w:val="18"/>
              </w:rPr>
            </w:pPr>
            <w:r>
              <w:rPr>
                <w:rFonts w:ascii="宋体" w:eastAsia="宋体" w:cs="宋体"/>
                <w:sz w:val="18"/>
              </w:rPr>
              <w:t>标</w:t>
            </w:r>
          </w:p>
        </w:tc>
        <w:tc>
          <w:tcPr>
            <w:tcW w:w="815" w:type="dxa"/>
            <w:gridSpan w:val="2"/>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一级指标</w:t>
            </w:r>
          </w:p>
        </w:tc>
        <w:tc>
          <w:tcPr>
            <w:tcW w:w="943"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二级指标</w:t>
            </w:r>
          </w:p>
        </w:tc>
        <w:tc>
          <w:tcPr>
            <w:tcW w:w="1257"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三级指标</w:t>
            </w:r>
          </w:p>
        </w:tc>
        <w:tc>
          <w:tcPr>
            <w:tcW w:w="104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年度指标值</w:t>
            </w:r>
          </w:p>
        </w:tc>
        <w:tc>
          <w:tcPr>
            <w:tcW w:w="84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实际完成值</w:t>
            </w:r>
          </w:p>
        </w:tc>
        <w:tc>
          <w:tcPr>
            <w:tcW w:w="3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分值</w:t>
            </w:r>
          </w:p>
        </w:tc>
        <w:tc>
          <w:tcPr>
            <w:tcW w:w="6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得分</w:t>
            </w:r>
          </w:p>
        </w:tc>
        <w:tc>
          <w:tcPr>
            <w:tcW w:w="2240" w:type="dxa"/>
            <w:gridSpan w:val="6"/>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偏差原因分析及</w:t>
            </w:r>
          </w:p>
          <w:p>
            <w:pPr>
              <w:jc w:val="center"/>
              <w:rPr>
                <w:rFonts w:ascii="宋体" w:eastAsia="宋体" w:cs="宋体"/>
                <w:sz w:val="18"/>
              </w:rPr>
            </w:pPr>
            <w:r>
              <w:rPr>
                <w:rFonts w:ascii="宋体" w:eastAsia="宋体" w:cs="宋体"/>
                <w:sz w:val="18"/>
              </w:rPr>
              <w:t>改进措施</w:t>
            </w:r>
          </w:p>
        </w:tc>
      </w:tr>
      <w:tr>
        <w:trPr>
          <w:trHeight w:val="374"/>
          <w:gridAfter w:val="1"/>
          <w:wAfter w:w="200" w:type="dxa"/>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815" w:type="dxa"/>
            <w:gridSpan w:val="2"/>
            <w:tcBorders>
              <w:top w:val="single" w:sz="6" w:space="0" w:color="auto"/>
              <w:left w:val="nil"/>
              <w:bottom w:val="nil"/>
              <w:right w:val="single" w:sz="6" w:space="0" w:color="auto"/>
              <w:tl2br w:val="nil"/>
              <w:tr2bl w:val="nil"/>
            </w:tcBorders>
            <w:noWrap/>
            <w:vAlign w:val="center"/>
          </w:tcPr>
          <w:p>
            <w:pPr>
              <w:jc w:val="center"/>
              <w:rPr>
                <w:rFonts w:ascii="宋体" w:eastAsia="宋体"/>
                <w:sz w:val="18"/>
              </w:rPr>
            </w:pPr>
            <w:r>
              <w:rPr>
                <w:rFonts w:ascii="宋体" w:eastAsia="宋体"/>
                <w:sz w:val="18"/>
              </w:rPr>
              <w:t>成本指标</w:t>
            </w:r>
          </w:p>
        </w:tc>
        <w:tc>
          <w:tcPr>
            <w:tcW w:w="943" w:type="dxa"/>
            <w:gridSpan w:val="2"/>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经济成本指标</w:t>
            </w:r>
          </w:p>
        </w:tc>
        <w:tc>
          <w:tcPr>
            <w:tcW w:w="1257" w:type="dxa"/>
            <w:gridSpan w:val="5"/>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设备购置成本</w:t>
            </w:r>
          </w:p>
        </w:tc>
        <w:tc>
          <w:tcPr>
            <w:tcW w:w="104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≤640.00万元</w:t>
            </w:r>
          </w:p>
        </w:tc>
        <w:tc>
          <w:tcPr>
            <w:tcW w:w="84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104.89万元</w:t>
            </w:r>
          </w:p>
        </w:tc>
        <w:tc>
          <w:tcPr>
            <w:tcW w:w="3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20</w:t>
            </w:r>
          </w:p>
        </w:tc>
        <w:tc>
          <w:tcPr>
            <w:tcW w:w="628"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3.3</w:t>
            </w:r>
          </w:p>
        </w:tc>
        <w:tc>
          <w:tcPr>
            <w:tcW w:w="22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年度预算批复金额未640.00万元，分散采购金额111.00万元(预算金额），已于2025年执行完毕；委托总署集中采购金额539.00万元，因各种情况未能于年底前完成采购，故资金结余。</w:t>
            </w:r>
          </w:p>
        </w:tc>
      </w:tr>
      <w:tr>
        <w:trPr>
          <w:trHeight w:val="374"/>
          <w:gridAfter w:val="1"/>
          <w:wAfter w:w="200" w:type="dxa"/>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815" w:type="dxa"/>
            <w:gridSpan w:val="2"/>
            <w:vMerge w:val="restart"/>
            <w:tcBorders>
              <w:top w:val="single" w:sz="6" w:space="0" w:color="auto"/>
              <w:left w:val="nil"/>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产出指标</w:t>
            </w:r>
          </w:p>
        </w:tc>
        <w:tc>
          <w:tcPr>
            <w:tcW w:w="943" w:type="dxa"/>
            <w:gridSpan w:val="2"/>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数量指标</w:t>
            </w:r>
          </w:p>
        </w:tc>
        <w:tc>
          <w:tcPr>
            <w:tcW w:w="1257" w:type="dxa"/>
            <w:gridSpan w:val="5"/>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设备购置数量</w:t>
            </w:r>
          </w:p>
        </w:tc>
        <w:tc>
          <w:tcPr>
            <w:tcW w:w="104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≥8.00台/套</w:t>
            </w:r>
          </w:p>
        </w:tc>
        <w:tc>
          <w:tcPr>
            <w:tcW w:w="84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3.00台/套</w:t>
            </w:r>
          </w:p>
        </w:tc>
        <w:tc>
          <w:tcPr>
            <w:tcW w:w="3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13</w:t>
            </w:r>
          </w:p>
        </w:tc>
        <w:tc>
          <w:tcPr>
            <w:tcW w:w="628"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5.0</w:t>
            </w:r>
          </w:p>
        </w:tc>
        <w:tc>
          <w:tcPr>
            <w:tcW w:w="22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年度预算批复金额未640.00万元，分散采购金额111.00万元，已于2025年执行完毕；委托总署集中采购金额539.00万元，因各种情况未能于年底前完成采购，故资金结余。</w:t>
            </w:r>
          </w:p>
        </w:tc>
      </w:tr>
      <w:tr>
        <w:trPr>
          <w:trHeight w:val="374"/>
          <w:gridAfter w:val="1"/>
          <w:wAfter w:w="200" w:type="dxa"/>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815" w:type="dxa"/>
            <w:gridSpan w:val="2"/>
            <w:vMerge/>
            <w:tcBorders>
              <w:top w:val="single" w:sz="6" w:space="0" w:color="auto"/>
              <w:left w:val="nil"/>
              <w:bottom w:val="nil"/>
              <w:right w:val="single" w:sz="6" w:space="0" w:color="auto"/>
              <w:tl2br w:val="nil"/>
              <w:tr2bl w:val="nil"/>
            </w:tcBorders>
            <w:noWrap/>
            <w:vAlign w:val="center"/>
          </w:tcPr>
          <w:p/>
        </w:tc>
        <w:tc>
          <w:tcPr>
            <w:tcW w:w="943" w:type="dxa"/>
            <w:gridSpan w:val="2"/>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质量指标</w:t>
            </w:r>
          </w:p>
        </w:tc>
        <w:tc>
          <w:tcPr>
            <w:tcW w:w="1257" w:type="dxa"/>
            <w:gridSpan w:val="5"/>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验收合格率</w:t>
            </w:r>
          </w:p>
        </w:tc>
        <w:tc>
          <w:tcPr>
            <w:tcW w:w="104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≥98.00%</w:t>
            </w:r>
          </w:p>
        </w:tc>
        <w:tc>
          <w:tcPr>
            <w:tcW w:w="84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3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13</w:t>
            </w:r>
          </w:p>
        </w:tc>
        <w:tc>
          <w:tcPr>
            <w:tcW w:w="628"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13.0</w:t>
            </w:r>
          </w:p>
        </w:tc>
        <w:tc>
          <w:tcPr>
            <w:tcW w:w="22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gridAfter w:val="1"/>
          <w:wAfter w:w="200" w:type="dxa"/>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815" w:type="dxa"/>
            <w:gridSpan w:val="2"/>
            <w:vMerge/>
            <w:tcBorders>
              <w:top w:val="single" w:sz="6" w:space="0" w:color="auto"/>
              <w:left w:val="nil"/>
              <w:bottom w:val="nil"/>
              <w:right w:val="single" w:sz="6" w:space="0" w:color="auto"/>
              <w:tl2br w:val="nil"/>
              <w:tr2bl w:val="nil"/>
            </w:tcBorders>
            <w:noWrap/>
            <w:vAlign w:val="center"/>
          </w:tcPr>
          <w:p/>
        </w:tc>
        <w:tc>
          <w:tcPr>
            <w:tcW w:w="943" w:type="dxa"/>
            <w:gridSpan w:val="2"/>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时效指标</w:t>
            </w:r>
          </w:p>
        </w:tc>
        <w:tc>
          <w:tcPr>
            <w:tcW w:w="1257" w:type="dxa"/>
            <w:gridSpan w:val="5"/>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设备验收及时率</w:t>
            </w:r>
          </w:p>
        </w:tc>
        <w:tc>
          <w:tcPr>
            <w:tcW w:w="104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≥98.00%</w:t>
            </w:r>
          </w:p>
        </w:tc>
        <w:tc>
          <w:tcPr>
            <w:tcW w:w="84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3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14</w:t>
            </w:r>
          </w:p>
        </w:tc>
        <w:tc>
          <w:tcPr>
            <w:tcW w:w="628"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14.0</w:t>
            </w:r>
          </w:p>
        </w:tc>
        <w:tc>
          <w:tcPr>
            <w:tcW w:w="22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gridAfter w:val="1"/>
          <w:wAfter w:w="200" w:type="dxa"/>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815" w:type="dxa"/>
            <w:gridSpan w:val="2"/>
            <w:vMerge w:val="restart"/>
            <w:tcBorders>
              <w:top w:val="single" w:sz="6" w:space="0" w:color="auto"/>
              <w:left w:val="nil"/>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效益指标</w:t>
            </w:r>
          </w:p>
        </w:tc>
        <w:tc>
          <w:tcPr>
            <w:tcW w:w="943" w:type="dxa"/>
            <w:gridSpan w:val="2"/>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社会效益指标</w:t>
            </w:r>
          </w:p>
        </w:tc>
        <w:tc>
          <w:tcPr>
            <w:tcW w:w="1257" w:type="dxa"/>
            <w:gridSpan w:val="5"/>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设备有效利用率</w:t>
            </w:r>
          </w:p>
        </w:tc>
        <w:tc>
          <w:tcPr>
            <w:tcW w:w="104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≥98.00%</w:t>
            </w:r>
          </w:p>
        </w:tc>
        <w:tc>
          <w:tcPr>
            <w:tcW w:w="84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3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628"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22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gridAfter w:val="1"/>
          <w:wAfter w:w="200" w:type="dxa"/>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815" w:type="dxa"/>
            <w:gridSpan w:val="2"/>
            <w:vMerge/>
            <w:tcBorders>
              <w:top w:val="single" w:sz="6" w:space="0" w:color="auto"/>
              <w:left w:val="nil"/>
              <w:bottom w:val="nil"/>
              <w:right w:val="single" w:sz="6" w:space="0" w:color="auto"/>
              <w:tl2br w:val="nil"/>
              <w:tr2bl w:val="nil"/>
            </w:tcBorders>
            <w:noWrap/>
            <w:vAlign w:val="center"/>
          </w:tcPr>
          <w:p/>
        </w:tc>
        <w:tc>
          <w:tcPr>
            <w:tcW w:w="943" w:type="dxa"/>
            <w:gridSpan w:val="2"/>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生态效益指标</w:t>
            </w:r>
          </w:p>
        </w:tc>
        <w:tc>
          <w:tcPr>
            <w:tcW w:w="1257" w:type="dxa"/>
            <w:gridSpan w:val="5"/>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设备节能降耗达标率</w:t>
            </w:r>
          </w:p>
        </w:tc>
        <w:tc>
          <w:tcPr>
            <w:tcW w:w="104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≥98.00%</w:t>
            </w:r>
          </w:p>
        </w:tc>
        <w:tc>
          <w:tcPr>
            <w:tcW w:w="84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3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628"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22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gridAfter w:val="1"/>
          <w:wAfter w:w="200" w:type="dxa"/>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815" w:type="dxa"/>
            <w:gridSpan w:val="2"/>
            <w:tcBorders>
              <w:top w:val="single" w:sz="6" w:space="0" w:color="auto"/>
              <w:left w:val="nil"/>
              <w:bottom w:val="nil"/>
              <w:right w:val="single" w:sz="6" w:space="0" w:color="auto"/>
              <w:tl2br w:val="nil"/>
              <w:tr2bl w:val="nil"/>
            </w:tcBorders>
            <w:noWrap/>
            <w:vAlign w:val="center"/>
          </w:tcPr>
          <w:p>
            <w:pPr>
              <w:jc w:val="center"/>
              <w:rPr>
                <w:rFonts w:ascii="宋体" w:eastAsia="宋体"/>
                <w:sz w:val="18"/>
              </w:rPr>
            </w:pPr>
            <w:r>
              <w:rPr>
                <w:rFonts w:ascii="宋体" w:eastAsia="宋体"/>
                <w:sz w:val="18"/>
              </w:rPr>
              <w:t>满意度指标</w:t>
            </w:r>
          </w:p>
        </w:tc>
        <w:tc>
          <w:tcPr>
            <w:tcW w:w="943" w:type="dxa"/>
            <w:gridSpan w:val="2"/>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服务对象</w:t>
            </w:r>
          </w:p>
          <w:p>
            <w:pPr>
              <w:jc w:val="center"/>
              <w:rPr>
                <w:rFonts w:ascii="宋体" w:eastAsia="宋体" w:cs="宋体"/>
                <w:sz w:val="18"/>
              </w:rPr>
            </w:pPr>
            <w:r>
              <w:rPr>
                <w:rFonts w:ascii="宋体" w:eastAsia="宋体" w:cs="宋体"/>
                <w:sz w:val="18"/>
              </w:rPr>
              <w:t>满意度指标</w:t>
            </w:r>
          </w:p>
        </w:tc>
        <w:tc>
          <w:tcPr>
            <w:tcW w:w="1257" w:type="dxa"/>
            <w:gridSpan w:val="5"/>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中心工作人员对设备使用的满意度</w:t>
            </w:r>
          </w:p>
        </w:tc>
        <w:tc>
          <w:tcPr>
            <w:tcW w:w="104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≥98.00%</w:t>
            </w:r>
          </w:p>
        </w:tc>
        <w:tc>
          <w:tcPr>
            <w:tcW w:w="840"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3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628"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2240"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434"/>
          <w:gridAfter w:val="1"/>
          <w:wAfter w:w="200" w:type="dxa"/>
        </w:trPr>
        <w:tc>
          <w:tcPr>
            <w:tcW w:w="5455" w:type="dxa"/>
            <w:gridSpan w:val="16"/>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总分</w:t>
            </w:r>
          </w:p>
        </w:tc>
        <w:tc>
          <w:tcPr>
            <w:tcW w:w="396"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c>
          <w:tcPr>
            <w:tcW w:w="62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66.8</w:t>
            </w:r>
          </w:p>
        </w:tc>
        <w:tc>
          <w:tcPr>
            <w:tcW w:w="2240" w:type="dxa"/>
            <w:gridSpan w:val="6"/>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r>
      <w:tr>
        <w:trPr>
          <w:trHeight w:val="419"/>
        </w:trPr>
        <w:tc>
          <w:tcPr>
            <w:tcW w:w="8919" w:type="dxa"/>
            <w:gridSpan w:val="25"/>
            <w:tcBorders>
              <w:top w:val="nil"/>
              <w:left w:val="nil"/>
              <w:bottom w:val="nil"/>
              <w:right w:val="nil"/>
              <w:tl2br w:val="nil"/>
              <w:tr2bl w:val="nil"/>
            </w:tcBorders>
            <w:noWrap/>
            <w:vAlign w:val="center"/>
          </w:tcPr>
          <w:p>
            <w:pPr>
              <w:jc w:val="center"/>
              <w:rPr>
                <w:rFonts w:ascii="宋体" w:eastAsia="宋体" w:cs="宋体"/>
                <w:b/>
                <w:i w:val="0"/>
                <w:sz w:val="32"/>
              </w:rPr>
            </w:pPr>
          </w:p>
          <w:p>
            <w:pPr>
              <w:jc w:val="center"/>
              <w:rPr>
                <w:rFonts w:ascii="宋体" w:eastAsia="宋体" w:cs="宋体"/>
                <w:b/>
                <w:i w:val="0"/>
                <w:sz w:val="32"/>
              </w:rPr>
            </w:pPr>
          </w:p>
          <w:p>
            <w:pPr>
              <w:jc w:val="center"/>
              <w:rPr>
                <w:rFonts w:ascii="宋体" w:eastAsia="宋体" w:cs="宋体"/>
                <w:b/>
                <w:i w:val="0"/>
                <w:sz w:val="32"/>
              </w:rPr>
            </w:pPr>
          </w:p>
          <w:p>
            <w:pPr>
              <w:jc w:val="center"/>
              <w:rPr>
                <w:rFonts w:ascii="宋体" w:eastAsia="宋体" w:cs="宋体"/>
                <w:b/>
                <w:i w:val="0"/>
                <w:sz w:val="32"/>
              </w:rPr>
            </w:pPr>
          </w:p>
          <w:p>
            <w:pPr>
              <w:jc w:val="center"/>
              <w:rPr>
                <w:rFonts w:ascii="宋体" w:eastAsia="宋体" w:cs="宋体"/>
                <w:b/>
                <w:i w:val="0"/>
                <w:sz w:val="32"/>
              </w:rPr>
            </w:pPr>
            <w:r>
              <w:rPr>
                <w:rFonts w:ascii="宋体" w:eastAsia="宋体" w:cs="宋体"/>
                <w:b/>
                <w:i w:val="0"/>
                <w:sz w:val="32"/>
              </w:rPr>
              <w:t>海关实验室仪器设备更新项目（其他）项目绩效自评表</w:t>
            </w:r>
          </w:p>
        </w:tc>
      </w:tr>
      <w:tr>
        <w:trPr>
          <w:trHeight w:val="284"/>
        </w:trPr>
        <w:tc>
          <w:tcPr>
            <w:tcW w:w="8919" w:type="dxa"/>
            <w:gridSpan w:val="25"/>
            <w:tcBorders>
              <w:top w:val="nil"/>
              <w:left w:val="nil"/>
              <w:bottom w:val="nil"/>
              <w:right w:val="nil"/>
              <w:tl2br w:val="nil"/>
              <w:tr2bl w:val="nil"/>
            </w:tcBorders>
            <w:noWrap/>
            <w:vAlign w:val="center"/>
          </w:tcPr>
          <w:p>
            <w:pPr>
              <w:jc w:val="center"/>
              <w:rPr>
                <w:rFonts w:ascii="宋体" w:eastAsia="宋体" w:cs="宋体"/>
                <w:sz w:val="22"/>
              </w:rPr>
            </w:pPr>
            <w:r>
              <w:rPr>
                <w:rFonts w:ascii="宋体" w:eastAsia="宋体" w:cs="宋体"/>
                <w:sz w:val="22"/>
              </w:rPr>
              <w:t>（2025年度）</w:t>
            </w:r>
          </w:p>
        </w:tc>
      </w:tr>
      <w:tr>
        <w:trPr>
          <w:trHeight w:val="374"/>
        </w:trPr>
        <w:tc>
          <w:tcPr>
            <w:tcW w:w="126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项目名称</w:t>
            </w:r>
          </w:p>
        </w:tc>
        <w:tc>
          <w:tcPr>
            <w:tcW w:w="7654" w:type="dxa"/>
            <w:gridSpan w:val="2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海关实验室仪器设备更新项目（其他）</w:t>
            </w:r>
          </w:p>
        </w:tc>
      </w:tr>
      <w:tr>
        <w:trPr>
          <w:trHeight w:val="374"/>
        </w:trPr>
        <w:tc>
          <w:tcPr>
            <w:tcW w:w="1264"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主管部门</w:t>
            </w:r>
          </w:p>
        </w:tc>
        <w:tc>
          <w:tcPr>
            <w:tcW w:w="2725" w:type="dxa"/>
            <w:gridSpan w:val="9"/>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[167] 海关总署</w:t>
            </w:r>
          </w:p>
        </w:tc>
        <w:tc>
          <w:tcPr>
            <w:tcW w:w="944"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实施单位</w:t>
            </w:r>
          </w:p>
        </w:tc>
        <w:tc>
          <w:tcPr>
            <w:tcW w:w="3985" w:type="dxa"/>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呼和浩特国际旅行卫生保健中心(呼和浩特海关口岸门诊部）</w:t>
            </w:r>
          </w:p>
        </w:tc>
      </w:tr>
      <w:tr>
        <w:trPr>
          <w:trHeight w:val="374"/>
        </w:trPr>
        <w:tc>
          <w:tcPr>
            <w:tcW w:w="1264" w:type="dxa"/>
            <w:gridSpan w:val="2"/>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pStyle w:val="82"/>
              <w:jc w:val="center"/>
              <w:rPr>
                <w:rFonts w:ascii="宋体" w:eastAsia="宋体" w:cs="宋体"/>
                <w:sz w:val="18"/>
              </w:rPr>
            </w:pPr>
            <w:r>
              <w:rPr>
                <w:rFonts w:ascii="宋体" w:eastAsia="宋体" w:cs="宋体"/>
                <w:sz w:val="18"/>
              </w:rPr>
              <w:t>项目资金</w:t>
            </w:r>
          </w:p>
          <w:p>
            <w:pPr>
              <w:pStyle w:val="82"/>
              <w:jc w:val="center"/>
              <w:rPr>
                <w:rFonts w:ascii="宋体" w:eastAsia="宋体" w:cs="宋体"/>
                <w:sz w:val="18"/>
              </w:rPr>
            </w:pPr>
            <w:r>
              <w:rPr>
                <w:rFonts w:ascii="宋体" w:eastAsia="宋体" w:cs="宋体"/>
                <w:sz w:val="18"/>
              </w:rPr>
              <w:t>（万元）</w:t>
            </w:r>
          </w:p>
        </w:tc>
        <w:tc>
          <w:tcPr>
            <w:tcW w:w="1991" w:type="dxa"/>
            <w:gridSpan w:val="7"/>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73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年初预算数</w:t>
            </w:r>
          </w:p>
        </w:tc>
        <w:tc>
          <w:tcPr>
            <w:tcW w:w="944"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全年预算数</w:t>
            </w:r>
          </w:p>
        </w:tc>
        <w:tc>
          <w:tcPr>
            <w:tcW w:w="91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全年执行数</w:t>
            </w:r>
          </w:p>
        </w:tc>
        <w:tc>
          <w:tcPr>
            <w:tcW w:w="111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分值</w:t>
            </w:r>
          </w:p>
        </w:tc>
        <w:tc>
          <w:tcPr>
            <w:tcW w:w="122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执行率</w:t>
            </w:r>
          </w:p>
        </w:tc>
        <w:tc>
          <w:tcPr>
            <w:tcW w:w="723"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得分</w:t>
            </w:r>
          </w:p>
        </w:tc>
      </w:tr>
      <w:tr>
        <w:trPr>
          <w:trHeight w:val="374"/>
        </w:trPr>
        <w:tc>
          <w:tcPr>
            <w:tcW w:w="1266" w:type="dxa"/>
            <w:gridSpan w:val="2"/>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991" w:type="dxa"/>
            <w:gridSpan w:val="7"/>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年度资金总额：</w:t>
            </w:r>
          </w:p>
        </w:tc>
        <w:tc>
          <w:tcPr>
            <w:tcW w:w="73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3.95</w:t>
            </w:r>
          </w:p>
        </w:tc>
        <w:tc>
          <w:tcPr>
            <w:tcW w:w="944"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3.95</w:t>
            </w:r>
          </w:p>
        </w:tc>
        <w:tc>
          <w:tcPr>
            <w:tcW w:w="91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111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c>
          <w:tcPr>
            <w:tcW w:w="122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w:t>
            </w:r>
          </w:p>
        </w:tc>
        <w:tc>
          <w:tcPr>
            <w:tcW w:w="723"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w:t>
            </w:r>
          </w:p>
        </w:tc>
      </w:tr>
      <w:tr>
        <w:trPr>
          <w:trHeight w:val="374"/>
        </w:trPr>
        <w:tc>
          <w:tcPr>
            <w:tcW w:w="1266" w:type="dxa"/>
            <w:gridSpan w:val="2"/>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991" w:type="dxa"/>
            <w:gridSpan w:val="7"/>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 xml:space="preserve"> 其中：财政拨款</w:t>
            </w:r>
          </w:p>
        </w:tc>
        <w:tc>
          <w:tcPr>
            <w:tcW w:w="73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944"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91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111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122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723"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trPr>
        <w:tc>
          <w:tcPr>
            <w:tcW w:w="1266" w:type="dxa"/>
            <w:gridSpan w:val="2"/>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991" w:type="dxa"/>
            <w:gridSpan w:val="7"/>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 xml:space="preserve"> 上年结转</w:t>
            </w:r>
          </w:p>
        </w:tc>
        <w:tc>
          <w:tcPr>
            <w:tcW w:w="73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3.95</w:t>
            </w:r>
          </w:p>
        </w:tc>
        <w:tc>
          <w:tcPr>
            <w:tcW w:w="944"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3.95</w:t>
            </w:r>
          </w:p>
        </w:tc>
        <w:tc>
          <w:tcPr>
            <w:tcW w:w="91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111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122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723"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trPr>
        <w:tc>
          <w:tcPr>
            <w:tcW w:w="1266" w:type="dxa"/>
            <w:gridSpan w:val="2"/>
            <w:vMerge/>
            <w:tcBorders>
              <w:top w:val="single" w:sz="6" w:space="0" w:color="000000"/>
              <w:left w:val="single" w:sz="6" w:space="0" w:color="000000"/>
              <w:bottom w:val="single" w:sz="6" w:space="0" w:color="000000"/>
              <w:right w:val="single" w:sz="6" w:space="0" w:color="000000"/>
              <w:tl2br w:val="nil"/>
              <w:tr2bl w:val="nil"/>
            </w:tcBorders>
            <w:noWrap/>
            <w:vAlign w:val="center"/>
          </w:tcPr>
          <w:p/>
        </w:tc>
        <w:tc>
          <w:tcPr>
            <w:tcW w:w="1991" w:type="dxa"/>
            <w:gridSpan w:val="7"/>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Arial"/>
                <w:b w:val="0"/>
                <w:i w:val="0"/>
                <w:caps w:val="0"/>
                <w:smallCaps w:val="0"/>
                <w:strike w:val="0"/>
                <w:dstrike w:val="0"/>
                <w:sz w:val="18"/>
                <w:u w:val="none"/>
                <w:vertAlign w:val="baseline"/>
              </w:rPr>
            </w:pPr>
            <w:r>
              <w:rPr>
                <w:rFonts w:ascii="宋体" w:eastAsia="宋体" w:cs="Arial"/>
                <w:b w:val="0"/>
                <w:i w:val="0"/>
                <w:caps w:val="0"/>
                <w:smallCaps w:val="0"/>
                <w:strike w:val="0"/>
                <w:dstrike w:val="0"/>
                <w:sz w:val="18"/>
                <w:u w:val="none"/>
                <w:vertAlign w:val="baseline"/>
              </w:rPr>
              <w:t xml:space="preserve"> 其他资金 </w:t>
            </w:r>
          </w:p>
        </w:tc>
        <w:tc>
          <w:tcPr>
            <w:tcW w:w="735"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944"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91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w:t>
            </w:r>
          </w:p>
        </w:tc>
        <w:tc>
          <w:tcPr>
            <w:tcW w:w="111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c>
          <w:tcPr>
            <w:tcW w:w="122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c>
          <w:tcPr>
            <w:tcW w:w="723"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w:t>
            </w:r>
          </w:p>
        </w:tc>
      </w:tr>
      <w:tr>
        <w:trPr>
          <w:trHeight w:val="374"/>
        </w:trPr>
        <w:tc>
          <w:tcPr>
            <w:tcW w:w="552"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w:t>
            </w:r>
          </w:p>
          <w:p>
            <w:pPr>
              <w:jc w:val="center"/>
              <w:rPr>
                <w:rFonts w:ascii="宋体" w:eastAsia="宋体" w:cs="宋体"/>
                <w:sz w:val="18"/>
              </w:rPr>
            </w:pPr>
            <w:r>
              <w:rPr>
                <w:rFonts w:ascii="宋体" w:eastAsia="宋体" w:cs="宋体"/>
                <w:sz w:val="18"/>
              </w:rPr>
              <w:t>度</w:t>
            </w:r>
          </w:p>
          <w:p>
            <w:pPr>
              <w:jc w:val="center"/>
              <w:rPr>
                <w:rFonts w:ascii="宋体" w:eastAsia="宋体" w:cs="宋体"/>
                <w:sz w:val="18"/>
              </w:rPr>
            </w:pPr>
            <w:r>
              <w:rPr>
                <w:rFonts w:ascii="宋体" w:eastAsia="宋体" w:cs="宋体"/>
                <w:sz w:val="18"/>
              </w:rPr>
              <w:t>总</w:t>
            </w:r>
          </w:p>
          <w:p>
            <w:pPr>
              <w:jc w:val="center"/>
              <w:rPr>
                <w:rFonts w:ascii="宋体" w:eastAsia="宋体" w:cs="宋体"/>
                <w:sz w:val="18"/>
              </w:rPr>
            </w:pPr>
            <w:r>
              <w:rPr>
                <w:rFonts w:ascii="宋体" w:eastAsia="宋体" w:cs="宋体"/>
                <w:sz w:val="18"/>
              </w:rPr>
              <w:t>体</w:t>
            </w:r>
          </w:p>
          <w:p>
            <w:pPr>
              <w:jc w:val="center"/>
              <w:rPr>
                <w:rFonts w:ascii="宋体" w:eastAsia="宋体" w:cs="宋体"/>
                <w:sz w:val="18"/>
              </w:rPr>
            </w:pPr>
            <w:r>
              <w:rPr>
                <w:rFonts w:ascii="宋体" w:eastAsia="宋体" w:cs="宋体"/>
                <w:sz w:val="18"/>
              </w:rPr>
              <w:t>目</w:t>
            </w:r>
          </w:p>
          <w:p>
            <w:pPr>
              <w:jc w:val="center"/>
              <w:rPr>
                <w:rFonts w:ascii="宋体" w:eastAsia="宋体" w:cs="宋体"/>
                <w:sz w:val="18"/>
              </w:rPr>
            </w:pPr>
            <w:r>
              <w:rPr>
                <w:rFonts w:ascii="宋体" w:eastAsia="宋体" w:cs="宋体"/>
                <w:sz w:val="18"/>
              </w:rPr>
              <w:t>标</w:t>
            </w:r>
          </w:p>
        </w:tc>
        <w:tc>
          <w:tcPr>
            <w:tcW w:w="4382" w:type="dxa"/>
            <w:gridSpan w:val="1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预期目标</w:t>
            </w:r>
          </w:p>
        </w:tc>
        <w:tc>
          <w:tcPr>
            <w:tcW w:w="3985" w:type="dxa"/>
            <w:gridSpan w:val="11"/>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实际完成情况</w:t>
            </w:r>
          </w:p>
        </w:tc>
      </w:tr>
      <w:tr>
        <w:trPr>
          <w:trHeight w:val="1904"/>
        </w:trPr>
        <w:tc>
          <w:tcPr>
            <w:tcW w:w="552" w:type="dxa"/>
            <w:vMerge/>
            <w:tcBorders>
              <w:top w:val="single" w:sz="6" w:space="0" w:color="000000"/>
              <w:left w:val="single" w:sz="6" w:space="0" w:color="000000"/>
              <w:bottom w:val="nil"/>
              <w:right w:val="single" w:sz="6" w:space="0" w:color="000000"/>
              <w:tl2br w:val="nil"/>
              <w:tr2bl w:val="nil"/>
            </w:tcBorders>
            <w:noWrap/>
            <w:vAlign w:val="center"/>
          </w:tcPr>
          <w:p/>
        </w:tc>
        <w:tc>
          <w:tcPr>
            <w:tcW w:w="4382" w:type="dxa"/>
            <w:gridSpan w:val="13"/>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宋体"/>
                <w:sz w:val="18"/>
              </w:rPr>
            </w:pPr>
            <w:r>
              <w:rPr>
                <w:rFonts w:ascii="宋体" w:eastAsia="宋体" w:cs="宋体"/>
                <w:sz w:val="18"/>
              </w:rPr>
              <w:t>通过对保健中心实验室仪器空调的投入，更新不能满足现有使用要求的空调，提升实验室血样保存及试剂耗材保存温度，保证质量。</w:t>
            </w:r>
          </w:p>
        </w:tc>
        <w:tc>
          <w:tcPr>
            <w:tcW w:w="3985" w:type="dxa"/>
            <w:gridSpan w:val="11"/>
            <w:tcBorders>
              <w:top w:val="single" w:sz="6" w:space="0" w:color="000000"/>
              <w:left w:val="single" w:sz="6" w:space="0" w:color="000000"/>
              <w:bottom w:val="single" w:sz="6" w:space="0" w:color="000000"/>
              <w:right w:val="single" w:sz="6" w:space="0" w:color="000000"/>
              <w:tl2br w:val="nil"/>
              <w:tr2bl w:val="nil"/>
            </w:tcBorders>
            <w:noWrap/>
          </w:tcPr>
          <w:p>
            <w:pPr>
              <w:rPr>
                <w:rFonts w:ascii="宋体" w:eastAsia="宋体" w:cs="宋体"/>
                <w:sz w:val="18"/>
              </w:rPr>
            </w:pPr>
            <w:r>
              <w:rPr>
                <w:rFonts w:ascii="宋体" w:eastAsia="宋体" w:cs="宋体"/>
                <w:sz w:val="18"/>
              </w:rPr>
              <w:t xml:space="preserve">2024年度两新项目结余资金，属于收回资金。1.夯实P2实验室负压隔离室等设施设备基础，配齐快速检测试剂14余种、防护物资、消毒药械等现场物资储备，提升突发公共卫生事件应急处置能力；2.落实健康申报、体温监测、医学巡查、流行病学调查等常态化进出境人员卫生检疫措施，强化消毒等卫生检疫工作，构建基于传染病监测、国内外疫情信息的多渠道监测预警体系，精准实施风险监测预警。设立出入境体检咨询台，提升进出境人员检疫认知与配合度，全面筑牢口岸卫生安全防线，开展宣传活动12次，共计发放宣传册260余份；3.开展业务培训4次。切实提高专业人员素质和能力，保证卫生检疫工作质量。4． 组织学习特殊物品卫生检疫管理培训，科学有效实施特殊物品卫生检疫和风险防控，强化生物安全管理。 </w:t>
            </w:r>
          </w:p>
        </w:tc>
      </w:tr>
      <w:tr>
        <w:trPr>
          <w:trHeight w:val="539"/>
        </w:trPr>
        <w:tc>
          <w:tcPr>
            <w:tcW w:w="552"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绩</w:t>
            </w:r>
          </w:p>
          <w:p>
            <w:pPr>
              <w:jc w:val="center"/>
              <w:rPr>
                <w:rFonts w:ascii="宋体" w:eastAsia="宋体" w:cs="宋体"/>
                <w:sz w:val="18"/>
              </w:rPr>
            </w:pPr>
            <w:r>
              <w:rPr>
                <w:rFonts w:ascii="宋体" w:eastAsia="宋体" w:cs="宋体"/>
                <w:sz w:val="18"/>
              </w:rPr>
              <w:t>效</w:t>
            </w:r>
          </w:p>
          <w:p>
            <w:pPr>
              <w:jc w:val="center"/>
              <w:rPr>
                <w:rFonts w:ascii="宋体" w:eastAsia="宋体" w:cs="宋体"/>
                <w:sz w:val="18"/>
              </w:rPr>
            </w:pPr>
            <w:r>
              <w:rPr>
                <w:rFonts w:ascii="宋体" w:eastAsia="宋体" w:cs="宋体"/>
                <w:sz w:val="18"/>
              </w:rPr>
              <w:t>指</w:t>
            </w:r>
          </w:p>
          <w:p>
            <w:pPr>
              <w:jc w:val="center"/>
              <w:rPr>
                <w:rFonts w:ascii="宋体" w:eastAsia="宋体" w:cs="宋体"/>
                <w:sz w:val="18"/>
              </w:rPr>
            </w:pPr>
            <w:r>
              <w:rPr>
                <w:rFonts w:ascii="宋体" w:eastAsia="宋体" w:cs="宋体"/>
                <w:sz w:val="18"/>
              </w:rPr>
              <w:t>标</w:t>
            </w:r>
          </w:p>
        </w:tc>
        <w:tc>
          <w:tcPr>
            <w:tcW w:w="712" w:type="dxa"/>
            <w:tcBorders>
              <w:top w:val="single" w:sz="6" w:space="0" w:color="000000"/>
              <w:left w:val="nil"/>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一级指标</w:t>
            </w:r>
          </w:p>
        </w:tc>
        <w:tc>
          <w:tcPr>
            <w:tcW w:w="1257"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二级指标</w:t>
            </w:r>
          </w:p>
        </w:tc>
        <w:tc>
          <w:tcPr>
            <w:tcW w:w="1468" w:type="dxa"/>
            <w:gridSpan w:val="4"/>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三级指标</w:t>
            </w:r>
          </w:p>
        </w:tc>
        <w:tc>
          <w:tcPr>
            <w:tcW w:w="944"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年度指标值</w:t>
            </w:r>
          </w:p>
        </w:tc>
        <w:tc>
          <w:tcPr>
            <w:tcW w:w="91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实际完成值</w:t>
            </w:r>
          </w:p>
        </w:tc>
        <w:tc>
          <w:tcPr>
            <w:tcW w:w="111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分值</w:t>
            </w:r>
          </w:p>
        </w:tc>
        <w:tc>
          <w:tcPr>
            <w:tcW w:w="703"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得分</w:t>
            </w:r>
          </w:p>
        </w:tc>
        <w:tc>
          <w:tcPr>
            <w:tcW w:w="1249" w:type="dxa"/>
            <w:gridSpan w:val="3"/>
            <w:tcBorders>
              <w:top w:val="single" w:sz="6" w:space="0" w:color="000000"/>
              <w:left w:val="single" w:sz="6" w:space="0" w:color="000000"/>
              <w:bottom w:val="nil"/>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偏差原因分析及</w:t>
            </w:r>
          </w:p>
          <w:p>
            <w:pPr>
              <w:jc w:val="center"/>
              <w:rPr>
                <w:rFonts w:ascii="宋体" w:eastAsia="宋体" w:cs="宋体"/>
                <w:sz w:val="18"/>
              </w:rPr>
            </w:pPr>
            <w:r>
              <w:rPr>
                <w:rFonts w:ascii="宋体" w:eastAsia="宋体" w:cs="宋体"/>
                <w:sz w:val="18"/>
              </w:rPr>
              <w:t>改进措施</w:t>
            </w:r>
          </w:p>
        </w:tc>
      </w:tr>
      <w:tr>
        <w:trPr>
          <w:trHeight w:val="374"/>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712" w:type="dxa"/>
            <w:tcBorders>
              <w:top w:val="single" w:sz="6" w:space="0" w:color="auto"/>
              <w:left w:val="nil"/>
              <w:bottom w:val="nil"/>
              <w:right w:val="single" w:sz="6" w:space="0" w:color="auto"/>
              <w:tl2br w:val="nil"/>
              <w:tr2bl w:val="nil"/>
            </w:tcBorders>
            <w:noWrap/>
            <w:vAlign w:val="center"/>
          </w:tcPr>
          <w:p>
            <w:pPr>
              <w:jc w:val="center"/>
              <w:rPr>
                <w:rFonts w:ascii="宋体" w:eastAsia="宋体"/>
                <w:sz w:val="18"/>
              </w:rPr>
            </w:pPr>
            <w:r>
              <w:rPr>
                <w:rFonts w:ascii="宋体" w:eastAsia="宋体"/>
                <w:sz w:val="18"/>
              </w:rPr>
              <w:t>成本指标</w:t>
            </w:r>
          </w:p>
        </w:tc>
        <w:tc>
          <w:tcPr>
            <w:tcW w:w="1257" w:type="dxa"/>
            <w:gridSpan w:val="5"/>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经济成本指标</w:t>
            </w:r>
          </w:p>
        </w:tc>
        <w:tc>
          <w:tcPr>
            <w:tcW w:w="1468" w:type="dxa"/>
            <w:gridSpan w:val="4"/>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设备购置成本</w:t>
            </w:r>
          </w:p>
        </w:tc>
        <w:tc>
          <w:tcPr>
            <w:tcW w:w="944"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≤3.95万元</w:t>
            </w:r>
          </w:p>
        </w:tc>
        <w:tc>
          <w:tcPr>
            <w:tcW w:w="91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0.00万元</w:t>
            </w:r>
          </w:p>
        </w:tc>
        <w:tc>
          <w:tcPr>
            <w:tcW w:w="111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20</w:t>
            </w:r>
          </w:p>
        </w:tc>
        <w:tc>
          <w:tcPr>
            <w:tcW w:w="703" w:type="dxa"/>
            <w:gridSpan w:val="2"/>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1249"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712" w:type="dxa"/>
            <w:vMerge w:val="restart"/>
            <w:tcBorders>
              <w:top w:val="single" w:sz="6" w:space="0" w:color="auto"/>
              <w:left w:val="nil"/>
              <w:bottom w:val="nil"/>
              <w:right w:val="single" w:sz="6" w:space="0" w:color="auto"/>
              <w:tl2br w:val="nil"/>
              <w:tr2bl w:val="nil"/>
            </w:tcBorders>
            <w:noWrap/>
            <w:vAlign w:val="center"/>
          </w:tcPr>
          <w:p>
            <w:pPr>
              <w:pStyle w:val="81"/>
              <w:jc w:val="center"/>
              <w:rPr>
                <w:rFonts w:ascii="宋体" w:eastAsia="宋体" w:cs="宋体"/>
                <w:sz w:val="18"/>
              </w:rPr>
            </w:pPr>
            <w:r>
              <w:rPr>
                <w:rFonts w:ascii="宋体" w:eastAsia="宋体" w:cs="宋体"/>
                <w:sz w:val="18"/>
              </w:rPr>
              <w:t>产出指标</w:t>
            </w:r>
          </w:p>
        </w:tc>
        <w:tc>
          <w:tcPr>
            <w:tcW w:w="1257" w:type="dxa"/>
            <w:gridSpan w:val="5"/>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数量指标</w:t>
            </w:r>
          </w:p>
        </w:tc>
        <w:tc>
          <w:tcPr>
            <w:tcW w:w="1468" w:type="dxa"/>
            <w:gridSpan w:val="4"/>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设备购置数量</w:t>
            </w:r>
          </w:p>
        </w:tc>
        <w:tc>
          <w:tcPr>
            <w:tcW w:w="944"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≥1台/套</w:t>
            </w:r>
          </w:p>
        </w:tc>
        <w:tc>
          <w:tcPr>
            <w:tcW w:w="91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26.00台/套</w:t>
            </w:r>
          </w:p>
        </w:tc>
        <w:tc>
          <w:tcPr>
            <w:tcW w:w="111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13</w:t>
            </w:r>
          </w:p>
        </w:tc>
        <w:tc>
          <w:tcPr>
            <w:tcW w:w="703" w:type="dxa"/>
            <w:gridSpan w:val="2"/>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1249"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712" w:type="dxa"/>
            <w:vMerge/>
            <w:tcBorders>
              <w:top w:val="single" w:sz="6" w:space="0" w:color="auto"/>
              <w:left w:val="nil"/>
              <w:bottom w:val="nil"/>
              <w:right w:val="single" w:sz="6" w:space="0" w:color="auto"/>
              <w:tl2br w:val="nil"/>
              <w:tr2bl w:val="nil"/>
            </w:tcBorders>
            <w:noWrap/>
            <w:vAlign w:val="center"/>
          </w:tcPr>
          <w:p/>
        </w:tc>
        <w:tc>
          <w:tcPr>
            <w:tcW w:w="1257" w:type="dxa"/>
            <w:gridSpan w:val="5"/>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质量指标</w:t>
            </w:r>
          </w:p>
        </w:tc>
        <w:tc>
          <w:tcPr>
            <w:tcW w:w="1468" w:type="dxa"/>
            <w:gridSpan w:val="4"/>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验收合格率</w:t>
            </w:r>
          </w:p>
        </w:tc>
        <w:tc>
          <w:tcPr>
            <w:tcW w:w="944"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≥90%</w:t>
            </w:r>
          </w:p>
        </w:tc>
        <w:tc>
          <w:tcPr>
            <w:tcW w:w="91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111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14</w:t>
            </w:r>
          </w:p>
        </w:tc>
        <w:tc>
          <w:tcPr>
            <w:tcW w:w="703" w:type="dxa"/>
            <w:gridSpan w:val="2"/>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14.0</w:t>
            </w:r>
          </w:p>
        </w:tc>
        <w:tc>
          <w:tcPr>
            <w:tcW w:w="1249"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712" w:type="dxa"/>
            <w:vMerge/>
            <w:tcBorders>
              <w:top w:val="single" w:sz="6" w:space="0" w:color="auto"/>
              <w:left w:val="nil"/>
              <w:bottom w:val="nil"/>
              <w:right w:val="single" w:sz="6" w:space="0" w:color="auto"/>
              <w:tl2br w:val="nil"/>
              <w:tr2bl w:val="nil"/>
            </w:tcBorders>
            <w:noWrap/>
            <w:vAlign w:val="center"/>
          </w:tcPr>
          <w:p/>
        </w:tc>
        <w:tc>
          <w:tcPr>
            <w:tcW w:w="1257" w:type="dxa"/>
            <w:gridSpan w:val="5"/>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时效指标</w:t>
            </w:r>
          </w:p>
        </w:tc>
        <w:tc>
          <w:tcPr>
            <w:tcW w:w="1468" w:type="dxa"/>
            <w:gridSpan w:val="4"/>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设备验收及时率</w:t>
            </w:r>
          </w:p>
        </w:tc>
        <w:tc>
          <w:tcPr>
            <w:tcW w:w="944"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≥90%</w:t>
            </w:r>
          </w:p>
        </w:tc>
        <w:tc>
          <w:tcPr>
            <w:tcW w:w="91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111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13</w:t>
            </w:r>
          </w:p>
        </w:tc>
        <w:tc>
          <w:tcPr>
            <w:tcW w:w="703" w:type="dxa"/>
            <w:gridSpan w:val="2"/>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13.0</w:t>
            </w:r>
          </w:p>
        </w:tc>
        <w:tc>
          <w:tcPr>
            <w:tcW w:w="1249"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712" w:type="dxa"/>
            <w:vMerge w:val="restart"/>
            <w:tcBorders>
              <w:top w:val="single" w:sz="6" w:space="0" w:color="auto"/>
              <w:left w:val="nil"/>
              <w:bottom w:val="nil"/>
              <w:right w:val="single" w:sz="6" w:space="0" w:color="auto"/>
              <w:tl2br w:val="nil"/>
              <w:tr2bl w:val="nil"/>
            </w:tcBorders>
            <w:noWrap/>
            <w:vAlign w:val="center"/>
          </w:tcPr>
          <w:p>
            <w:pPr>
              <w:pStyle w:val="80"/>
              <w:jc w:val="center"/>
              <w:rPr>
                <w:rFonts w:ascii="宋体" w:eastAsia="宋体" w:cs="宋体"/>
                <w:sz w:val="18"/>
              </w:rPr>
            </w:pPr>
            <w:r>
              <w:rPr>
                <w:rFonts w:ascii="宋体" w:eastAsia="宋体" w:cs="宋体"/>
                <w:sz w:val="18"/>
              </w:rPr>
              <w:t>效益指标</w:t>
            </w:r>
          </w:p>
        </w:tc>
        <w:tc>
          <w:tcPr>
            <w:tcW w:w="1257" w:type="dxa"/>
            <w:gridSpan w:val="5"/>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社会效益指标</w:t>
            </w:r>
          </w:p>
        </w:tc>
        <w:tc>
          <w:tcPr>
            <w:tcW w:w="1468" w:type="dxa"/>
            <w:gridSpan w:val="4"/>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设备使用年限</w:t>
            </w:r>
          </w:p>
        </w:tc>
        <w:tc>
          <w:tcPr>
            <w:tcW w:w="944"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≥6年</w:t>
            </w:r>
          </w:p>
        </w:tc>
        <w:tc>
          <w:tcPr>
            <w:tcW w:w="91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8.00年</w:t>
            </w:r>
          </w:p>
        </w:tc>
        <w:tc>
          <w:tcPr>
            <w:tcW w:w="111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703" w:type="dxa"/>
            <w:gridSpan w:val="2"/>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1249"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712" w:type="dxa"/>
            <w:vMerge/>
            <w:tcBorders>
              <w:top w:val="single" w:sz="6" w:space="0" w:color="auto"/>
              <w:left w:val="nil"/>
              <w:bottom w:val="nil"/>
              <w:right w:val="single" w:sz="6" w:space="0" w:color="auto"/>
              <w:tl2br w:val="nil"/>
              <w:tr2bl w:val="nil"/>
            </w:tcBorders>
            <w:noWrap/>
            <w:vAlign w:val="center"/>
          </w:tcPr>
          <w:p/>
        </w:tc>
        <w:tc>
          <w:tcPr>
            <w:tcW w:w="1257" w:type="dxa"/>
            <w:gridSpan w:val="5"/>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生态效益指标</w:t>
            </w:r>
          </w:p>
        </w:tc>
        <w:tc>
          <w:tcPr>
            <w:tcW w:w="1468" w:type="dxa"/>
            <w:gridSpan w:val="4"/>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设备节能降耗达标率</w:t>
            </w:r>
          </w:p>
        </w:tc>
        <w:tc>
          <w:tcPr>
            <w:tcW w:w="944"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≥90%</w:t>
            </w:r>
          </w:p>
        </w:tc>
        <w:tc>
          <w:tcPr>
            <w:tcW w:w="91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111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703" w:type="dxa"/>
            <w:gridSpan w:val="2"/>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1249"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374"/>
        </w:trPr>
        <w:tc>
          <w:tcPr>
            <w:tcW w:w="552" w:type="dxa"/>
            <w:vMerge/>
            <w:tcBorders>
              <w:top w:val="nil"/>
              <w:left w:val="single" w:sz="6" w:space="0" w:color="auto"/>
              <w:bottom w:val="single" w:sz="6" w:space="0" w:color="auto"/>
              <w:right w:val="single" w:sz="6" w:space="0" w:color="auto"/>
              <w:tl2br w:val="nil"/>
              <w:tr2bl w:val="nil"/>
            </w:tcBorders>
            <w:noWrap/>
            <w:vAlign w:val="center"/>
          </w:tcPr>
          <w:p/>
        </w:tc>
        <w:tc>
          <w:tcPr>
            <w:tcW w:w="712" w:type="dxa"/>
            <w:tcBorders>
              <w:top w:val="single" w:sz="6" w:space="0" w:color="auto"/>
              <w:left w:val="nil"/>
              <w:bottom w:val="nil"/>
              <w:right w:val="single" w:sz="6" w:space="0" w:color="auto"/>
              <w:tl2br w:val="nil"/>
              <w:tr2bl w:val="nil"/>
            </w:tcBorders>
            <w:noWrap/>
            <w:vAlign w:val="center"/>
          </w:tcPr>
          <w:p>
            <w:pPr>
              <w:jc w:val="center"/>
              <w:rPr>
                <w:rFonts w:ascii="宋体" w:eastAsia="宋体"/>
                <w:sz w:val="18"/>
              </w:rPr>
            </w:pPr>
            <w:r>
              <w:rPr>
                <w:rFonts w:ascii="宋体" w:eastAsia="宋体"/>
                <w:sz w:val="18"/>
              </w:rPr>
              <w:t>满意度指标</w:t>
            </w:r>
          </w:p>
        </w:tc>
        <w:tc>
          <w:tcPr>
            <w:tcW w:w="1257" w:type="dxa"/>
            <w:gridSpan w:val="5"/>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宋体"/>
                <w:sz w:val="18"/>
              </w:rPr>
            </w:pPr>
            <w:r>
              <w:rPr>
                <w:rFonts w:ascii="宋体" w:eastAsia="宋体" w:cs="宋体"/>
                <w:sz w:val="18"/>
              </w:rPr>
              <w:t>服务对象</w:t>
            </w:r>
          </w:p>
          <w:p>
            <w:pPr>
              <w:jc w:val="center"/>
              <w:rPr>
                <w:rFonts w:ascii="宋体" w:eastAsia="宋体" w:cs="宋体"/>
                <w:sz w:val="18"/>
              </w:rPr>
            </w:pPr>
            <w:r>
              <w:rPr>
                <w:rFonts w:ascii="宋体" w:eastAsia="宋体" w:cs="宋体"/>
                <w:sz w:val="18"/>
              </w:rPr>
              <w:t>满意度指标</w:t>
            </w:r>
          </w:p>
        </w:tc>
        <w:tc>
          <w:tcPr>
            <w:tcW w:w="1468" w:type="dxa"/>
            <w:gridSpan w:val="4"/>
            <w:tcBorders>
              <w:top w:val="single" w:sz="6" w:space="0" w:color="000000"/>
              <w:left w:val="single" w:sz="6" w:space="0" w:color="000000"/>
              <w:bottom w:val="single" w:sz="6" w:space="0" w:color="000000"/>
              <w:right w:val="nil"/>
              <w:tl2br w:val="nil"/>
              <w:tr2bl w:val="nil"/>
            </w:tcBorders>
            <w:noWrap/>
            <w:vAlign w:val="center"/>
          </w:tcPr>
          <w:p>
            <w:pPr>
              <w:rPr>
                <w:rFonts w:ascii="宋体" w:eastAsia="宋体" w:cs="宋体"/>
                <w:sz w:val="18"/>
              </w:rPr>
            </w:pPr>
            <w:r>
              <w:rPr>
                <w:rFonts w:ascii="宋体" w:eastAsia="宋体" w:cs="宋体"/>
                <w:sz w:val="18"/>
              </w:rPr>
              <w:t>中心工作人员对设备使用的满意度</w:t>
            </w:r>
          </w:p>
        </w:tc>
        <w:tc>
          <w:tcPr>
            <w:tcW w:w="944"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≥95%</w:t>
            </w:r>
          </w:p>
        </w:tc>
        <w:tc>
          <w:tcPr>
            <w:tcW w:w="918"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100.00%</w:t>
            </w:r>
          </w:p>
        </w:tc>
        <w:tc>
          <w:tcPr>
            <w:tcW w:w="111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w:t>
            </w:r>
          </w:p>
        </w:tc>
        <w:tc>
          <w:tcPr>
            <w:tcW w:w="703" w:type="dxa"/>
            <w:gridSpan w:val="2"/>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cs="宋体"/>
                <w:sz w:val="18"/>
              </w:rPr>
            </w:pPr>
            <w:r>
              <w:rPr>
                <w:rFonts w:ascii="宋体" w:eastAsia="宋体" w:cs="宋体"/>
                <w:sz w:val="18"/>
              </w:rPr>
              <w:t>10.0</w:t>
            </w:r>
          </w:p>
        </w:tc>
        <w:tc>
          <w:tcPr>
            <w:tcW w:w="1249" w:type="dxa"/>
            <w:gridSpan w:val="3"/>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宋体"/>
                <w:sz w:val="18"/>
              </w:rPr>
            </w:pPr>
          </w:p>
        </w:tc>
      </w:tr>
      <w:tr>
        <w:trPr>
          <w:trHeight w:val="434"/>
        </w:trPr>
        <w:tc>
          <w:tcPr>
            <w:tcW w:w="5852" w:type="dxa"/>
            <w:gridSpan w:val="17"/>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总分</w:t>
            </w:r>
          </w:p>
        </w:tc>
        <w:tc>
          <w:tcPr>
            <w:tcW w:w="1116"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100</w:t>
            </w:r>
          </w:p>
        </w:tc>
        <w:tc>
          <w:tcPr>
            <w:tcW w:w="703"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r>
              <w:rPr>
                <w:rFonts w:ascii="宋体" w:eastAsia="宋体" w:cs="宋体"/>
                <w:sz w:val="18"/>
              </w:rPr>
              <w:t>77.0</w:t>
            </w:r>
          </w:p>
        </w:tc>
        <w:tc>
          <w:tcPr>
            <w:tcW w:w="1249" w:type="dxa"/>
            <w:gridSpan w:val="3"/>
            <w:tcBorders>
              <w:top w:val="nil"/>
              <w:left w:val="single" w:sz="6" w:space="0" w:color="000000"/>
              <w:bottom w:val="single" w:sz="6" w:space="0" w:color="000000"/>
              <w:right w:val="single" w:sz="6" w:space="0" w:color="000000"/>
              <w:tl2br w:val="nil"/>
              <w:tr2bl w:val="nil"/>
            </w:tcBorders>
            <w:noWrap/>
            <w:vAlign w:val="center"/>
          </w:tcPr>
          <w:p>
            <w:pPr>
              <w:jc w:val="center"/>
              <w:rPr>
                <w:rFonts w:ascii="宋体" w:eastAsia="宋体" w:cs="宋体"/>
                <w:sz w:val="18"/>
              </w:rPr>
            </w:pPr>
          </w:p>
        </w:tc>
      </w:tr>
    </w:tbl>
    <w:p>
      <w:pPr>
        <w:pStyle w:val="62"/>
        <w:tabs>
          <w:tab w:val="left" w:pos="5978"/>
        </w:tabs>
        <w:spacing w:before="901"/>
        <w:jc w:val="both"/>
        <w:rPr>
          <w:rFonts w:ascii="黑体" w:eastAsia="黑体" w:cs="黑体"/>
          <w:sz w:val="30"/>
          <w:szCs w:val="30"/>
        </w:rPr>
      </w:pPr>
    </w:p>
    <w:p>
      <w:pPr>
        <w:pStyle w:val="62"/>
        <w:tabs>
          <w:tab w:val="left" w:pos="5978"/>
        </w:tabs>
        <w:spacing w:before="901"/>
        <w:jc w:val="center"/>
        <w:rPr>
          <w:rFonts w:ascii="黑体" w:eastAsia="黑体" w:cs="黑体"/>
          <w:sz w:val="72"/>
          <w:szCs w:val="72"/>
          <w:lang w:bidi="ar-SA"/>
        </w:rPr>
      </w:pPr>
    </w:p>
    <w:p>
      <w:pPr>
        <w:pStyle w:val="62"/>
        <w:tabs>
          <w:tab w:val="left" w:pos="5978"/>
        </w:tabs>
        <w:spacing w:before="901"/>
        <w:ind w:firstLineChars="150" w:firstLine="1080"/>
        <w:jc w:val="both"/>
        <w:rPr>
          <w:rFonts w:ascii="黑体" w:eastAsia="黑体" w:cs="黑体"/>
          <w:sz w:val="72"/>
          <w:szCs w:val="72"/>
          <w:lang w:bidi="ar-SA"/>
        </w:rPr>
      </w:pPr>
      <w:r>
        <w:rPr>
          <w:rFonts w:ascii="黑体" w:eastAsia="黑体" w:cs="黑体" w:hint="eastAsia"/>
          <w:sz w:val="72"/>
          <w:szCs w:val="72"/>
          <w:lang w:bidi="ar-SA"/>
        </w:rPr>
        <w:t>第四部分  名词解释</w:t>
      </w:r>
    </w:p>
    <w:p>
      <w:pPr>
        <w:pStyle w:val="62"/>
        <w:tabs>
          <w:tab w:val="left" w:pos="5978"/>
        </w:tabs>
        <w:spacing w:before="901"/>
        <w:jc w:val="both"/>
        <w:rPr>
          <w:rFonts w:ascii="黑体" w:eastAsia="黑体" w:cs="黑体"/>
          <w:sz w:val="72"/>
          <w:szCs w:val="72"/>
          <w:lang w:bidi="ar-SA"/>
        </w:rPr>
      </w:pPr>
    </w:p>
    <w:p>
      <w:pPr>
        <w:pStyle w:val="62"/>
        <w:tabs>
          <w:tab w:val="left" w:pos="5978"/>
        </w:tabs>
        <w:spacing w:before="901"/>
        <w:jc w:val="both"/>
        <w:rPr>
          <w:rFonts w:ascii="黑体" w:eastAsia="黑体" w:cs="黑体"/>
          <w:sz w:val="72"/>
          <w:szCs w:val="72"/>
          <w:lang w:bidi="ar-SA"/>
        </w:rPr>
      </w:pPr>
    </w:p>
    <w:p>
      <w:pPr>
        <w:pStyle w:val="62"/>
        <w:tabs>
          <w:tab w:val="left" w:pos="5978"/>
        </w:tabs>
        <w:spacing w:before="901"/>
        <w:jc w:val="both"/>
        <w:rPr>
          <w:rFonts w:ascii="黑体" w:eastAsia="黑体" w:cs="黑体" w:hint="eastAsia"/>
          <w:sz w:val="72"/>
          <w:szCs w:val="72"/>
          <w:lang w:bidi="ar-SA"/>
        </w:rPr>
        <w:sectPr>
          <w:pgSz w:w="11907" w:h="16840"/>
          <w:pgMar w:top="1440" w:right="1797" w:bottom="1440" w:left="1797" w:header="0" w:footer="975" w:gutter="0"/>
          <w:pgNumType/>
          <w:docGrid w:linePitch="312" w:charSpace="2048"/>
        </w:sectPr>
      </w:pP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一、一般公共预算财政拨款收入：</w:t>
      </w:r>
      <w:r>
        <w:rPr>
          <w:rFonts w:ascii="Times New Roman" w:eastAsia="方正仿宋_GBK" w:cs="Times New Roman" w:hAnsi="Times New Roman"/>
          <w:sz w:val="32"/>
          <w:szCs w:val="32"/>
          <w:lang w:val="en-US" w:eastAsia="en-US" w:bidi="ar-SA"/>
        </w:rPr>
        <w:t>指中央财政当年拨付的资金。</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二、事业收入：</w:t>
      </w:r>
      <w:r>
        <w:rPr>
          <w:rFonts w:ascii="Times New Roman" w:eastAsia="方正仿宋_GBK" w:cs="Times New Roman" w:hAnsi="Times New Roman"/>
          <w:sz w:val="32"/>
          <w:szCs w:val="32"/>
          <w:lang w:val="en-US" w:eastAsia="en-US" w:bidi="ar-SA"/>
        </w:rPr>
        <w:t>指事业单位开展专业业务活动及辅助活动所取得的收入。</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三、经营收入：</w:t>
      </w:r>
      <w:r>
        <w:rPr>
          <w:rFonts w:ascii="Times New Roman" w:eastAsia="方正仿宋_GBK" w:cs="Times New Roman" w:hAnsi="Times New Roman"/>
          <w:sz w:val="32"/>
          <w:szCs w:val="32"/>
          <w:lang w:val="en-US" w:eastAsia="en-US" w:bidi="ar-SA"/>
        </w:rPr>
        <w:t>指事业单位在专业业务活动及其辅助活动之外开展非独立核算经营活动取得的收入。</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四、其他收入：</w:t>
      </w:r>
      <w:r>
        <w:rPr>
          <w:rFonts w:ascii="Times New Roman" w:eastAsia="方正仿宋_GBK" w:cs="Times New Roman" w:hAnsi="Times New Roman"/>
          <w:sz w:val="32"/>
          <w:szCs w:val="32"/>
          <w:lang w:val="en-US" w:eastAsia="en-US" w:bidi="ar-SA"/>
        </w:rPr>
        <w:t>指除上述一般公共预算财政拨款收入、事业收入、事业单位经营收入等以外的收入。主要是非同级财政拨款收入、存款利息收入等。</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五、使用非财政拨款结余：</w:t>
      </w:r>
      <w:r>
        <w:rPr>
          <w:rFonts w:ascii="Times New Roman" w:eastAsia="方正仿宋_GBK" w:cs="Times New Roman" w:hAnsi="Times New Roman"/>
          <w:sz w:val="32"/>
          <w:szCs w:val="32"/>
          <w:lang w:val="en-US" w:eastAsia="en-US" w:bidi="ar-SA"/>
        </w:rPr>
        <w:t>指事业单位使用以前年度积累的非财政拨款结余弥补当年收支差额的金额。</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六、年初结转和结余：</w:t>
      </w:r>
      <w:r>
        <w:rPr>
          <w:rFonts w:ascii="Times New Roman" w:eastAsia="方正仿宋_GBK" w:cs="Times New Roman" w:hAnsi="Times New Roman"/>
          <w:bCs/>
          <w:sz w:val="32"/>
          <w:szCs w:val="32"/>
          <w:lang w:val="en-US" w:eastAsia="en-US" w:bidi="ar-SA"/>
        </w:rPr>
        <w:t>指单位以前年度尚未完成</w:t>
      </w:r>
      <w:r>
        <w:rPr>
          <w:rFonts w:ascii="Times New Roman" w:eastAsia="方正仿宋_GBK" w:cs="Times New Roman" w:hAnsi="Times New Roman"/>
          <w:sz w:val="32"/>
          <w:szCs w:val="32"/>
          <w:lang w:val="en-US" w:eastAsia="en-US" w:bidi="ar-SA"/>
        </w:rPr>
        <w:t>、结转到本年仍按原规定用途继续使用的资金，或项目已完成等产生的结余资金。</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七、一般公共服务（类）海关事务（款）：</w:t>
      </w:r>
      <w:r>
        <w:rPr>
          <w:rFonts w:ascii="Times New Roman" w:eastAsia="方正仿宋_GBK" w:cs="Times New Roman" w:hAnsi="Times New Roman"/>
          <w:sz w:val="32"/>
          <w:szCs w:val="32"/>
          <w:lang w:val="en-US" w:eastAsia="en-US" w:bidi="ar-SA"/>
        </w:rPr>
        <w:t>反映海关用于系统行政和事业单位的基本支出及完成专项业务工作的项目支出。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行政运行（项）：</w:t>
      </w:r>
      <w:r>
        <w:rPr>
          <w:rFonts w:ascii="Times New Roman" w:eastAsia="方正仿宋_GBK" w:cs="Times New Roman" w:hAnsi="Times New Roman"/>
          <w:sz w:val="32"/>
          <w:szCs w:val="32"/>
          <w:lang w:val="en-US" w:eastAsia="en-US" w:bidi="ar-SA"/>
        </w:rPr>
        <w:t>反映行政单位（包括参照公务员管理的事业单位）的基本支出。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一般行政管理事务（项）：</w:t>
      </w:r>
      <w:r>
        <w:rPr>
          <w:rFonts w:ascii="Times New Roman" w:eastAsia="方正仿宋_GBK" w:cs="Times New Roman" w:hAnsi="Times New Roman"/>
          <w:sz w:val="32"/>
          <w:szCs w:val="32"/>
          <w:lang w:val="en-US" w:eastAsia="en-US" w:bidi="ar-SA"/>
        </w:rPr>
        <w:t>反映行政单位（包括参照公务员管理的事业单位）未单独设置项级科目的其他项目支出。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机关服务（项）：</w:t>
      </w:r>
      <w:r>
        <w:rPr>
          <w:rFonts w:ascii="Times New Roman" w:eastAsia="方正仿宋_GBK" w:cs="Times New Roman" w:hAnsi="Times New Roman"/>
          <w:sz w:val="32"/>
          <w:szCs w:val="32"/>
          <w:lang w:val="en-US" w:eastAsia="en-US" w:bidi="ar-SA"/>
        </w:rPr>
        <w:t>反映海关系统为行政单位（包括参照公务员管理的事业单位）提供后勤服务的各类后勤服务中心等附属事业单位的支出。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缉私办案（项）：</w:t>
      </w:r>
      <w:r>
        <w:rPr>
          <w:rFonts w:ascii="Times New Roman" w:eastAsia="方正仿宋_GBK" w:cs="Times New Roman" w:hAnsi="Times New Roman"/>
          <w:sz w:val="32"/>
          <w:szCs w:val="32"/>
          <w:lang w:val="en-US" w:eastAsia="en-US" w:bidi="ar-SA"/>
        </w:rPr>
        <w:t>反映海关用于缉私办案方面的支出。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口岸管理（项）：</w:t>
      </w:r>
      <w:r>
        <w:rPr>
          <w:rFonts w:ascii="Times New Roman" w:eastAsia="方正仿宋_GBK" w:cs="Times New Roman" w:hAnsi="Times New Roman"/>
          <w:sz w:val="32"/>
          <w:szCs w:val="32"/>
          <w:lang w:val="en-US" w:eastAsia="en-US" w:bidi="ar-SA"/>
        </w:rPr>
        <w:t>反映口岸业务管理及电子口岸建设、运行维护方面的支出。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信息化建设（项）：</w:t>
      </w:r>
      <w:r>
        <w:rPr>
          <w:rFonts w:ascii="Times New Roman" w:eastAsia="方正仿宋_GBK" w:cs="Times New Roman" w:hAnsi="Times New Roman"/>
          <w:sz w:val="32"/>
          <w:szCs w:val="32"/>
          <w:lang w:val="en-US" w:eastAsia="en-US" w:bidi="ar-SA"/>
        </w:rPr>
        <w:t>反映海关系统用于信息化建设及运行维护方面的支出。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海关关务（项）：</w:t>
      </w:r>
      <w:r>
        <w:rPr>
          <w:rFonts w:ascii="Times New Roman" w:eastAsia="方正仿宋_GBK" w:cs="Times New Roman" w:hAnsi="Times New Roman"/>
          <w:sz w:val="32"/>
          <w:szCs w:val="32"/>
          <w:lang w:val="en-US" w:eastAsia="en-US" w:bidi="ar-SA"/>
        </w:rPr>
        <w:t>反映海关行政执法提供业务保障、支持能力以及基础设施建设、设备设施运维等方面的支出。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关税征管（项）：</w:t>
      </w:r>
      <w:r>
        <w:rPr>
          <w:rFonts w:ascii="Times New Roman" w:eastAsia="方正仿宋_GBK" w:cs="Times New Roman" w:hAnsi="Times New Roman"/>
          <w:sz w:val="32"/>
          <w:szCs w:val="32"/>
          <w:lang w:val="en-US" w:eastAsia="en-US" w:bidi="ar-SA"/>
        </w:rPr>
        <w:t>反映海关用于关税及其他税费征管方面的支出。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海关监管（项）：</w:t>
      </w:r>
      <w:r>
        <w:rPr>
          <w:rFonts w:ascii="Times New Roman" w:eastAsia="方正仿宋_GBK" w:cs="Times New Roman" w:hAnsi="Times New Roman"/>
          <w:sz w:val="32"/>
          <w:szCs w:val="32"/>
          <w:lang w:val="en-US" w:eastAsia="en-US" w:bidi="ar-SA"/>
        </w:rPr>
        <w:t>反映海关用于监管执法、业务管理及相关技术支持方面的支出。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检验检疫（项）：</w:t>
      </w:r>
      <w:r>
        <w:rPr>
          <w:rFonts w:ascii="Times New Roman" w:eastAsia="方正仿宋_GBK" w:cs="Times New Roman" w:hAnsi="Times New Roman"/>
          <w:sz w:val="32"/>
          <w:szCs w:val="32"/>
          <w:lang w:val="en-US" w:eastAsia="en-US" w:bidi="ar-SA"/>
        </w:rPr>
        <w:t>反映海关用于出入境检验检疫行政执法、业务管理及相关技术支持方面的支出。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事业运行（项）：</w:t>
      </w:r>
      <w:r>
        <w:rPr>
          <w:rFonts w:ascii="Times New Roman" w:eastAsia="方正仿宋_GBK" w:cs="Times New Roman" w:hAnsi="Times New Roman"/>
          <w:sz w:val="32"/>
          <w:szCs w:val="32"/>
          <w:lang w:val="en-US" w:eastAsia="en-US" w:bidi="ar-SA"/>
        </w:rPr>
        <w:t>反映海关事业单位的基本支出，不包括行政单位（包括参照公务员管理的事业单位）后勤服务中心等附属事业单位。</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其他海关事务支出（项）</w:t>
      </w:r>
      <w:r>
        <w:rPr>
          <w:rFonts w:ascii="Times New Roman" w:eastAsia="方正仿宋_GBK" w:cs="Times New Roman" w:hAnsi="Times New Roman"/>
          <w:sz w:val="32"/>
          <w:szCs w:val="32"/>
          <w:lang w:val="en-US" w:eastAsia="en-US" w:bidi="ar-SA"/>
        </w:rPr>
        <w:t>反映除上述项目以外其他海关事务方面的支出。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八、一般公共服务（类）纪检监察事务（款）派驻派出机构（项）：</w:t>
      </w:r>
      <w:r>
        <w:rPr>
          <w:rFonts w:ascii="Times New Roman" w:eastAsia="方正仿宋_GBK" w:cs="Times New Roman" w:hAnsi="Times New Roman"/>
          <w:sz w:val="32"/>
          <w:szCs w:val="32"/>
          <w:lang w:val="en-US" w:eastAsia="en-US" w:bidi="ar-SA"/>
        </w:rPr>
        <w:t>反映由纪检监察部门负担的派驻各部门和单位的纪检监察人员的专项业务支出。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九、外交支出（类）对外援助（款）对外援助（项）：</w:t>
      </w:r>
      <w:r>
        <w:rPr>
          <w:rFonts w:ascii="Times New Roman" w:eastAsia="方正仿宋_GBK" w:cs="Times New Roman" w:hAnsi="Times New Roman"/>
          <w:sz w:val="32"/>
          <w:szCs w:val="32"/>
          <w:lang w:val="en-US" w:eastAsia="en-US" w:bidi="ar-SA"/>
        </w:rPr>
        <w:t>反映海关对外国政府（地区）提供的各种援助和技术合作支出。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十、外交支出（类）国际组织（款）国际组织会费（项）：</w:t>
      </w:r>
      <w:r>
        <w:rPr>
          <w:rFonts w:ascii="Times New Roman" w:eastAsia="方正仿宋_GBK" w:cs="Times New Roman" w:hAnsi="Times New Roman"/>
          <w:sz w:val="32"/>
          <w:szCs w:val="32"/>
          <w:lang w:val="en-US" w:eastAsia="en-US" w:bidi="ar-SA"/>
        </w:rPr>
        <w:t>反映海关经批准参加国际组织，按国际组织规定缴纳的会费。</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十一、外交支出（类）国际组织（款）国际组织捐赠（项）：</w:t>
      </w:r>
      <w:r>
        <w:rPr>
          <w:rFonts w:ascii="Times New Roman" w:eastAsia="方正仿宋_GBK" w:cs="Times New Roman" w:hAnsi="Times New Roman"/>
          <w:sz w:val="32"/>
          <w:szCs w:val="32"/>
          <w:lang w:val="en-US" w:eastAsia="en-US" w:bidi="ar-SA"/>
        </w:rPr>
        <w:t>反映以我国政府（包括国务院主管部门），向国际组织的认捐、救灾、馈赠等支出。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十二、外交支出（类）其他外交支出（款）其他外交支出（项）：</w:t>
      </w:r>
      <w:r>
        <w:rPr>
          <w:rFonts w:ascii="Times New Roman" w:eastAsia="方正仿宋_GBK" w:cs="Times New Roman" w:hAnsi="Times New Roman"/>
          <w:sz w:val="32"/>
          <w:szCs w:val="32"/>
          <w:lang w:val="en-US" w:eastAsia="en-US" w:bidi="ar-SA"/>
        </w:rPr>
        <w:t>反映除上述项目以外其他用于外交方面的支出。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十三、公共安全支出（类）缉私警察（款）：</w:t>
      </w:r>
      <w:r>
        <w:rPr>
          <w:rFonts w:ascii="Times New Roman" w:eastAsia="方正仿宋_GBK" w:cs="Times New Roman" w:hAnsi="Times New Roman"/>
          <w:sz w:val="32"/>
          <w:szCs w:val="32"/>
          <w:lang w:val="en-US" w:eastAsia="en-US" w:bidi="ar-SA"/>
        </w:rPr>
        <w:t>反映海关缉私警察的支出。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行政运行（项）：</w:t>
      </w:r>
      <w:r>
        <w:rPr>
          <w:rFonts w:ascii="Times New Roman" w:eastAsia="方正仿宋_GBK" w:cs="Times New Roman" w:hAnsi="Times New Roman"/>
          <w:sz w:val="32"/>
          <w:szCs w:val="32"/>
          <w:lang w:val="en-US" w:eastAsia="en-US" w:bidi="ar-SA"/>
        </w:rPr>
        <w:t>反映行政单位（包括参照公务员管理的事业单位）的基本支出。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一般行政管理事务（项）：</w:t>
      </w:r>
      <w:r>
        <w:rPr>
          <w:rFonts w:ascii="Times New Roman" w:eastAsia="方正仿宋_GBK" w:cs="Times New Roman" w:hAnsi="Times New Roman"/>
          <w:sz w:val="32"/>
          <w:szCs w:val="32"/>
          <w:lang w:val="en-US" w:eastAsia="en-US" w:bidi="ar-SA"/>
        </w:rPr>
        <w:t>反映行政单位（包括参照公务员管理的事业单位）未单独设置项级科目的其他项目支出。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信息化建设（项）：</w:t>
      </w:r>
      <w:r>
        <w:rPr>
          <w:rFonts w:ascii="Times New Roman" w:eastAsia="方正仿宋_GBK" w:cs="Times New Roman" w:hAnsi="Times New Roman"/>
          <w:sz w:val="32"/>
          <w:szCs w:val="32"/>
          <w:lang w:val="en-US" w:eastAsia="en-US" w:bidi="ar-SA"/>
        </w:rPr>
        <w:t>反映缉私警察于信息化建设和运行维护方面的支出。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缉私业务（项）：</w:t>
      </w:r>
      <w:r>
        <w:rPr>
          <w:rFonts w:ascii="Times New Roman" w:eastAsia="方正仿宋_GBK" w:cs="Times New Roman" w:hAnsi="Times New Roman"/>
          <w:sz w:val="32"/>
          <w:szCs w:val="32"/>
          <w:lang w:val="en-US" w:eastAsia="en-US" w:bidi="ar-SA"/>
        </w:rPr>
        <w:t>反映缉私警察开展执法工作，打击走私犯罪活动的支出。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其他缉私警察支出（项）：</w:t>
      </w:r>
      <w:r>
        <w:rPr>
          <w:rFonts w:ascii="Times New Roman" w:eastAsia="方正仿宋_GBK" w:cs="Times New Roman" w:hAnsi="Times New Roman"/>
          <w:sz w:val="32"/>
          <w:szCs w:val="32"/>
          <w:lang w:val="en-US" w:eastAsia="en-US" w:bidi="ar-SA"/>
        </w:rPr>
        <w:t>反映除上述项目以外其他缉私警察方面的支出。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十四、教育支出（类）普通教育（款）高等教育（项）：</w:t>
      </w:r>
      <w:r>
        <w:rPr>
          <w:rFonts w:ascii="Times New Roman" w:eastAsia="方正仿宋_GBK" w:cs="Times New Roman" w:hAnsi="Times New Roman"/>
          <w:sz w:val="32"/>
          <w:szCs w:val="32"/>
          <w:lang w:val="en-US" w:eastAsia="en-US" w:bidi="ar-SA"/>
        </w:rPr>
        <w:t>反映各部门举办的普通本科（包括研究生）教育支出。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十五、社会保障和就业支出（类）人力资源和社会保障管理事务（款）政府特殊津贴（项）：</w:t>
      </w:r>
      <w:r>
        <w:rPr>
          <w:rFonts w:ascii="Times New Roman" w:eastAsia="方正仿宋_GBK" w:cs="Times New Roman" w:hAnsi="Times New Roman"/>
          <w:sz w:val="32"/>
          <w:szCs w:val="32"/>
          <w:lang w:val="en-US" w:eastAsia="en-US" w:bidi="ar-SA"/>
        </w:rPr>
        <w:t>反映海关与政府特殊津贴相关的支出。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十六、社会保障和就业支出（类）行政事业单位养老支出（款）：</w:t>
      </w:r>
      <w:r>
        <w:rPr>
          <w:rFonts w:ascii="Times New Roman" w:eastAsia="方正仿宋_GBK" w:cs="Times New Roman" w:hAnsi="Times New Roman"/>
          <w:sz w:val="32"/>
          <w:szCs w:val="32"/>
          <w:lang w:val="en-US" w:eastAsia="en-US" w:bidi="ar-SA"/>
        </w:rPr>
        <w:t>反映用于海关行政事业单位离退休方面的支出。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行政单位离退休（项）：</w:t>
      </w:r>
      <w:r>
        <w:rPr>
          <w:rFonts w:ascii="Times New Roman" w:eastAsia="方正仿宋_GBK" w:cs="Times New Roman" w:hAnsi="Times New Roman"/>
          <w:sz w:val="32"/>
          <w:szCs w:val="32"/>
          <w:lang w:val="en-US" w:eastAsia="en-US" w:bidi="ar-SA"/>
        </w:rPr>
        <w:t>反映海关系统行政单位（包括参照公务员管理的事业单位）开支的离退休支出。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事业单位离退休（项）：</w:t>
      </w:r>
      <w:r>
        <w:rPr>
          <w:rFonts w:ascii="Times New Roman" w:eastAsia="方正仿宋_GBK" w:cs="Times New Roman" w:hAnsi="Times New Roman"/>
          <w:sz w:val="32"/>
          <w:szCs w:val="32"/>
          <w:lang w:val="en-US" w:eastAsia="en-US" w:bidi="ar-SA"/>
        </w:rPr>
        <w:t>反映海关系统事业单位开支的离退休经费。</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离退休人员管理机构（项）：</w:t>
      </w:r>
      <w:r>
        <w:rPr>
          <w:rFonts w:ascii="Times New Roman" w:eastAsia="方正仿宋_GBK" w:cs="Times New Roman" w:hAnsi="Times New Roman"/>
          <w:sz w:val="32"/>
          <w:szCs w:val="32"/>
          <w:lang w:val="en-US" w:eastAsia="en-US" w:bidi="ar-SA"/>
        </w:rPr>
        <w:t>反映海关系统为离退休人员提供管理服务的离退休管理机构的支出。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机关事业单位基本养老保险缴费支出（项）：</w:t>
      </w:r>
      <w:r>
        <w:rPr>
          <w:rFonts w:ascii="Times New Roman" w:eastAsia="方正仿宋_GBK" w:cs="Times New Roman" w:hAnsi="Times New Roman"/>
          <w:sz w:val="32"/>
          <w:szCs w:val="32"/>
          <w:lang w:val="en-US" w:eastAsia="en-US" w:bidi="ar-SA"/>
        </w:rPr>
        <w:t>反映机关事业单位实施养老保险制度由单位缴纳的基本养老保险费支出。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机关事业单位职业年金缴费支出（项）：</w:t>
      </w:r>
      <w:r>
        <w:rPr>
          <w:rFonts w:ascii="Times New Roman" w:eastAsia="方正仿宋_GBK" w:cs="Times New Roman" w:hAnsi="Times New Roman"/>
          <w:sz w:val="32"/>
          <w:szCs w:val="32"/>
          <w:lang w:val="en-US" w:eastAsia="en-US" w:bidi="ar-SA"/>
        </w:rPr>
        <w:t>反映机关事业单位实施养老保险制度由单位实际缴纳的职业年金支出。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十七、卫生健康支出（类）行政事业单位医疗（款）：</w:t>
      </w:r>
      <w:r>
        <w:rPr>
          <w:rFonts w:ascii="Times New Roman" w:eastAsia="方正仿宋_GBK" w:cs="Times New Roman" w:hAnsi="Times New Roman"/>
          <w:sz w:val="32"/>
          <w:szCs w:val="32"/>
          <w:lang w:val="en-US" w:eastAsia="en-US" w:bidi="ar-SA"/>
        </w:rPr>
        <w:t>反映行政事业单位医疗方面的支出。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行政单位医疗（项）：</w:t>
      </w:r>
      <w:r>
        <w:rPr>
          <w:rFonts w:ascii="Times New Roman" w:eastAsia="方正仿宋_GBK" w:cs="Times New Roman" w:hAnsi="Times New Roman"/>
          <w:sz w:val="32"/>
          <w:szCs w:val="32"/>
          <w:lang w:val="en-US" w:eastAsia="en-US" w:bidi="ar-SA"/>
        </w:rPr>
        <w:t>反映财政部门安排的行政单位（包括参照公务员管理的事业单位）基本医疗保险缴费经费，未参加医疗保险的行政单位的公费医疗经费，按国家规定享受离休人员、红军老战士待遇人员的医疗经费。</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事业单位医疗（项）：</w:t>
      </w:r>
      <w:r>
        <w:rPr>
          <w:rFonts w:ascii="Times New Roman" w:eastAsia="方正仿宋_GBK" w:cs="Times New Roman" w:hAnsi="Times New Roman"/>
          <w:sz w:val="32"/>
          <w:szCs w:val="32"/>
          <w:lang w:val="en-US" w:eastAsia="en-US" w:bidi="ar-SA"/>
        </w:rPr>
        <w:t>反映财政部门安排的事业单位基本医疗保险缴费经费，未参加医疗保险的事业单位的公费医疗经费，按国家规定享受离休人员待遇的医疗经费。</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公务员医疗补助（项）：</w:t>
      </w:r>
      <w:r>
        <w:rPr>
          <w:rFonts w:ascii="Times New Roman" w:eastAsia="方正仿宋_GBK" w:cs="Times New Roman" w:hAnsi="Times New Roman"/>
          <w:sz w:val="32"/>
          <w:szCs w:val="32"/>
          <w:lang w:val="en-US" w:eastAsia="en-US" w:bidi="ar-SA"/>
        </w:rPr>
        <w:t>反映财政部门安排的公务员医疗补助经费。</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十八、住房保障支出（类）住房改革支出（款）：</w:t>
      </w:r>
      <w:r>
        <w:rPr>
          <w:rFonts w:ascii="Times New Roman" w:eastAsia="方正仿宋_GBK" w:cs="Times New Roman" w:hAnsi="Times New Roman"/>
          <w:sz w:val="32"/>
          <w:szCs w:val="32"/>
          <w:lang w:val="en-US" w:eastAsia="en-US" w:bidi="ar-SA"/>
        </w:rPr>
        <w:t>反映行政事业单位用财政拨款资金和其他资金等安排的住房改革支出。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住房公积金（项）：</w:t>
      </w:r>
      <w:r>
        <w:rPr>
          <w:rFonts w:ascii="Times New Roman" w:eastAsia="方正仿宋_GBK" w:cs="Times New Roman" w:hAnsi="Times New Roman"/>
          <w:sz w:val="32"/>
          <w:szCs w:val="32"/>
          <w:lang w:val="en-US" w:eastAsia="en-US" w:bidi="ar-SA"/>
        </w:rPr>
        <w:t>反映行政事业单位按人力资源和社会保障部、财政部规定的基本工资和津贴补贴以及规定比例为职工缴纳的住房公积金。</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提租补贴（项）：</w:t>
      </w:r>
      <w:r>
        <w:rPr>
          <w:rFonts w:ascii="Times New Roman" w:eastAsia="方正仿宋_GBK" w:cs="Times New Roman" w:hAnsi="Times New Roman"/>
          <w:sz w:val="32"/>
          <w:szCs w:val="32"/>
          <w:lang w:val="en-US" w:eastAsia="en-US" w:bidi="ar-SA"/>
        </w:rPr>
        <w:t>反映按房改政策规定的标准，行政事业单位向职工（含离退休人员）发放的租金补贴。</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购房补贴（项）：</w:t>
      </w:r>
      <w:r>
        <w:rPr>
          <w:rFonts w:ascii="Times New Roman" w:eastAsia="方正仿宋_GBK" w:cs="Times New Roman" w:hAnsi="Times New Roman"/>
          <w:sz w:val="32"/>
          <w:szCs w:val="32"/>
          <w:lang w:val="en-US" w:eastAsia="en-US" w:bidi="ar-SA"/>
        </w:rPr>
        <w:t>反映按房改政策规定，行政事业单位向符合条件的职工（含离退休人员）发放的用于购买住房的补贴。</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十九、结余分配：</w:t>
      </w:r>
      <w:r>
        <w:rPr>
          <w:rFonts w:ascii="Times New Roman" w:eastAsia="方正仿宋_GBK" w:cs="Times New Roman" w:hAnsi="Times New Roman"/>
          <w:sz w:val="32"/>
          <w:szCs w:val="32"/>
          <w:lang w:val="en-US" w:eastAsia="en-US" w:bidi="ar-SA"/>
        </w:rPr>
        <w:t>指事业单位按照政府会计制度的规定缴纳的所得税、提取的专用结余以及转入非财政拨款结余的金额等。</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二十、年末结转和结余：</w:t>
      </w:r>
      <w:r>
        <w:rPr>
          <w:rFonts w:ascii="Times New Roman" w:eastAsia="方正仿宋_GBK" w:cs="Times New Roman" w:hAnsi="Times New Roman"/>
          <w:sz w:val="32"/>
          <w:szCs w:val="32"/>
          <w:lang w:val="en-US" w:eastAsia="en-US" w:bidi="ar-SA"/>
        </w:rPr>
        <w:t>指单位按有关规定结转到下年或以后年度继续使用的资金，或项目已完成等产生的结余资金。</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二十一、基本支出：</w:t>
      </w:r>
      <w:r>
        <w:rPr>
          <w:rFonts w:ascii="Times New Roman" w:eastAsia="方正仿宋_GBK" w:cs="Times New Roman" w:hAnsi="Times New Roman"/>
          <w:sz w:val="32"/>
          <w:szCs w:val="32"/>
          <w:lang w:val="en-US" w:eastAsia="en-US" w:bidi="ar-SA"/>
        </w:rPr>
        <w:t>指为保障机构正常运转、完成日常工作任务而发生的人员支出和公用支出。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二十二、项目支出：</w:t>
      </w:r>
      <w:r>
        <w:rPr>
          <w:rFonts w:ascii="Times New Roman" w:eastAsia="方正仿宋_GBK" w:cs="Times New Roman" w:hAnsi="Times New Roman"/>
          <w:sz w:val="32"/>
          <w:szCs w:val="32"/>
          <w:lang w:val="en-US" w:eastAsia="en-US" w:bidi="ar-SA"/>
        </w:rPr>
        <w:t>指在基本支出之外为完成特定行政任务或事业发展目标所发生的支出。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二十三、经营支出：</w:t>
      </w:r>
      <w:r>
        <w:rPr>
          <w:rFonts w:ascii="Times New Roman" w:eastAsia="方正仿宋_GBK" w:cs="Times New Roman" w:hAnsi="Times New Roman"/>
          <w:sz w:val="32"/>
          <w:szCs w:val="32"/>
          <w:lang w:val="en-US" w:eastAsia="en-US" w:bidi="ar-SA"/>
        </w:rPr>
        <w:t>指事业单位在专业业务活动及其辅助活动之外开展非独立核算经营活动发生的支出。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pPr>
      <w:r>
        <w:rPr>
          <w:rFonts w:ascii="Times New Roman" w:eastAsia="方正仿宋_GBK" w:cs="Times New Roman" w:hAnsi="Times New Roman"/>
          <w:b/>
          <w:bCs/>
          <w:sz w:val="32"/>
          <w:szCs w:val="32"/>
          <w:lang w:val="en-US" w:eastAsia="en-US" w:bidi="ar-SA"/>
        </w:rPr>
        <w:t>二十四、</w:t>
      </w:r>
      <w:r>
        <w:rPr>
          <w:rFonts w:ascii="Times New Roman" w:eastAsia="方正仿宋_GBK" w:cs="Times New Roman" w:hAnsi="Times New Roman" w:hint="eastAsia"/>
          <w:b/>
          <w:bCs/>
          <w:sz w:val="32"/>
          <w:szCs w:val="32"/>
          <w:lang w:val="en-US" w:eastAsia="en-US" w:bidi="ar-SA"/>
        </w:rPr>
        <w:t>“</w:t>
      </w:r>
      <w:r>
        <w:rPr>
          <w:rFonts w:ascii="Times New Roman" w:eastAsia="方正仿宋_GBK" w:cs="Times New Roman" w:hAnsi="Times New Roman"/>
          <w:b/>
          <w:bCs/>
          <w:sz w:val="32"/>
          <w:szCs w:val="32"/>
          <w:lang w:val="en-US" w:eastAsia="en-US" w:bidi="ar-SA"/>
        </w:rPr>
        <w:t>三公经费</w:t>
      </w:r>
      <w:r>
        <w:rPr>
          <w:rFonts w:ascii="Times New Roman" w:eastAsia="方正仿宋_GBK" w:cs="Times New Roman" w:hAnsi="Times New Roman" w:hint="eastAsia"/>
          <w:b/>
          <w:bCs/>
          <w:sz w:val="32"/>
          <w:szCs w:val="32"/>
          <w:lang w:val="en-US" w:eastAsia="en-US" w:bidi="ar-SA"/>
        </w:rPr>
        <w:t>”</w:t>
      </w:r>
      <w:r>
        <w:rPr>
          <w:rFonts w:ascii="Times New Roman" w:eastAsia="方正仿宋_GBK" w:cs="Times New Roman" w:hAnsi="Times New Roman"/>
          <w:b/>
          <w:bCs/>
          <w:sz w:val="32"/>
          <w:szCs w:val="32"/>
          <w:lang w:val="en-US" w:eastAsia="en-US" w:bidi="ar-SA"/>
        </w:rPr>
        <w:t>：</w:t>
      </w:r>
      <w:r>
        <w:rPr>
          <w:rFonts w:ascii="Times New Roman" w:eastAsia="方正仿宋_GBK" w:cs="Times New Roman" w:hAnsi="Times New Roman"/>
          <w:sz w:val="32"/>
          <w:szCs w:val="32"/>
          <w:lang w:val="en-US" w:eastAsia="en-US" w:bidi="ar-SA"/>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按规定保留的公务用车车辆燃料费、维修费、过桥过路费、保险费、安全奖励费用等支出；公务接待费反映单位按规定开支的各类公务接待（含外宾接待）支出。</w:t>
      </w:r>
    </w:p>
    <w:p>
      <w:pPr>
        <w:pStyle w:val="63"/>
        <w:spacing w:line="560" w:lineRule="exact"/>
        <w:ind w:firstLineChars="200" w:firstLine="640"/>
        <w:jc w:val="both"/>
        <w:rPr>
          <w:rFonts w:ascii="Times New Roman" w:eastAsia="方正仿宋_GBK" w:cs="Times New Roman" w:hAnsi="Times New Roman"/>
          <w:sz w:val="32"/>
          <w:szCs w:val="32"/>
          <w:lang w:val="en-US" w:eastAsia="en-US" w:bidi="ar-SA"/>
        </w:rPr>
        <w:sectPr>
          <w:pgSz w:w="11913" w:h="16443"/>
          <w:pgMar w:top="1440" w:right="1797" w:bottom="1440" w:left="1797" w:header="0" w:footer="973" w:gutter="0"/>
          <w:pgNumType/>
          <w:docGrid w:linePitch="312" w:charSpace="2048"/>
        </w:sectPr>
      </w:pPr>
      <w:r>
        <w:rPr>
          <w:rFonts w:ascii="Times New Roman" w:eastAsia="方正仿宋_GBK" w:cs="Times New Roman" w:hAnsi="Times New Roman"/>
          <w:b/>
          <w:bCs/>
          <w:sz w:val="32"/>
          <w:szCs w:val="32"/>
          <w:lang w:val="en-US" w:eastAsia="en-US" w:bidi="ar-SA"/>
        </w:rPr>
        <w:t>二十五、机关运行经费：</w:t>
      </w:r>
      <w:r>
        <w:rPr>
          <w:rFonts w:ascii="Times New Roman" w:eastAsia="方正仿宋_GBK" w:cs="Times New Roman" w:hAnsi="Times New Roman"/>
          <w:sz w:val="32"/>
          <w:szCs w:val="32"/>
          <w:lang w:val="en-US" w:eastAsia="en-US" w:bidi="ar-SA"/>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rPr>
          <w:rFonts w:hint="eastAsia"/>
        </w:rPr>
      </w:pPr>
    </w:p>
    <w:p>
      <w:pPr>
        <w:tabs>
          <w:tab w:val="left" w:pos="80"/>
        </w:tabs>
        <w:rPr>
          <w:rFonts w:hint="eastAsia"/>
        </w:rPr>
      </w:pPr>
    </w:p>
    <w:p>
      <w:pPr>
        <w:tabs>
          <w:tab w:val="left" w:pos="80"/>
        </w:tabs>
        <w:rPr>
          <w:rFonts w:hint="eastAsia"/>
        </w:rPr>
      </w:pPr>
    </w:p>
    <w:p>
      <w:pPr>
        <w:tabs>
          <w:tab w:val="left" w:pos="80"/>
        </w:tabs>
        <w:rPr>
          <w:rFonts w:hint="eastAsia"/>
        </w:rPr>
      </w:pPr>
    </w:p>
    <w:p>
      <w:pPr>
        <w:tabs>
          <w:tab w:val="left" w:pos="80"/>
        </w:tabs>
        <w:rPr>
          <w:rFonts w:hint="eastAsia"/>
        </w:rPr>
      </w:pPr>
    </w:p>
    <w:p>
      <w:pPr>
        <w:tabs>
          <w:tab w:val="left" w:pos="80"/>
        </w:tabs>
      </w:pPr>
    </w:p>
    <w:p>
      <w:pPr>
        <w:tabs>
          <w:tab w:val="left" w:pos="80"/>
        </w:tabs>
        <w:rPr>
          <w:rFonts w:ascii="方正黑体_GBK" w:eastAsia="方正黑体_GBK" w:hint="eastAsia"/>
        </w:rPr>
      </w:pPr>
      <w:r>
        <w:rPr>
          <w:rFonts w:ascii="方正黑体_GBK" w:eastAsia="方正黑体_GBK" w:hint="eastAsia"/>
        </w:rPr>
        <w:t xml:space="preserve"> </w:t>
      </w: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pPr>
    </w:p>
    <w:p>
      <w:pPr>
        <w:tabs>
          <w:tab w:val="left" w:pos="80"/>
        </w:tabs>
        <w:rPr>
          <w:rFonts w:hint="eastAsia"/>
        </w:rPr>
      </w:pPr>
    </w:p>
    <w:p>
      <w:pPr>
        <w:tabs>
          <w:tab w:val="left" w:pos="80"/>
        </w:tabs>
        <w:rPr>
          <w:rFonts w:hint="eastAsia"/>
        </w:rPr>
      </w:pPr>
    </w:p>
    <w:p>
      <w:pPr>
        <w:tabs>
          <w:tab w:val="left" w:pos="80"/>
        </w:tabs>
        <w:rPr>
          <w:rFonts w:hint="eastAsia"/>
        </w:rPr>
      </w:pPr>
    </w:p>
    <w:p>
      <w:pPr>
        <w:tabs>
          <w:tab w:val="left" w:pos="80"/>
        </w:tabs>
        <w:rPr>
          <w:rFonts w:hint="eastAsia"/>
        </w:rPr>
      </w:pPr>
    </w:p>
    <w:p>
      <w:pPr>
        <w:tabs>
          <w:tab w:val="left" w:pos="80"/>
        </w:tabs>
        <w:rPr>
          <w:rFonts w:hint="eastAsia"/>
        </w:rPr>
      </w:pPr>
    </w:p>
    <w:p>
      <w:pPr>
        <w:tabs>
          <w:tab w:val="left" w:pos="80"/>
        </w:tabs>
        <w:rPr>
          <w:rFonts w:hint="eastAsia"/>
        </w:rPr>
      </w:pPr>
    </w:p>
    <w:p>
      <w:pPr>
        <w:tabs>
          <w:tab w:val="left" w:pos="80"/>
        </w:tabs>
        <w:rPr>
          <w:rFonts w:hint="eastAsia"/>
        </w:rPr>
      </w:pPr>
    </w:p>
    <w:p>
      <w:pPr>
        <w:tabs>
          <w:tab w:val="left" w:pos="80"/>
        </w:tabs>
        <w:rPr>
          <w:rFonts w:hint="eastAsia"/>
        </w:rPr>
      </w:pPr>
    </w:p>
    <w:p>
      <w:pPr>
        <w:tabs>
          <w:tab w:val="left" w:pos="80"/>
        </w:tabs>
        <w:rPr>
          <w:rFonts w:hint="eastAsia"/>
        </w:rPr>
      </w:pPr>
    </w:p>
    <w:p>
      <w:pPr>
        <w:tabs>
          <w:tab w:val="left" w:pos="80"/>
        </w:tabs>
        <w:rPr>
          <w:rFonts w:hint="eastAsia"/>
        </w:rPr>
      </w:pPr>
    </w:p>
    <w:p>
      <w:pPr>
        <w:tabs>
          <w:tab w:val="left" w:pos="80"/>
        </w:tabs>
        <w:rPr>
          <w:rFonts w:hint="eastAsia"/>
        </w:rPr>
      </w:pPr>
    </w:p>
    <w:p>
      <w:pPr>
        <w:tabs>
          <w:tab w:val="left" w:pos="80"/>
        </w:tabs>
        <w:rPr>
          <w:rFonts w:hint="eastAsia"/>
        </w:rPr>
      </w:pPr>
    </w:p>
    <w:p>
      <w:pPr>
        <w:tabs>
          <w:tab w:val="left" w:pos="80"/>
        </w:tabs>
      </w:pPr>
    </w:p>
    <w:p>
      <w:pPr>
        <w:tabs>
          <w:tab w:val="left" w:pos="80"/>
        </w:tabs>
      </w:pPr>
    </w:p>
    <w:p>
      <w:pPr>
        <w:tabs>
          <w:tab w:val="left" w:pos="80"/>
        </w:tabs>
      </w:pPr>
    </w:p>
    <w:p>
      <w:pPr>
        <w:rPr>
          <w:rFonts w:ascii="宋体"/>
        </w:rPr>
      </w:pPr>
    </w:p>
    <w:sectPr>
      <w:pgSz w:w="11907" w:h="16839"/>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方正隶书_GBK">
    <w:panose1 w:val="03000509000000000000"/>
    <w:charset w:val="86"/>
    <w:family w:val="script"/>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方正仿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方正楷体_GBK">
    <w:panose1 w:val="03000509000000000000"/>
    <w:charset w:val="86"/>
    <w:family w:val="script"/>
    <w:pitch w:val="variable"/>
    <w:sig w:usb0="00000001" w:usb1="080E0000" w:usb2="00000000" w:usb3="00000000" w:csb0="00040000" w:csb1="00000000"/>
  </w:font>
  <w:font w:name="Cambria">
    <w:panose1 w:val="02040503050406030204"/>
    <w:charset w:val="00"/>
    <w:family w:val="auto"/>
    <w:pitch w:val="variable"/>
    <w:sig w:usb0="E00002FF" w:usb1="400004FF" w:usb2="00000000" w:usb3="00000000" w:csb0="2000019F" w:csb1="00000000"/>
  </w:font>
  <w:font w:name="Mongolian Baiti">
    <w:panose1 w:val="03000500000000000000"/>
    <w:charset w:val="00"/>
    <w:family w:val="auto"/>
    <w:pitch w:val="variable"/>
    <w:sig w:usb0="80000023" w:usb1="00000000" w:usb2="00020000" w:usb3="00000000" w:csb0="00000001" w:csb1="00000000"/>
  </w:font>
  <w:font w:name="仿宋">
    <w:panose1 w:val="02010609060101010101"/>
    <w:charset w:val="86"/>
    <w:family w:val="auto"/>
    <w:pitch w:val="variable"/>
    <w:sig w:usb0="800002BF" w:usb1="38CF7CFA" w:usb2="00000016" w:usb3="00000000" w:csb0="00040001" w:csb1="00000000"/>
  </w:font>
  <w:font w:name="Calibri">
    <w:panose1 w:val="020F0502020204030204"/>
    <w:charset w:val="00"/>
    <w:family w:val="auto"/>
    <w:pitch w:val="variable"/>
    <w:sig w:usb0="E00002FF" w:usb1="4000ACFF" w:usb2="00000001" w:usb3="00000000" w:csb0="2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65"/>
      <w:tabs>
        <w:tab w:val="center" w:pos="4153"/>
        <w:tab w:val="right" w:pos="8306"/>
      </w:tabs>
      <w:jc w:val="center"/>
    </w:pPr>
    <w:r>
      <w:fldChar w:fldCharType="begin"/>
    </w:r>
    <w:r>
      <w:instrText>Page</w:instrText>
    </w:r>
    <w:r>
      <w:fldChar w:fldCharType="separate"/>
    </w:r>
    <w:r>
      <w:rPr>
        <w:lang w:val="en-US" w:eastAsia="zh-CN"/>
      </w:rPr>
      <w:t>26</w:t>
    </w:r>
    <w:r>
      <w:fldChar w:fldCharType="end"/>
    </w:r>
  </w:p>
  <w:p>
    <w:pPr>
      <w:pStyle w:val="65"/>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center" w:y="1" w:anchorLock="0"/>
      <w:tabs>
        <w:tab w:val="center" w:pos="4153"/>
        <w:tab w:val="right" w:pos="8306"/>
      </w:tabs>
    </w:pPr>
    <w:r>
      <w:rPr>
        <w:rStyle w:val="19"/>
      </w:rPr>
      <w:fldChar w:fldCharType="begin"/>
    </w:r>
    <w:r>
      <w:rPr>
        <w:rStyle w:val="19"/>
      </w:rPr>
      <w:instrText>Page</w:instrText>
    </w:r>
    <w:r>
      <w:fldChar w:fldCharType="separate"/>
    </w:r>
    <w:r>
      <w:rPr>
        <w:rStyle w:val="19"/>
      </w:rPr>
      <w:t>1</w:t>
    </w:r>
    <w:r>
      <w:fldChar w:fldCharType="end"/>
    </w:r>
  </w:p>
  <w:p>
    <w:pPr>
      <w:pStyle w:val="17"/>
      <w:framePr w:w="0" w:hRule="auto" w:wrap="around" w:vAnchor="text" w:hAnchor="margin" w:xAlign="center" w:y="1" w:anchorLock="0"/>
      <w:tabs>
        <w:tab w:val="center" w:pos="4153"/>
        <w:tab w:val="right" w:pos="8306"/>
      </w:tabs>
    </w:pPr>
    <w:r>
      <w:rPr>
        <w:rStyle w:val="19"/>
      </w:rPr>
      <w:fldChar w:fldCharType="begin"/>
    </w:r>
    <w:r>
      <w:rPr>
        <w:rStyle w:val="19"/>
      </w:rPr>
      <w:instrText>Page</w:instrText>
    </w:r>
    <w:r>
      <w:fldChar w:fldCharType="separate"/>
    </w:r>
    <w:r>
      <w:rPr>
        <w:rStyle w:val="19"/>
      </w:rPr>
      <w:t>1</w:t>
    </w:r>
    <w:r>
      <w:fldChar w:fldCharType="end"/>
    </w:r>
  </w:p>
  <w:p>
    <w:pPr>
      <w:pStyle w:val="17"/>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66"/>
      <w:tabs>
        <w:tab w:val="center" w:pos="4153"/>
        <w:tab w:val="right" w:pos="8306"/>
      </w:tabs>
      <w:jc w:val="center"/>
    </w:pPr>
    <w:r>
      <w:fldChar w:fldCharType="begin"/>
    </w:r>
    <w:r>
      <w:instrText>Page</w:instrText>
    </w:r>
    <w:r>
      <w:fldChar w:fldCharType="separate"/>
    </w:r>
    <w:r>
      <w:rPr>
        <w:lang w:val="en-US" w:eastAsia="zh-CN"/>
      </w:rPr>
      <w:t>1</w:t>
    </w:r>
    <w:r>
      <w:fldChar w:fldCharType="end"/>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6E0C73D"/>
    <w:multiLevelType w:val="singleLevel"/>
    <w:tmpl w:val="00000000"/>
    <w:lvl w:ilvl="0">
      <w:start w:val="1"/>
      <w:numFmt w:val="bullet"/>
      <w:lvlRestart w:val="0"/>
      <w:lvlText w:val=""/>
      <w:lvlJc w:val="left"/>
      <w:pPr>
        <w:tabs>
          <w:tab w:val="num" w:pos="1200"/>
        </w:tabs>
        <w:ind w:left="1200" w:hanging="360"/>
      </w:pPr>
      <w:rPr>
        <w:rFonts w:ascii="Wingdings" w:hAnsi="Wingdings" w:hint="default"/>
      </w:rPr>
    </w:lvl>
  </w:abstractNum>
  <w:abstractNum w:abstractNumId="1">
    <w:nsid w:val="586DF84C"/>
    <w:multiLevelType w:val="singleLevel"/>
    <w:tmpl w:val="00000000"/>
    <w:lvl w:ilvl="0">
      <w:start w:val="1"/>
      <w:numFmt w:val="decimal"/>
      <w:lvlRestart w:val="0"/>
      <w:lvlText w:val="%1."/>
      <w:lvlJc w:val="left"/>
      <w:pPr>
        <w:tabs>
          <w:tab w:val="num" w:pos="1200"/>
        </w:tabs>
        <w:ind w:left="1200" w:hanging="36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isplayBackgroundShape/>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next w:val="0"/>
    <w:pPr>
      <w:keepNext/>
      <w:keepLines/>
      <w:widowControl w:val="0"/>
      <w:spacing w:before="340" w:after="330" w:line="578" w:lineRule="auto"/>
      <w:jc w:val="both"/>
      <w:outlineLvl w:val="0"/>
    </w:pPr>
    <w:rPr>
      <w:rFonts w:ascii="Times New Roman" w:eastAsia="宋体" w:cs="Times New Roman" w:hAnsi="Times New Roman"/>
      <w:b/>
      <w:bCs/>
      <w:kern w:val="44"/>
      <w:sz w:val="44"/>
      <w:szCs w:val="44"/>
      <w:lang w:val="en-US" w:eastAsia="zh-CN" w:bidi="ar-SA"/>
    </w:rPr>
  </w:style>
  <w:style w:type="paragraph" w:styleId="2">
    <w:name w:val="heading 2"/>
    <w:next w:val="0"/>
    <w:pPr>
      <w:keepNext/>
      <w:keepLines/>
      <w:widowControl w:val="0"/>
      <w:spacing w:before="260" w:after="260" w:line="415" w:lineRule="auto"/>
      <w:jc w:val="both"/>
      <w:outlineLvl w:val="1"/>
    </w:pPr>
    <w:rPr>
      <w:rFonts w:ascii="Cambria" w:eastAsia="宋体" w:cs="Mongolian Baiti"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oc 1"/>
    <w:autoRedefine/>
    <w:next w:val="0"/>
    <w:pPr>
      <w:widowControl w:val="0"/>
      <w:adjustRightInd w:val="0"/>
      <w:snapToGrid w:val="0"/>
      <w:spacing w:line="360" w:lineRule="auto"/>
    </w:pPr>
    <w:rPr>
      <w:rFonts w:ascii="Times New Roman" w:eastAsia="仿宋" w:cs="Times New Roman" w:hAnsi="Times New Roman"/>
      <w:b/>
      <w:bCs/>
      <w:kern w:val="2"/>
      <w:sz w:val="24"/>
      <w:lang w:val="en-US" w:eastAsia="zh-CN" w:bidi="ar-SA"/>
    </w:rPr>
  </w:style>
  <w:style w:type="paragraph" w:styleId="16">
    <w:name w:val="toc 7"/>
    <w:basedOn w:val="0"/>
    <w:autoRedefine/>
    <w:next w:val="0"/>
    <w:pPr>
      <w:ind w:left="2520"/>
    </w:pPr>
  </w:style>
  <w:style w:type="paragraph" w:styleId="17">
    <w:name w:val="footer"/>
    <w:next w:val="20"/>
    <w:pPr>
      <w:widowControl w:val="0"/>
      <w:tabs>
        <w:tab w:val="center" w:pos="4153"/>
        <w:tab w:val="right" w:pos="8306"/>
      </w:tabs>
      <w:snapToGrid w:val="0"/>
      <w:jc w:val="left"/>
    </w:pPr>
    <w:rPr>
      <w:rFonts w:ascii="Times New Roman" w:eastAsia="宋体" w:cs="Times New Roman" w:hAnsi="Times New Roman"/>
      <w:kern w:val="2"/>
      <w:sz w:val="18"/>
      <w:szCs w:val="18"/>
      <w:lang w:val="en-US" w:eastAsia="zh-CN" w:bidi="ar-SA"/>
    </w:rPr>
  </w:style>
  <w:style w:type="paragraph" w:styleId="18">
    <w:name w:val="envelope return"/>
    <w:basedOn w:val="0"/>
    <w:pPr>
      <w:snapToGrid w:val="0"/>
    </w:pPr>
    <w:rPr>
      <w:rFonts w:ascii="Arial" w:hAnsi="Arial"/>
    </w:rPr>
  </w:style>
  <w:style w:type="character" w:styleId="19">
    <w:name w:val="page number"/>
  </w:style>
  <w:style w:type="character" w:styleId="20">
    <w:name w:val="endnote reference"/>
    <w:basedOn w:val="10"/>
    <w:rPr>
      <w:vertAlign w:val="superscript"/>
    </w:rPr>
  </w:style>
  <w:style w:type="paragraph" w:styleId="21">
    <w:name w:val="List Bullet 3"/>
    <w:basedOn w:val="0"/>
    <w:pPr>
      <w:numPr>
        <w:ilvl w:val="0"/>
        <w:numId w:val="1"/>
      </w:numPr>
    </w:pPr>
  </w:style>
  <w:style w:type="paragraph" w:styleId="22">
    <w:name w:val="List Number 3"/>
    <w:basedOn w:val="0"/>
    <w:pPr>
      <w:numPr>
        <w:ilvl w:val="0"/>
        <w:numId w:val="2"/>
      </w:numPr>
    </w:pPr>
  </w:style>
  <w:style w:type="paragraph" w:styleId="23">
    <w:name w:val="List Continue 4"/>
    <w:basedOn w:val="0"/>
    <w:pPr>
      <w:spacing w:after="120"/>
      <w:ind w:left="1680"/>
    </w:pPr>
  </w:style>
  <w:style w:type="paragraph" w:customStyle="1" w:styleId="24">
    <w:name w:val="样式 11 磅"/>
    <w:pPr>
      <w:widowControl w:val="0"/>
      <w:autoSpaceDE w:val="0"/>
      <w:autoSpaceDN w:val="0"/>
    </w:pPr>
    <w:rPr>
      <w:rFonts w:ascii="仿宋" w:eastAsia="仿宋" w:cs="仿宋"/>
      <w:sz w:val="22"/>
      <w:szCs w:val="22"/>
      <w:lang w:val="zh-CN" w:eastAsia="zh-CN" w:bidi="zh-CN"/>
    </w:rPr>
  </w:style>
  <w:style w:type="paragraph" w:customStyle="1" w:styleId="25">
    <w:name w:val="样式 20 三号"/>
    <w:next w:val="21"/>
    <w:pPr>
      <w:widowControl w:val="0"/>
      <w:spacing w:before="146"/>
      <w:ind w:left="120"/>
    </w:pPr>
    <w:rPr>
      <w:rFonts w:ascii="宋体" w:eastAsia="宋体" w:cs="Arial"/>
      <w:sz w:val="32"/>
      <w:szCs w:val="32"/>
      <w:lang w:val="en-US" w:eastAsia="zh-CN" w:bidi="ar-SA"/>
    </w:rPr>
  </w:style>
  <w:style w:type="paragraph" w:customStyle="1" w:styleId="26">
    <w:name w:val="样式 15 三号"/>
    <w:pPr>
      <w:widowControl w:val="0"/>
      <w:spacing w:before="146"/>
      <w:ind w:left="120"/>
    </w:pPr>
    <w:rPr>
      <w:rFonts w:ascii="宋体" w:eastAsia="宋体" w:cs="Arial"/>
      <w:sz w:val="32"/>
      <w:szCs w:val="32"/>
      <w:lang w:val="en-US" w:eastAsia="zh-CN" w:bidi="ar-SA"/>
    </w:rPr>
  </w:style>
  <w:style w:type="paragraph" w:customStyle="1" w:styleId="27">
    <w:name w:val="样式 16 三号"/>
    <w:pPr>
      <w:keepNext/>
      <w:keepLines/>
      <w:widowControl w:val="0"/>
      <w:spacing w:before="260" w:after="260" w:line="415" w:lineRule="auto"/>
      <w:jc w:val="both"/>
      <w:outlineLvl w:val="1"/>
    </w:pPr>
    <w:rPr>
      <w:rFonts w:ascii="Cambria" w:eastAsia="宋体" w:cs="Mongolian Baiti" w:hAnsi="Cambria"/>
      <w:b/>
      <w:bCs/>
      <w:kern w:val="2"/>
      <w:sz w:val="32"/>
      <w:szCs w:val="32"/>
      <w:lang w:val="en-US" w:eastAsia="zh-CN" w:bidi="ar-SA"/>
    </w:rPr>
  </w:style>
  <w:style w:type="paragraph" w:customStyle="1" w:styleId="28">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25 10 磅"/>
    <w:next w:val="22"/>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913 10 磅"/>
    <w:next w:val="23"/>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472 11 磅"/>
    <w:pPr>
      <w:widowControl w:val="0"/>
    </w:pPr>
    <w:rPr>
      <w:rFonts w:ascii="Times New Roman" w:eastAsia="Times New Roman" w:cs="Arial" w:hAnsi="Times New Roman"/>
      <w:sz w:val="22"/>
      <w:szCs w:val="22"/>
      <w:lang w:val="en-US" w:eastAsia="zh-CN" w:bidi="ar-SA"/>
    </w:rPr>
  </w:style>
  <w:style w:type="paragraph" w:customStyle="1" w:styleId="37">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915 10 磅"/>
    <w:next w:val="51"/>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418 11 磅"/>
    <w:pPr>
      <w:widowControl w:val="0"/>
      <w:autoSpaceDE w:val="0"/>
      <w:autoSpaceDN w:val="0"/>
    </w:pPr>
    <w:rPr>
      <w:rFonts w:ascii="仿宋" w:eastAsia="仿宋" w:cs="仿宋"/>
      <w:sz w:val="22"/>
      <w:szCs w:val="22"/>
      <w:lang w:val="zh-CN" w:eastAsia="zh-CN" w:bidi="zh-CN"/>
    </w:rPr>
  </w:style>
  <w:style w:type="paragraph" w:customStyle="1" w:styleId="40">
    <w:name w:val="样式 1 11 磅"/>
    <w:pPr>
      <w:widowControl w:val="0"/>
      <w:autoSpaceDE w:val="0"/>
      <w:autoSpaceDN w:val="0"/>
    </w:pPr>
    <w:rPr>
      <w:rFonts w:ascii="仿宋" w:eastAsia="仿宋" w:cs="仿宋"/>
      <w:sz w:val="22"/>
      <w:szCs w:val="22"/>
      <w:lang w:val="zh-CN" w:eastAsia="zh-CN" w:bidi="zh-CN"/>
    </w:rPr>
  </w:style>
  <w:style w:type="paragraph" w:customStyle="1" w:styleId="41">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 11 磅"/>
    <w:pPr>
      <w:widowControl w:val="0"/>
      <w:autoSpaceDE w:val="0"/>
      <w:autoSpaceDN w:val="0"/>
    </w:pPr>
    <w:rPr>
      <w:rFonts w:ascii="仿宋" w:eastAsia="仿宋" w:cs="仿宋"/>
      <w:sz w:val="22"/>
      <w:szCs w:val="22"/>
      <w:lang w:val="zh-CN" w:eastAsia="zh-CN" w:bidi="zh-CN"/>
    </w:rPr>
  </w:style>
  <w:style w:type="paragraph" w:customStyle="1" w:styleId="43">
    <w:name w:val="样式 490 11 磅"/>
    <w:pPr>
      <w:widowControl w:val="0"/>
      <w:autoSpaceDE w:val="0"/>
      <w:autoSpaceDN w:val="0"/>
    </w:pPr>
    <w:rPr>
      <w:rFonts w:ascii="仿宋" w:eastAsia="仿宋" w:cs="仿宋"/>
      <w:sz w:val="22"/>
      <w:szCs w:val="22"/>
      <w:lang w:val="zh-CN" w:eastAsia="zh-CN" w:bidi="zh-CN"/>
    </w:rPr>
  </w:style>
  <w:style w:type="paragraph" w:customStyle="1" w:styleId="44">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9 11 磅"/>
    <w:pPr>
      <w:widowControl w:val="0"/>
      <w:autoSpaceDE w:val="0"/>
      <w:autoSpaceDN w:val="0"/>
    </w:pPr>
    <w:rPr>
      <w:rFonts w:ascii="仿宋" w:eastAsia="仿宋" w:cs="仿宋"/>
      <w:sz w:val="22"/>
      <w:szCs w:val="22"/>
      <w:lang w:val="zh-CN" w:eastAsia="zh-CN" w:bidi="zh-CN"/>
    </w:rPr>
  </w:style>
  <w:style w:type="paragraph" w:customStyle="1" w:styleId="46">
    <w:name w:val="样式 494 11 磅"/>
    <w:pPr>
      <w:widowControl w:val="0"/>
      <w:autoSpaceDE w:val="0"/>
      <w:autoSpaceDN w:val="0"/>
    </w:pPr>
    <w:rPr>
      <w:rFonts w:ascii="仿宋" w:eastAsia="仿宋" w:cs="仿宋"/>
      <w:sz w:val="22"/>
      <w:szCs w:val="22"/>
      <w:lang w:val="zh-CN" w:eastAsia="zh-CN" w:bidi="zh-CN"/>
    </w:rPr>
  </w:style>
  <w:style w:type="paragraph" w:customStyle="1" w:styleId="47">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495 11 磅"/>
    <w:pPr>
      <w:widowControl w:val="0"/>
      <w:autoSpaceDE w:val="0"/>
      <w:autoSpaceDN w:val="0"/>
    </w:pPr>
    <w:rPr>
      <w:rFonts w:ascii="仿宋" w:eastAsia="仿宋" w:cs="仿宋"/>
      <w:sz w:val="22"/>
      <w:szCs w:val="22"/>
      <w:lang w:val="zh-CN" w:eastAsia="zh-CN" w:bidi="zh-CN"/>
    </w:rPr>
  </w:style>
  <w:style w:type="paragraph" w:customStyle="1" w:styleId="50">
    <w:name w:val="样式 570 11 磅"/>
    <w:pPr>
      <w:widowControl w:val="0"/>
      <w:autoSpaceDE w:val="0"/>
      <w:autoSpaceDN w:val="0"/>
    </w:pPr>
    <w:rPr>
      <w:rFonts w:ascii="仿宋" w:eastAsia="仿宋" w:cs="仿宋"/>
      <w:sz w:val="22"/>
      <w:szCs w:val="22"/>
      <w:lang w:val="zh-CN" w:eastAsia="zh-CN" w:bidi="zh-CN"/>
    </w:rPr>
  </w:style>
  <w:style w:type="paragraph" w:customStyle="1" w:styleId="51">
    <w:name w:val="样式 572 11 磅"/>
    <w:pPr>
      <w:widowControl w:val="0"/>
      <w:autoSpaceDE w:val="0"/>
      <w:autoSpaceDN w:val="0"/>
    </w:pPr>
    <w:rPr>
      <w:rFonts w:ascii="仿宋" w:eastAsia="仿宋" w:cs="仿宋"/>
      <w:sz w:val="22"/>
      <w:szCs w:val="22"/>
      <w:lang w:val="zh-CN" w:eastAsia="zh-CN" w:bidi="zh-CN"/>
    </w:rPr>
  </w:style>
  <w:style w:type="paragraph" w:customStyle="1" w:styleId="52">
    <w:name w:val="样式 1280 11 磅"/>
    <w:pPr>
      <w:widowControl w:val="0"/>
      <w:autoSpaceDE w:val="0"/>
      <w:autoSpaceDN w:val="0"/>
    </w:pPr>
    <w:rPr>
      <w:rFonts w:ascii="仿宋" w:eastAsia="仿宋" w:cs="仿宋"/>
      <w:sz w:val="22"/>
      <w:szCs w:val="22"/>
      <w:lang w:val="zh-CN" w:eastAsia="zh-CN" w:bidi="zh-CN"/>
    </w:rPr>
  </w:style>
  <w:style w:type="paragraph" w:customStyle="1" w:styleId="53">
    <w:name w:val="样式 4 11 磅"/>
    <w:pPr>
      <w:widowControl w:val="0"/>
      <w:autoSpaceDE w:val="0"/>
      <w:autoSpaceDN w:val="0"/>
    </w:pPr>
    <w:rPr>
      <w:rFonts w:ascii="仿宋" w:eastAsia="仿宋" w:cs="仿宋"/>
      <w:sz w:val="22"/>
      <w:szCs w:val="22"/>
      <w:lang w:val="zh-CN" w:eastAsia="zh-CN" w:bidi="zh-CN"/>
    </w:rPr>
  </w:style>
  <w:style w:type="paragraph" w:customStyle="1" w:styleId="54">
    <w:name w:val="样式 1258 11 磅"/>
    <w:pPr>
      <w:widowControl w:val="0"/>
      <w:autoSpaceDE w:val="0"/>
      <w:autoSpaceDN w:val="0"/>
    </w:pPr>
    <w:rPr>
      <w:rFonts w:ascii="仿宋" w:eastAsia="仿宋" w:cs="仿宋"/>
      <w:sz w:val="22"/>
      <w:szCs w:val="22"/>
      <w:lang w:val="zh-CN" w:eastAsia="zh-CN" w:bidi="zh-CN"/>
    </w:rPr>
  </w:style>
  <w:style w:type="paragraph" w:customStyle="1" w:styleId="55">
    <w:name w:val="样式 545 11 磅"/>
    <w:pPr>
      <w:widowControl w:val="0"/>
      <w:autoSpaceDE w:val="0"/>
      <w:autoSpaceDN w:val="0"/>
    </w:pPr>
    <w:rPr>
      <w:rFonts w:ascii="仿宋" w:eastAsia="仿宋" w:cs="仿宋"/>
      <w:sz w:val="22"/>
      <w:szCs w:val="22"/>
      <w:lang w:val="zh-CN" w:eastAsia="zh-CN" w:bidi="zh-CN"/>
    </w:rPr>
  </w:style>
  <w:style w:type="paragraph" w:customStyle="1" w:styleId="56">
    <w:name w:val="样式 554 11 磅"/>
    <w:pPr>
      <w:widowControl w:val="0"/>
      <w:autoSpaceDE w:val="0"/>
      <w:autoSpaceDN w:val="0"/>
    </w:pPr>
    <w:rPr>
      <w:rFonts w:ascii="仿宋" w:eastAsia="仿宋" w:cs="仿宋"/>
      <w:sz w:val="22"/>
      <w:szCs w:val="22"/>
      <w:lang w:val="zh-CN" w:eastAsia="zh-CN" w:bidi="zh-CN"/>
    </w:rPr>
  </w:style>
  <w:style w:type="paragraph" w:customStyle="1" w:styleId="57">
    <w:name w:val="样式 5 11 磅"/>
    <w:pPr>
      <w:widowControl w:val="0"/>
      <w:autoSpaceDE w:val="0"/>
      <w:autoSpaceDN w:val="0"/>
    </w:pPr>
    <w:rPr>
      <w:rFonts w:ascii="仿宋" w:eastAsia="仿宋" w:cs="仿宋"/>
      <w:sz w:val="22"/>
      <w:szCs w:val="22"/>
      <w:lang w:val="zh-CN" w:eastAsia="zh-CN" w:bidi="zh-CN"/>
    </w:rPr>
  </w:style>
  <w:style w:type="paragraph" w:customStyle="1" w:styleId="58">
    <w:name w:val="样式 9 10 磅"/>
    <w:next w:val="18"/>
    <w:pPr>
      <w:widowControl w:val="0"/>
      <w:jc w:val="both"/>
    </w:pPr>
    <w:rPr>
      <w:rFonts w:ascii="Calibri" w:eastAsia="宋体" w:cs="Calibri" w:hAnsi="Calibri"/>
      <w:kern w:val="2"/>
      <w:sz w:val="21"/>
      <w:szCs w:val="21"/>
      <w:lang w:val="en-US" w:eastAsia="zh-CN" w:bidi="ar-SA"/>
    </w:rPr>
  </w:style>
  <w:style w:type="character" w:customStyle="1" w:styleId="59">
    <w:name w:val="h-control-text-cont1"/>
  </w:style>
  <w:style w:type="paragraph" w:customStyle="1" w:styleId="60">
    <w:name w:val="样式 16 小四"/>
    <w:pPr>
      <w:widowControl w:val="0"/>
    </w:pPr>
    <w:rPr>
      <w:rFonts w:ascii="宋体" w:eastAsia="宋体" w:cs="Times New Roman"/>
      <w:kern w:val="2"/>
      <w:sz w:val="24"/>
      <w:szCs w:val="21"/>
      <w:lang w:val="en-US" w:eastAsia="zh-CN" w:bidi="ar-SA"/>
    </w:rPr>
  </w:style>
  <w:style w:type="paragraph" w:customStyle="1" w:styleId="61">
    <w:name w:val="样式 12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62">
    <w:name w:val="样式 559 11 磅"/>
    <w:pPr>
      <w:widowControl w:val="0"/>
    </w:pPr>
    <w:rPr>
      <w:rFonts w:ascii="Times New Roman" w:eastAsia="Times New Roman" w:cs="Arial" w:hAnsi="Times New Roman"/>
      <w:sz w:val="22"/>
      <w:szCs w:val="22"/>
      <w:lang w:val="en-US" w:eastAsia="zh-CN" w:bidi="ar-SA"/>
    </w:rPr>
  </w:style>
  <w:style w:type="paragraph" w:customStyle="1" w:styleId="63">
    <w:name w:val="样式 560 11 磅"/>
    <w:pPr>
      <w:widowControl w:val="0"/>
      <w:autoSpaceDE w:val="0"/>
      <w:autoSpaceDN w:val="0"/>
    </w:pPr>
    <w:rPr>
      <w:rFonts w:ascii="仿宋" w:eastAsia="仿宋" w:cs="仿宋"/>
      <w:sz w:val="22"/>
      <w:szCs w:val="22"/>
      <w:lang w:val="zh-CN" w:eastAsia="zh-CN" w:bidi="zh-CN"/>
    </w:rPr>
  </w:style>
  <w:style w:type="paragraph" w:customStyle="1" w:styleId="64">
    <w:name w:val="样式 575 11 磅"/>
    <w:pPr>
      <w:widowControl w:val="0"/>
    </w:pPr>
    <w:rPr>
      <w:rFonts w:ascii="Times New Roman" w:eastAsia="Times New Roman" w:cs="Arial" w:hAnsi="Times New Roman"/>
      <w:sz w:val="22"/>
      <w:szCs w:val="22"/>
      <w:lang w:val="en-US" w:eastAsia="zh-CN" w:bidi="ar-SA"/>
    </w:rPr>
  </w:style>
  <w:style w:type="paragraph" w:customStyle="1" w:styleId="65">
    <w:name w:val="样式 小五"/>
    <w:pPr>
      <w:widowControl w:val="0"/>
      <w:tabs>
        <w:tab w:val="center" w:pos="4153"/>
        <w:tab w:val="right" w:pos="8306"/>
      </w:tabs>
      <w:snapToGrid w:val="0"/>
      <w:jc w:val="left"/>
    </w:pPr>
    <w:rPr>
      <w:rFonts w:ascii="Times New Roman" w:eastAsia="宋体" w:cs="Times New Roman" w:hAnsi="Times New Roman"/>
      <w:kern w:val="2"/>
      <w:sz w:val="18"/>
      <w:szCs w:val="18"/>
      <w:lang w:val="en-US" w:eastAsia="zh-CN" w:bidi="ar-SA"/>
    </w:rPr>
  </w:style>
  <w:style w:type="paragraph" w:customStyle="1" w:styleId="66">
    <w:name w:val="样式 4 小五"/>
    <w:pPr>
      <w:widowControl w:val="0"/>
      <w:tabs>
        <w:tab w:val="center" w:pos="4153"/>
        <w:tab w:val="right" w:pos="8306"/>
      </w:tabs>
      <w:snapToGrid w:val="0"/>
    </w:pPr>
    <w:rPr>
      <w:rFonts w:ascii="Times New Roman" w:eastAsia="宋体" w:cs="Times New Roman" w:hAnsi="Times New Roman"/>
      <w:kern w:val="2"/>
      <w:sz w:val="18"/>
      <w:szCs w:val="18"/>
      <w:lang w:val="en-US" w:eastAsia="zh-CN" w:bidi="ar-SA"/>
    </w:rPr>
  </w:style>
  <w:style w:type="paragraph" w:customStyle="1" w:styleId="67">
    <w:name w:val="样式 3 11 磅"/>
    <w:pPr>
      <w:widowControl w:val="0"/>
      <w:autoSpaceDE w:val="0"/>
      <w:autoSpaceDN w:val="0"/>
    </w:pPr>
    <w:rPr>
      <w:rFonts w:ascii="仿宋" w:eastAsia="仿宋" w:cs="仿宋"/>
      <w:sz w:val="22"/>
      <w:szCs w:val="22"/>
      <w:lang w:val="zh-CN" w:eastAsia="zh-CN" w:bidi="zh-CN"/>
    </w:rPr>
  </w:style>
  <w:style w:type="paragraph" w:customStyle="1" w:styleId="68">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6 11 磅"/>
    <w:pPr>
      <w:widowControl w:val="0"/>
      <w:autoSpaceDE w:val="0"/>
      <w:autoSpaceDN w:val="0"/>
    </w:pPr>
    <w:rPr>
      <w:rFonts w:ascii="仿宋" w:eastAsia="仿宋" w:cs="仿宋"/>
      <w:sz w:val="22"/>
      <w:szCs w:val="22"/>
      <w:lang w:val="zh-CN" w:eastAsia="zh-CN" w:bidi="zh-CN"/>
    </w:rPr>
  </w:style>
  <w:style w:type="paragraph" w:customStyle="1" w:styleId="70">
    <w:name w:val="样式 7 11 磅"/>
    <w:pPr>
      <w:widowControl w:val="0"/>
      <w:autoSpaceDE w:val="0"/>
      <w:autoSpaceDN w:val="0"/>
    </w:pPr>
    <w:rPr>
      <w:rFonts w:ascii="仿宋" w:eastAsia="仿宋" w:cs="仿宋"/>
      <w:sz w:val="22"/>
      <w:szCs w:val="22"/>
      <w:lang w:val="zh-CN" w:eastAsia="zh-CN" w:bidi="zh-CN"/>
    </w:rPr>
  </w:style>
  <w:style w:type="paragraph" w:customStyle="1" w:styleId="71">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8 11 磅"/>
    <w:pPr>
      <w:widowControl w:val="0"/>
      <w:autoSpaceDE w:val="0"/>
      <w:autoSpaceDN w:val="0"/>
    </w:pPr>
    <w:rPr>
      <w:rFonts w:ascii="仿宋" w:eastAsia="仿宋" w:cs="仿宋"/>
      <w:sz w:val="22"/>
      <w:szCs w:val="22"/>
      <w:lang w:val="zh-CN" w:eastAsia="zh-CN" w:bidi="zh-CN"/>
    </w:rPr>
  </w:style>
  <w:style w:type="paragraph" w:customStyle="1" w:styleId="73">
    <w:name w:val="样式 10 11 磅"/>
    <w:pPr>
      <w:widowControl w:val="0"/>
      <w:autoSpaceDE w:val="0"/>
      <w:autoSpaceDN w:val="0"/>
    </w:pPr>
    <w:rPr>
      <w:rFonts w:ascii="仿宋" w:eastAsia="仿宋" w:cs="仿宋"/>
      <w:sz w:val="22"/>
      <w:szCs w:val="22"/>
      <w:lang w:val="zh-CN" w:eastAsia="zh-CN" w:bidi="zh-CN"/>
    </w:rPr>
  </w:style>
  <w:style w:type="paragraph" w:customStyle="1" w:styleId="74">
    <w:name w:val="样式 11 11 磅"/>
    <w:pPr>
      <w:widowControl w:val="0"/>
      <w:autoSpaceDE w:val="0"/>
      <w:autoSpaceDN w:val="0"/>
    </w:pPr>
    <w:rPr>
      <w:rFonts w:ascii="仿宋" w:eastAsia="仿宋" w:cs="仿宋"/>
      <w:sz w:val="22"/>
      <w:szCs w:val="22"/>
      <w:lang w:val="zh-CN" w:eastAsia="zh-CN" w:bidi="zh-CN"/>
    </w:rPr>
  </w:style>
  <w:style w:type="paragraph" w:customStyle="1" w:styleId="75">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12 11 磅"/>
    <w:pPr>
      <w:widowControl w:val="0"/>
      <w:autoSpaceDE w:val="0"/>
      <w:autoSpaceDN w:val="0"/>
    </w:pPr>
    <w:rPr>
      <w:rFonts w:ascii="仿宋" w:eastAsia="仿宋" w:cs="仿宋"/>
      <w:sz w:val="22"/>
      <w:szCs w:val="22"/>
      <w:lang w:val="zh-CN" w:eastAsia="zh-CN" w:bidi="zh-CN"/>
    </w:rPr>
  </w:style>
  <w:style w:type="paragraph" w:customStyle="1" w:styleId="78">
    <w:name w:val="样式 13 11 磅"/>
    <w:pPr>
      <w:widowControl w:val="0"/>
      <w:autoSpaceDE w:val="0"/>
      <w:autoSpaceDN w:val="0"/>
    </w:pPr>
    <w:rPr>
      <w:rFonts w:ascii="仿宋" w:eastAsia="仿宋" w:cs="仿宋"/>
      <w:sz w:val="22"/>
      <w:szCs w:val="22"/>
      <w:lang w:val="zh-CN" w:eastAsia="zh-CN" w:bidi="zh-CN"/>
    </w:rPr>
  </w:style>
  <w:style w:type="paragraph" w:customStyle="1" w:styleId="79">
    <w:name w:val="样式 14 11 磅"/>
    <w:pPr>
      <w:widowControl w:val="0"/>
      <w:autoSpaceDE w:val="0"/>
      <w:autoSpaceDN w:val="0"/>
    </w:pPr>
    <w:rPr>
      <w:rFonts w:ascii="仿宋" w:eastAsia="仿宋" w:cs="仿宋"/>
      <w:sz w:val="22"/>
      <w:szCs w:val="22"/>
      <w:lang w:val="zh-CN" w:eastAsia="zh-CN" w:bidi="zh-CN"/>
    </w:rPr>
  </w:style>
  <w:style w:type="paragraph" w:customStyle="1" w:styleId="8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小四"/>
    <w:pPr>
      <w:widowControl w:val="0"/>
    </w:pPr>
    <w:rPr>
      <w:rFonts w:ascii="宋体" w:eastAsia="宋体"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image" Target="media/2.png"/><Relationship Id="rId6" Type="http://schemas.openxmlformats.org/officeDocument/2006/relationships/oleObject" Target="embeddings/oleObject1.bin"/><Relationship Id="rId7" Type="http://schemas.openxmlformats.org/officeDocument/2006/relationships/image" Target="media/4.png"/><Relationship Id="rId8" Type="http://schemas.openxmlformats.org/officeDocument/2006/relationships/oleObject" Target="embeddings/oleObject2.bin"/><Relationship Id="rId9" Type="http://schemas.openxmlformats.org/officeDocument/2006/relationships/image" Target="media/6.emf"/><Relationship Id="rId10" Type="http://schemas.openxmlformats.org/officeDocument/2006/relationships/oleObject" Target="embeddings/oleObject3.bin"/><Relationship Id="rId11" Type="http://schemas.openxmlformats.org/officeDocument/2006/relationships/image" Target="media/8.png"/><Relationship Id="rId12" Type="http://schemas.openxmlformats.org/officeDocument/2006/relationships/oleObject" Target="embeddings/oleObject4.bin"/><Relationship Id="rId13" Type="http://schemas.openxmlformats.org/officeDocument/2006/relationships/styles" Target="styles.xml"/><Relationship Id="rId14" Type="http://schemas.openxmlformats.org/officeDocument/2006/relationships/numbering" Target="numbering.xml"/><Relationship Id="rId15" Type="http://schemas.openxmlformats.org/officeDocument/2006/relationships/fontTable" Target="fontTable.xml"/></Relationships>
</file>

<file path=docProps/app.xml><?xml version="1.0" encoding="utf-8"?>
<Properties xmlns="http://schemas.openxmlformats.org/officeDocument/2006/extended-properties">
  <Template>Normal.eit</Template>
  <TotalTime>518</TotalTime>
  <Application>Yozo_Office</Application>
  <Pages>40</Pages>
  <Words>12374</Words>
  <Characters>15510</Characters>
  <Lines>3263</Lines>
  <Paragraphs>1800</Paragraphs>
  <CharactersWithSpaces>16032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王亚洁</dc:creator>
  <cp:lastModifiedBy>宿红宇</cp:lastModifiedBy>
  <cp:revision>0</cp:revision>
  <dcterms:created xsi:type="dcterms:W3CDTF">2026-08-11T02:54:52Z</dcterms:created>
  <dcterms:modified xsi:type="dcterms:W3CDTF">2026-08-14T01:59:08Z</dcterms:modified>
</cp:coreProperties>
</file>