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ind w:firstLine="0"/>
        <w:rPr>
          <w:rFonts w:ascii="方正黑体_GBK" w:eastAsia="方正黑体_GBK" w:cs="方正黑体_GBK"/>
          <w:sz w:val="32"/>
          <w:szCs w:val="32"/>
        </w:rPr>
      </w:pPr>
      <w:r>
        <w:rPr>
          <w:rFonts w:ascii="方正黑体_GBK" w:eastAsia="方正黑体_GBK" w:cs="方正黑体_GBK" w:hint="eastAsia"/>
          <w:sz w:val="32"/>
          <w:szCs w:val="32"/>
        </w:rPr>
        <w:t>附件1</w:t>
      </w:r>
    </w:p>
    <w:p>
      <w:pPr>
        <w:spacing w:line="560" w:lineRule="exact"/>
        <w:jc w:val="center"/>
        <w:rPr>
          <w:rFonts w:ascii="方正小标宋_GBK" w:eastAsia="方正小标宋_GBK" w:cs="方正小标宋_GBK"/>
          <w:sz w:val="44"/>
          <w:szCs w:val="44"/>
        </w:rPr>
      </w:pPr>
      <w:r>
        <w:rPr>
          <w:rFonts w:ascii="方正小标宋_GBK" w:eastAsia="方正小标宋_GBK" w:cs="方正小标宋_GBK" w:hint="eastAsia"/>
          <w:sz w:val="44"/>
          <w:szCs w:val="44"/>
        </w:rPr>
        <w:t>比选采购需求书</w:t>
      </w:r>
    </w:p>
    <w:tbl>
      <w:tblPr>
        <w:jc w:val="left"/>
        <w:tblInd w:w="0" w:type="dxa"/>
        <w:tblW w:w="8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198"/>
        <w:gridCol w:w="6205"/>
      </w:tblGrid>
      <w:tr>
        <w:tc>
          <w:tcPr>
            <w:tcW w:w="8403" w:type="dxa"/>
            <w:gridSpan w:val="2"/>
            <w:vAlign w:val="center"/>
          </w:tcPr>
          <w:p>
            <w:pPr>
              <w:spacing w:line="560" w:lineRule="exact"/>
              <w:jc w:val="center"/>
              <w:rPr>
                <w:rFonts w:ascii="方正仿宋_GBK" w:eastAsia="方正仿宋_GBK" w:cs="方正仿宋_GBK"/>
                <w:sz w:val="28"/>
                <w:szCs w:val="28"/>
              </w:rPr>
            </w:pPr>
            <w:r>
              <w:rPr>
                <w:rFonts w:ascii="方正楷体_GBK" w:eastAsia="方正楷体_GBK" w:cs="方正楷体_GBK" w:hint="eastAsia"/>
                <w:sz w:val="32"/>
                <w:szCs w:val="32"/>
              </w:rPr>
              <w:t>基础信息栏</w:t>
            </w:r>
          </w:p>
        </w:tc>
      </w:tr>
      <w:t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项目名称</w:t>
            </w:r>
          </w:p>
        </w:tc>
        <w:tc>
          <w:tcPr>
            <w:tcW w:w="6205"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sz w:val="28"/>
                <w:szCs w:val="28"/>
              </w:rPr>
              <w:t>盛乐国际机场海关综合楼业务咨询室、职工活动室及航站楼女职工休息哺乳室装修工程</w:t>
            </w:r>
          </w:p>
        </w:tc>
      </w:tr>
      <w:t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采购预算</w:t>
            </w:r>
          </w:p>
        </w:tc>
        <w:tc>
          <w:tcPr>
            <w:tcW w:w="6205"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sz w:val="28"/>
                <w:szCs w:val="28"/>
              </w:rPr>
              <w:t>139984</w:t>
            </w:r>
            <w:r>
              <w:rPr>
                <w:rFonts w:ascii="方正仿宋_GBK" w:eastAsia="方正仿宋_GBK" w:cs="方正仿宋_GBK" w:hint="eastAsia"/>
                <w:sz w:val="28"/>
                <w:szCs w:val="28"/>
              </w:rPr>
              <w:t>元</w:t>
            </w:r>
          </w:p>
        </w:tc>
      </w:tr>
      <w:t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评审方法</w:t>
            </w:r>
          </w:p>
        </w:tc>
        <w:tc>
          <w:tcPr>
            <w:tcW w:w="6205" w:type="dxa"/>
            <w:vAlign w:val="center"/>
          </w:tcPr>
          <w:p>
            <w:pPr>
              <w:spacing w:line="400" w:lineRule="exact"/>
              <w:jc w:val="left"/>
              <w:rPr>
                <w:rFonts w:ascii="方正仿宋_GBK" w:eastAsia="方正仿宋_GBK" w:cs="方正仿宋_GBK"/>
                <w:sz w:val="28"/>
                <w:szCs w:val="28"/>
              </w:rPr>
            </w:pPr>
            <w:r>
              <w:rPr>
                <w:rFonts w:ascii="方正仿宋_GBK" w:eastAsia="方正仿宋_GBK" w:cs="方正仿宋_GBK"/>
                <w:sz w:val="28"/>
                <w:szCs w:val="28"/>
              </w:rPr>
              <w:sym w:font="Wingdings 2" w:char="F0A3"/>
            </w:r>
            <w:r>
              <w:rPr>
                <w:rFonts w:ascii="方正仿宋_GBK" w:eastAsia="方正仿宋_GBK" w:cs="方正仿宋_GBK" w:hint="eastAsia"/>
                <w:sz w:val="28"/>
                <w:szCs w:val="28"/>
              </w:rPr>
              <w:t>最低价法</w:t>
            </w:r>
          </w:p>
          <w:p>
            <w:pPr>
              <w:spacing w:line="400" w:lineRule="exact"/>
              <w:jc w:val="left"/>
              <w:rPr>
                <w:rFonts w:ascii="方正仿宋_GBK" w:eastAsia="方正仿宋_GBK" w:cs="方正仿宋_GBK"/>
                <w:sz w:val="28"/>
                <w:szCs w:val="28"/>
              </w:rPr>
            </w:pPr>
            <w:r>
              <w:rPr>
                <w:rFonts w:ascii="方正仿宋_GBK" w:eastAsia="方正仿宋_GBK" w:cs="方正仿宋_GBK"/>
                <w:sz w:val="28"/>
                <w:szCs w:val="28"/>
              </w:rPr>
              <w:sym w:font="Wingdings 2" w:char="F052"/>
            </w:r>
            <w:r>
              <w:rPr>
                <w:rFonts w:ascii="方正仿宋_GBK" w:eastAsia="方正仿宋_GBK" w:cs="方正仿宋_GBK" w:hint="eastAsia"/>
                <w:sz w:val="28"/>
                <w:szCs w:val="28"/>
              </w:rPr>
              <w:t>综合评分法（权重：价格</w:t>
            </w:r>
            <w:r>
              <w:rPr>
                <w:rFonts w:ascii="方正仿宋_GBK" w:eastAsia="方正仿宋_GBK" w:cs="方正仿宋_GBK"/>
                <w:sz w:val="28"/>
                <w:szCs w:val="28"/>
              </w:rPr>
              <w:t>30</w:t>
            </w:r>
            <w:r>
              <w:rPr>
                <w:rFonts w:ascii="方正仿宋_GBK" w:eastAsia="方正仿宋_GBK" w:cs="方正仿宋_GBK" w:hint="eastAsia"/>
                <w:sz w:val="28"/>
                <w:szCs w:val="28"/>
              </w:rPr>
              <w:t>%、评审因素</w:t>
            </w:r>
            <w:r>
              <w:rPr>
                <w:rFonts w:ascii="方正仿宋_GBK" w:eastAsia="方正仿宋_GBK" w:cs="方正仿宋_GBK"/>
                <w:sz w:val="28"/>
                <w:szCs w:val="28"/>
              </w:rPr>
              <w:t>70</w:t>
            </w:r>
            <w:r>
              <w:rPr>
                <w:rFonts w:ascii="方正仿宋_GBK" w:eastAsia="方正仿宋_GBK" w:cs="方正仿宋_GBK" w:hint="eastAsia"/>
                <w:sz w:val="28"/>
                <w:szCs w:val="28"/>
              </w:rPr>
              <w:t>%）</w:t>
            </w:r>
          </w:p>
        </w:tc>
      </w:tr>
      <w:tr>
        <w:tc>
          <w:tcPr>
            <w:tcW w:w="8403" w:type="dxa"/>
            <w:gridSpan w:val="2"/>
            <w:vAlign w:val="center"/>
          </w:tcPr>
          <w:p>
            <w:pPr>
              <w:spacing w:line="560" w:lineRule="exact"/>
              <w:jc w:val="center"/>
              <w:rPr>
                <w:rFonts w:ascii="方正仿宋_GBK" w:eastAsia="方正仿宋_GBK" w:cs="方正仿宋_GBK"/>
                <w:sz w:val="28"/>
                <w:szCs w:val="28"/>
              </w:rPr>
            </w:pPr>
            <w:r>
              <w:rPr>
                <w:rFonts w:ascii="方正楷体_GBK" w:eastAsia="方正楷体_GBK" w:cs="方正楷体_GBK" w:hint="eastAsia"/>
                <w:sz w:val="32"/>
                <w:szCs w:val="32"/>
              </w:rPr>
              <w:t>详细需求栏</w:t>
            </w:r>
          </w:p>
        </w:tc>
      </w:tr>
      <w:tr>
        <w:trPr>
          <w:trHeight w:val="3390"/>
        </w:trP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说明</w:t>
            </w:r>
          </w:p>
        </w:tc>
        <w:tc>
          <w:tcPr>
            <w:tcW w:w="6205" w:type="dxa"/>
            <w:vAlign w:val="center"/>
          </w:tcPr>
          <w:p>
            <w:pPr>
              <w:spacing w:line="400" w:lineRule="exact"/>
              <w:rPr>
                <w:rFonts w:cs="Times New Roman"/>
                <w:szCs w:val="22"/>
              </w:rPr>
            </w:pPr>
            <w:r>
              <w:rPr>
                <w:rFonts w:cs="Times New Roman"/>
                <w:szCs w:val="22"/>
              </w:rPr>
              <w:t>1.不满足资格条件的响应文件将按无效响应文件处理。</w:t>
            </w:r>
          </w:p>
          <w:p>
            <w:pPr>
              <w:spacing w:line="400" w:lineRule="exact"/>
              <w:rPr>
                <w:rFonts w:ascii="方正仿宋_GBK" w:eastAsia="方正仿宋_GBK" w:cs="方正仿宋_GBK"/>
                <w:sz w:val="28"/>
                <w:szCs w:val="28"/>
              </w:rPr>
            </w:pPr>
            <w:r>
              <w:rPr>
                <w:rFonts w:cs="Times New Roman"/>
                <w:szCs w:val="22"/>
              </w:rPr>
              <w:t>2.</w:t>
            </w:r>
            <w:r>
              <w:rPr>
                <w:rFonts w:cs="方正仿宋_GBK" w:hint="eastAsia"/>
                <w:szCs w:val="22"/>
              </w:rPr>
              <w:t>详细需求栏中所有加“★”项的需求均为实质性要求，不满足实质性要求的响应文件将按无效响应文件处理。</w:t>
            </w:r>
          </w:p>
        </w:tc>
      </w:tr>
      <w:tr>
        <w:trPr>
          <w:trHeight w:val="6073"/>
        </w:trPr>
        <w:tc>
          <w:tcPr>
            <w:tcW w:w="2198" w:type="dxa"/>
            <w:vAlign w:val="center"/>
          </w:tcPr>
          <w:p>
            <w:pPr>
              <w:spacing w:line="560" w:lineRule="exact"/>
              <w:jc w:val="center"/>
              <w:rPr>
                <w:rFonts w:ascii="Times New Roman" w:eastAsia="方正仿宋_GBK" w:cs="Times New Roman" w:hAnsi="Times New Roman" w:hint="eastAsia"/>
                <w:sz w:val="28"/>
                <w:szCs w:val="28"/>
              </w:rPr>
            </w:pPr>
            <w:r>
              <w:rPr>
                <w:rFonts w:ascii="Times New Roman" w:eastAsia="方正仿宋_GBK" w:cs="Times New Roman" w:hAnsi="Times New Roman" w:hint="eastAsia"/>
                <w:sz w:val="28"/>
                <w:szCs w:val="28"/>
              </w:rPr>
              <w:t>资格条件</w:t>
            </w:r>
          </w:p>
        </w:tc>
        <w:tc>
          <w:tcPr>
            <w:tcW w:w="6205" w:type="dxa"/>
            <w:vAlign w:val="center"/>
          </w:tcPr>
          <w:p>
            <w:pPr>
              <w:pStyle w:val="61"/>
              <w:rPr>
                <w:rFonts w:cs="Times New Roman" w:hint="eastAsia"/>
              </w:rPr>
            </w:pPr>
            <w:r>
              <w:rPr>
                <w:rFonts w:cs="Times New Roman" w:hint="eastAsia"/>
              </w:rPr>
              <w:t>1、供应商应符合以下条件：</w:t>
            </w:r>
          </w:p>
          <w:p>
            <w:pPr>
              <w:pStyle w:val="61"/>
              <w:rPr>
                <w:rFonts w:cs="Times New Roman" w:hint="eastAsia"/>
              </w:rPr>
            </w:pPr>
            <w:r>
              <w:rPr>
                <w:rFonts w:cs="Times New Roman" w:hint="eastAsia"/>
              </w:rPr>
              <w:t>（1）具有独立承担民事责任的能力；</w:t>
            </w:r>
          </w:p>
          <w:p>
            <w:pPr>
              <w:pStyle w:val="61"/>
              <w:rPr>
                <w:rFonts w:cs="Times New Roman" w:hint="eastAsia"/>
              </w:rPr>
            </w:pPr>
            <w:r>
              <w:rPr>
                <w:rFonts w:cs="Times New Roman" w:hint="eastAsia"/>
              </w:rPr>
              <w:t>（2）具有良好商业信誉和健全的财务会计制度；</w:t>
            </w:r>
          </w:p>
          <w:p>
            <w:pPr>
              <w:pStyle w:val="61"/>
              <w:rPr>
                <w:rFonts w:cs="Times New Roman" w:hint="eastAsia"/>
              </w:rPr>
            </w:pPr>
            <w:r>
              <w:rPr>
                <w:rFonts w:cs="Times New Roman" w:hint="eastAsia"/>
              </w:rPr>
              <w:t>（3）具有履行合同所必需的设备和专业技术能力；</w:t>
            </w:r>
          </w:p>
          <w:p>
            <w:pPr>
              <w:pStyle w:val="61"/>
              <w:rPr>
                <w:rFonts w:cs="Times New Roman" w:hint="eastAsia"/>
              </w:rPr>
            </w:pPr>
            <w:r>
              <w:rPr>
                <w:rFonts w:cs="Times New Roman" w:hint="eastAsia"/>
              </w:rPr>
              <w:t>（4）有依法缴纳税收和社会保障资金的良好记录；</w:t>
            </w:r>
          </w:p>
          <w:p>
            <w:pPr>
              <w:pStyle w:val="61"/>
              <w:rPr>
                <w:rFonts w:cs="Times New Roman" w:hint="eastAsia"/>
              </w:rPr>
            </w:pPr>
            <w:r>
              <w:rPr>
                <w:rFonts w:cs="Times New Roman" w:hint="eastAsia"/>
              </w:rPr>
              <w:t>（5）参加政府采购前三年内，在经营活动中没有重大违法记录；</w:t>
            </w:r>
          </w:p>
          <w:p>
            <w:pPr>
              <w:pStyle w:val="61"/>
              <w:rPr>
                <w:rFonts w:cs="Times New Roman" w:hint="eastAsia"/>
              </w:rPr>
            </w:pPr>
            <w:r>
              <w:rPr>
                <w:rFonts w:cs="Times New Roman" w:hint="eastAsia"/>
              </w:rPr>
              <w:t>（6）法律、行政法规规定的其它条件。</w:t>
            </w:r>
          </w:p>
          <w:p>
            <w:pPr>
              <w:pStyle w:val="61"/>
              <w:rPr>
                <w:rFonts w:cs="Times New Roman"/>
              </w:rPr>
            </w:pPr>
            <w:r>
              <w:rPr>
                <w:rFonts w:cs="Times New Roman" w:hint="eastAsia"/>
              </w:rPr>
              <w:t>2、</w:t>
            </w:r>
            <w:r>
              <w:rPr>
                <w:rFonts w:cs="Times New Roman"/>
              </w:rPr>
              <w:t>本项目其他要求：</w:t>
            </w:r>
          </w:p>
          <w:p>
            <w:pPr>
              <w:pStyle w:val="61"/>
              <w:rPr>
                <w:rFonts w:cs="Times New Roman"/>
                <w:szCs w:val="22"/>
              </w:rPr>
            </w:pPr>
            <w:r>
              <w:rPr>
                <w:rFonts w:cs="Times New Roman"/>
              </w:rPr>
              <w:t>（1）单位负责人为同一人或者存在直接控股、管理关系的不同供应商，不得参加同一合同项下的政府采购活动。除单一来源采购采购项目外，为采购项目提供整体设计、规范编制或者项目管理、监理、检测等服务的供应商，不得再参加该采购项目的其它采购活动。（2）对在</w:t>
            </w:r>
            <w:r>
              <w:rPr>
                <w:rFonts w:cs="Times New Roman" w:hint="eastAsia"/>
              </w:rPr>
              <w:t>“信用中国”网站（www.creditchina.gov.cn）、中国政府采购网（www.ccgp.gov.cn）等渠道被列入失信被执行人、重大税收违法</w:t>
            </w:r>
            <w:r>
              <w:rPr>
                <w:rFonts w:cs="Times New Roman"/>
              </w:rPr>
              <w:t>失信主体、政府采购严重违法失信行为记录名单及其他不符合《中华人民共和国政府采购法》第二十二条规定条件的供应商，不得参与政府采购活动。</w:t>
            </w:r>
          </w:p>
        </w:tc>
      </w:tr>
      <w:tr>
        <w:trPr>
          <w:trHeight w:val="7311"/>
        </w:trP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w:t>
            </w:r>
          </w:p>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实质性需求</w:t>
            </w:r>
          </w:p>
        </w:tc>
        <w:tc>
          <w:tcPr>
            <w:tcW w:w="6205" w:type="dxa"/>
          </w:tcPr>
          <w:p>
            <w:pPr>
              <w:pStyle w:val="61"/>
              <w:rPr>
                <w:rFonts w:hint="eastAsia"/>
                <w:lang w:eastAsia="zh-CN"/>
              </w:rPr>
            </w:pPr>
            <w:r>
              <w:rPr>
                <w:rFonts w:hint="eastAsia"/>
                <w:lang w:eastAsia="zh-CN"/>
              </w:rPr>
              <w:t>一、项目情况</w:t>
            </w:r>
          </w:p>
          <w:p>
            <w:pPr>
              <w:pStyle w:val="61"/>
              <w:rPr>
                <w:rFonts w:hint="eastAsia"/>
                <w:lang w:eastAsia="zh-CN"/>
              </w:rPr>
            </w:pPr>
            <w:r>
              <w:rPr>
                <w:rFonts w:hint="eastAsia"/>
                <w:lang w:eastAsia="zh-CN"/>
              </w:rPr>
              <w:t>1.采购内容：具体详见工程量清单及</w:t>
            </w:r>
            <w:r>
              <w:rPr>
                <w:lang w:eastAsia="zh-CN"/>
              </w:rPr>
              <w:t>设计效果图</w:t>
            </w:r>
            <w:r>
              <w:rPr>
                <w:rFonts w:hint="eastAsia"/>
                <w:lang w:eastAsia="zh-CN"/>
              </w:rPr>
              <w:t>。总体要求：选用的建筑材料必须为国标产品、符合国家验收标准。</w:t>
            </w:r>
          </w:p>
          <w:p>
            <w:pPr>
              <w:pStyle w:val="61"/>
              <w:rPr>
                <w:rFonts w:hint="eastAsia"/>
                <w:lang w:eastAsia="zh-CN"/>
              </w:rPr>
            </w:pPr>
            <w:r>
              <w:rPr>
                <w:rFonts w:hint="eastAsia"/>
                <w:lang w:eastAsia="zh-CN"/>
              </w:rPr>
              <w:t>2.招标控制制价及报价说明：</w:t>
            </w:r>
          </w:p>
          <w:p>
            <w:pPr>
              <w:pStyle w:val="61"/>
              <w:rPr>
                <w:rFonts w:hint="eastAsia"/>
                <w:lang w:eastAsia="zh-CN"/>
              </w:rPr>
            </w:pPr>
            <w:r>
              <w:rPr>
                <w:rFonts w:hint="eastAsia"/>
                <w:lang w:eastAsia="zh-CN"/>
              </w:rPr>
              <w:t>2.1本项目招标控制价为</w:t>
            </w:r>
            <w:r>
              <w:rPr>
                <w:lang w:eastAsia="zh-CN"/>
              </w:rPr>
              <w:t>139984</w:t>
            </w:r>
            <w:r>
              <w:rPr>
                <w:rFonts w:hint="eastAsia"/>
                <w:lang w:eastAsia="zh-CN"/>
              </w:rPr>
              <w:t>元(大写:</w:t>
            </w:r>
            <w:r>
              <w:rPr>
                <w:lang w:eastAsia="zh-CN"/>
              </w:rPr>
              <w:t>壹拾叁万玖仟玖佰捌拾肆</w:t>
            </w:r>
            <w:r>
              <w:rPr>
                <w:rFonts w:hint="eastAsia"/>
                <w:lang w:eastAsia="zh-CN"/>
              </w:rPr>
              <w:t>元整)，超出控制价视为投标无效。</w:t>
            </w:r>
          </w:p>
          <w:p>
            <w:pPr>
              <w:pStyle w:val="61"/>
              <w:rPr>
                <w:rFonts w:hint="eastAsia"/>
                <w:lang w:eastAsia="zh-CN"/>
              </w:rPr>
            </w:pPr>
            <w:r>
              <w:rPr>
                <w:rFonts w:hint="eastAsia"/>
                <w:lang w:eastAsia="zh-CN"/>
              </w:rPr>
              <w:t>2.2已标价的工程量清单作为报价的一部分需装订入响应文件，如果响应文件中没有已标价工程量清单视为投标无效。</w:t>
            </w:r>
          </w:p>
          <w:p>
            <w:pPr>
              <w:pStyle w:val="61"/>
              <w:rPr>
                <w:rFonts w:hint="eastAsia"/>
                <w:lang w:eastAsia="zh-CN"/>
              </w:rPr>
            </w:pPr>
            <w:r>
              <w:rPr>
                <w:rFonts w:hint="eastAsia"/>
                <w:lang w:eastAsia="zh-CN"/>
              </w:rPr>
              <w:t>二、商务要求：</w:t>
            </w:r>
          </w:p>
          <w:p>
            <w:pPr>
              <w:pStyle w:val="61"/>
              <w:rPr>
                <w:lang w:eastAsia="zh-CN"/>
              </w:rPr>
            </w:pPr>
            <w:r>
              <w:rPr>
                <w:rFonts w:hint="eastAsia"/>
                <w:lang w:eastAsia="zh-CN"/>
              </w:rPr>
              <w:t>1.工期：合同签订后</w:t>
            </w:r>
            <w:r>
              <w:rPr>
                <w:lang w:eastAsia="zh-CN"/>
              </w:rPr>
              <w:t>20</w:t>
            </w:r>
            <w:r>
              <w:rPr>
                <w:rFonts w:hint="eastAsia"/>
                <w:lang w:eastAsia="zh-CN"/>
              </w:rPr>
              <w:t>天内完工；施工地点：</w:t>
            </w:r>
            <w:r>
              <w:rPr>
                <w:lang w:eastAsia="zh-CN"/>
              </w:rPr>
              <w:t>盛乐国际机场海关综合楼，盛乐国际机场航站楼</w:t>
            </w:r>
          </w:p>
          <w:p>
            <w:pPr>
              <w:pStyle w:val="61"/>
              <w:rPr>
                <w:rFonts w:hint="eastAsia"/>
                <w:lang w:eastAsia="zh-CN"/>
              </w:rPr>
            </w:pPr>
            <w:r>
              <w:rPr>
                <w:rFonts w:hint="eastAsia"/>
                <w:lang w:eastAsia="zh-CN"/>
              </w:rPr>
              <w:t>2.支付方式：合同签订后，支付合同总额的30%的款。</w:t>
            </w:r>
          </w:p>
          <w:p>
            <w:pPr>
              <w:pStyle w:val="61"/>
              <w:rPr>
                <w:rFonts w:hint="eastAsia"/>
                <w:lang w:eastAsia="zh-CN"/>
              </w:rPr>
            </w:pPr>
            <w:r>
              <w:rPr>
                <w:rFonts w:hint="eastAsia"/>
                <w:lang w:eastAsia="zh-CN"/>
              </w:rPr>
              <w:t>工程竣工验收合格后，</w:t>
            </w:r>
            <w:r>
              <w:rPr>
                <w:lang w:eastAsia="zh-CN"/>
              </w:rPr>
              <w:t>开具增值税普通发票后，</w:t>
            </w:r>
            <w:r>
              <w:rPr>
                <w:rFonts w:hint="eastAsia"/>
                <w:lang w:eastAsia="zh-CN"/>
              </w:rPr>
              <w:t>支付合同总额的</w:t>
            </w:r>
            <w:r>
              <w:rPr>
                <w:lang w:eastAsia="zh-CN"/>
              </w:rPr>
              <w:t>7</w:t>
            </w:r>
            <w:r>
              <w:rPr>
                <w:rFonts w:hint="eastAsia"/>
                <w:lang w:eastAsia="zh-CN"/>
              </w:rPr>
              <w:t>0%的款。</w:t>
            </w:r>
          </w:p>
          <w:p>
            <w:pPr>
              <w:pStyle w:val="61"/>
              <w:rPr>
                <w:rFonts w:hint="eastAsia"/>
                <w:lang w:eastAsia="zh-CN"/>
              </w:rPr>
            </w:pPr>
            <w:r>
              <w:rPr>
                <w:rFonts w:hint="eastAsia"/>
                <w:lang w:eastAsia="zh-CN"/>
              </w:rPr>
              <w:t xml:space="preserve">3.质量保证金：工程竣工验收合格后中标单位向采购人支付工程价款结算总额的3%作为质量保证金，质量保修期满后30日内无息退还。            </w:t>
            </w:r>
          </w:p>
          <w:p>
            <w:pPr>
              <w:pStyle w:val="61"/>
              <w:rPr>
                <w:rFonts w:hint="eastAsia"/>
                <w:lang w:eastAsia="zh-CN"/>
              </w:rPr>
            </w:pPr>
            <w:r>
              <w:rPr>
                <w:rFonts w:hint="eastAsia"/>
                <w:lang w:eastAsia="zh-CN"/>
              </w:rPr>
              <w:t>4.质量要求：符合国家及行业相关规范和标准，满足设计要求。</w:t>
            </w:r>
          </w:p>
          <w:p>
            <w:pPr>
              <w:pStyle w:val="61"/>
              <w:rPr>
                <w:rFonts w:hint="eastAsia"/>
                <w:lang w:eastAsia="zh-CN"/>
              </w:rPr>
            </w:pPr>
            <w:r>
              <w:rPr>
                <w:rFonts w:hint="eastAsia"/>
                <w:lang w:eastAsia="zh-CN"/>
              </w:rPr>
              <w:t>5.安全要求：确保安全文明施工，执行国家现行相关规定</w:t>
            </w:r>
          </w:p>
          <w:p>
            <w:pPr>
              <w:pStyle w:val="61"/>
              <w:rPr>
                <w:rFonts w:hint="eastAsia"/>
              </w:rPr>
            </w:pPr>
            <w:r>
              <w:rPr>
                <w:lang w:eastAsia="zh-CN"/>
              </w:rPr>
              <w:t>6</w:t>
            </w:r>
            <w:r>
              <w:rPr>
                <w:rFonts w:hint="eastAsia"/>
                <w:lang w:eastAsia="zh-CN"/>
              </w:rPr>
              <w:t>.质量保修期：按照《建设工程质量管理条例》要求执行，自竣工验收合格之日起计算。缺陷责任期：1年，工程通过竣工验收之日起计算。</w:t>
            </w:r>
          </w:p>
          <w:p>
            <w:pPr>
              <w:spacing w:line="400" w:lineRule="exact"/>
              <w:rPr>
                <w:rFonts w:ascii="Times New Roman" w:eastAsia="方正仿宋_GBK" w:cs="Times New Roman" w:hAnsi="Times New Roman"/>
                <w:sz w:val="28"/>
                <w:szCs w:val="28"/>
              </w:rPr>
            </w:pPr>
          </w:p>
        </w:tc>
      </w:tr>
      <w:tr>
        <w:trPr>
          <w:trHeight w:val="3889"/>
        </w:trP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评审因素</w:t>
            </w:r>
          </w:p>
        </w:tc>
        <w:tc>
          <w:tcPr>
            <w:tcW w:w="6205" w:type="dxa"/>
          </w:tcPr>
          <w:p>
            <w:pPr>
              <w:pStyle w:val="61"/>
              <w:rPr>
                <w:rFonts w:cs="方正仿宋_GBK" w:hint="eastAsia"/>
              </w:rPr>
            </w:pPr>
            <w:r>
              <w:rPr>
                <w:rFonts w:cs="方正仿宋_GBK"/>
                <w:b/>
                <w:bCs/>
              </w:rPr>
              <w:t>一、</w:t>
            </w:r>
            <w:r>
              <w:rPr>
                <w:rFonts w:cs="方正仿宋_GBK" w:hint="eastAsia"/>
                <w:b/>
                <w:bCs/>
              </w:rPr>
              <w:t>价格因素30分</w:t>
            </w:r>
            <w:r>
              <w:rPr>
                <w:rFonts w:cs="方正仿宋_GBK"/>
                <w:b/>
                <w:bCs/>
              </w:rPr>
              <w:t>。</w:t>
            </w:r>
            <w:r>
              <w:rPr>
                <w:rFonts w:cs="方正仿宋_GBK" w:hint="eastAsia"/>
              </w:rPr>
              <w:t>计算方法为：比选基准价/报价X 30，比选基准价为符合资格条件的最低报价，得分四舍五入保留2位小数。</w:t>
            </w:r>
          </w:p>
          <w:p>
            <w:pPr>
              <w:pStyle w:val="61"/>
              <w:rPr>
                <w:rFonts w:cs="方正仿宋_GBK"/>
                <w:b/>
                <w:bCs/>
              </w:rPr>
            </w:pPr>
            <w:r>
              <w:rPr>
                <w:rFonts w:cs="方正仿宋_GBK"/>
                <w:b/>
                <w:bCs/>
              </w:rPr>
              <w:t>二、</w:t>
            </w:r>
            <w:r>
              <w:rPr>
                <w:rFonts w:cs="方正仿宋_GBK" w:hint="eastAsia"/>
                <w:b/>
                <w:bCs/>
              </w:rPr>
              <w:t>其他评审因素70分</w:t>
            </w:r>
            <w:r>
              <w:rPr>
                <w:rFonts w:cs="方正仿宋_GBK"/>
                <w:b/>
                <w:bCs/>
              </w:rPr>
              <w:t>：</w:t>
            </w:r>
          </w:p>
          <w:p>
            <w:pPr>
              <w:pStyle w:val="61"/>
              <w:rPr>
                <w:rFonts w:cs="方正仿宋_GBK"/>
                <w:b/>
                <w:bCs/>
              </w:rPr>
            </w:pPr>
            <w:r>
              <w:rPr>
                <w:rFonts w:cs="方正仿宋_GBK"/>
                <w:b/>
                <w:bCs/>
              </w:rPr>
              <w:t>1、技术部分60分。</w:t>
            </w:r>
          </w:p>
          <w:p>
            <w:pPr>
              <w:pStyle w:val="63"/>
              <w:rPr>
                <w:rFonts w:cs="方正仿宋_GBK"/>
              </w:rPr>
            </w:pPr>
            <w:r>
              <w:rPr>
                <w:rFonts w:cs="方正仿宋_GBK"/>
              </w:rPr>
              <w:t>（1）施工组织设计10分。</w:t>
            </w:r>
          </w:p>
          <w:p>
            <w:pPr>
              <w:pStyle w:val="63"/>
              <w:rPr>
                <w:lang w:val="en-US" w:eastAsia="zh-CN"/>
              </w:rPr>
            </w:pPr>
            <w:r>
              <w:rPr>
                <w:rFonts w:hint="eastAsia"/>
                <w:lang w:val="en-US" w:eastAsia="zh-CN"/>
              </w:rPr>
              <w:t>根据供应商提供的施工组织设计进行评审：</w:t>
            </w:r>
            <w:r>
              <w:rPr>
                <w:lang w:val="en-US" w:eastAsia="zh-CN"/>
              </w:rPr>
              <w:t>a、</w:t>
            </w:r>
            <w:r>
              <w:rPr>
                <w:rFonts w:hint="eastAsia"/>
                <w:lang w:val="en-US" w:eastAsia="zh-CN"/>
              </w:rPr>
              <w:t>施工方案编制；</w:t>
            </w:r>
            <w:r>
              <w:rPr>
                <w:lang w:val="en-US" w:eastAsia="zh-CN"/>
              </w:rPr>
              <w:t>b、</w:t>
            </w:r>
            <w:r>
              <w:rPr>
                <w:rFonts w:hint="eastAsia"/>
                <w:lang w:val="en-US" w:eastAsia="zh-CN"/>
              </w:rPr>
              <w:t>施工准备；</w:t>
            </w:r>
            <w:r>
              <w:rPr>
                <w:lang w:val="en-US" w:eastAsia="zh-CN"/>
              </w:rPr>
              <w:t>c、</w:t>
            </w:r>
            <w:r>
              <w:rPr>
                <w:rFonts w:hint="eastAsia"/>
                <w:lang w:val="en-US" w:eastAsia="zh-CN"/>
              </w:rPr>
              <w:t>施工实施计划及进度保证措施；</w:t>
            </w:r>
            <w:r>
              <w:rPr>
                <w:lang w:val="en-US" w:eastAsia="zh-CN"/>
              </w:rPr>
              <w:t>d、</w:t>
            </w:r>
            <w:r>
              <w:rPr>
                <w:rFonts w:hint="eastAsia"/>
                <w:lang w:val="en-US" w:eastAsia="zh-CN"/>
              </w:rPr>
              <w:t>施工方法；</w:t>
            </w:r>
            <w:r>
              <w:rPr>
                <w:lang w:val="en-US" w:eastAsia="zh-CN"/>
              </w:rPr>
              <w:t>e、</w:t>
            </w:r>
            <w:r>
              <w:rPr>
                <w:rFonts w:hint="eastAsia"/>
                <w:lang w:val="en-US" w:eastAsia="zh-CN"/>
              </w:rPr>
              <w:t>工程重点难点分析。要素内容详尽齐全逻辑合理，以上每一项要素分值2分。以上5项每缺少一项要素扣2分；每一项要素中若有描</w:t>
            </w:r>
            <w:r>
              <w:rPr>
                <w:lang w:val="en-US" w:eastAsia="zh-CN"/>
              </w:rPr>
              <w:t>述</w:t>
            </w:r>
            <w:r>
              <w:rPr>
                <w:rFonts w:hint="eastAsia"/>
                <w:lang w:val="en-US" w:eastAsia="zh-CN"/>
              </w:rPr>
              <w:t>缺陷或不符合项目实际要求的，每有一处扣1分，每一项要素最多扣2分。</w:t>
            </w:r>
          </w:p>
          <w:p>
            <w:pPr>
              <w:pStyle w:val="63"/>
              <w:rPr>
                <w:lang w:val="en-US" w:eastAsia="zh-CN"/>
              </w:rPr>
            </w:pPr>
            <w:r>
              <w:rPr>
                <w:lang w:val="en-US" w:eastAsia="zh-CN"/>
              </w:rPr>
              <w:t>（2）质量管理措施12分。</w:t>
            </w:r>
            <w:r>
              <w:rPr>
                <w:rFonts w:hint="eastAsia"/>
                <w:lang w:val="en-US" w:eastAsia="zh-CN"/>
              </w:rPr>
              <w:t>根据供应商提供的质量管理措施进行评审：</w:t>
            </w:r>
            <w:r>
              <w:rPr>
                <w:lang w:val="en-US" w:eastAsia="zh-CN"/>
              </w:rPr>
              <w:t>a、</w:t>
            </w:r>
            <w:r>
              <w:rPr>
                <w:rFonts w:hint="eastAsia"/>
                <w:lang w:val="en-US" w:eastAsia="zh-CN"/>
              </w:rPr>
              <w:t>质量管理；</w:t>
            </w:r>
            <w:r>
              <w:rPr>
                <w:lang w:val="en-US" w:eastAsia="zh-CN"/>
              </w:rPr>
              <w:t>b</w:t>
            </w:r>
            <w:r>
              <w:rPr>
                <w:rFonts w:hint="eastAsia"/>
                <w:lang w:val="en-US" w:eastAsia="zh-CN"/>
              </w:rPr>
              <w:t>、质量监督检查；</w:t>
            </w:r>
            <w:r>
              <w:rPr>
                <w:lang w:val="en-US" w:eastAsia="zh-CN"/>
              </w:rPr>
              <w:t>c</w:t>
            </w:r>
            <w:r>
              <w:rPr>
                <w:rFonts w:hint="eastAsia"/>
                <w:lang w:val="en-US" w:eastAsia="zh-CN"/>
              </w:rPr>
              <w:t>、质量控制措施；</w:t>
            </w:r>
            <w:r>
              <w:rPr>
                <w:lang w:val="en-US" w:eastAsia="zh-CN"/>
              </w:rPr>
              <w:t>d</w:t>
            </w:r>
            <w:r>
              <w:rPr>
                <w:rFonts w:hint="eastAsia"/>
                <w:lang w:val="en-US" w:eastAsia="zh-CN"/>
              </w:rPr>
              <w:t>、质量通病防治措施等要素。要素内容详尽齐全逻辑合理，以上每一项要素分值3分。 以上4项每缺少一项要素扣3分；每一项要素中若有描述缺陷或不符合项目实际要求的，每有一处扣1分，每一项要素最多扣3分。</w:t>
            </w:r>
          </w:p>
          <w:p>
            <w:pPr>
              <w:pStyle w:val="63"/>
              <w:rPr>
                <w:rFonts w:hint="eastAsia"/>
              </w:rPr>
            </w:pPr>
            <w:r>
              <w:rPr>
                <w:lang w:val="en-US" w:eastAsia="zh-CN"/>
              </w:rPr>
              <w:t>（3）安全管理措施10分。</w:t>
            </w:r>
            <w:r>
              <w:rPr>
                <w:rFonts w:hint="eastAsia"/>
                <w:lang w:val="en-US" w:eastAsia="zh-CN"/>
              </w:rPr>
              <w:t>根据供应商提供的安全管理措施进行评审：</w:t>
            </w:r>
            <w:r>
              <w:rPr>
                <w:lang w:val="en-US" w:eastAsia="zh-CN"/>
              </w:rPr>
              <w:t>a</w:t>
            </w:r>
            <w:r>
              <w:rPr>
                <w:rFonts w:hint="eastAsia"/>
                <w:lang w:val="en-US" w:eastAsia="zh-CN"/>
              </w:rPr>
              <w:t>、安全生产管理制度；</w:t>
            </w:r>
            <w:r>
              <w:rPr>
                <w:lang w:val="en-US" w:eastAsia="zh-CN"/>
              </w:rPr>
              <w:t>b</w:t>
            </w:r>
            <w:r>
              <w:rPr>
                <w:rFonts w:hint="eastAsia"/>
                <w:lang w:val="en-US" w:eastAsia="zh-CN"/>
              </w:rPr>
              <w:t>、安全防范措施；</w:t>
            </w:r>
            <w:r>
              <w:rPr>
                <w:lang w:val="en-US" w:eastAsia="zh-CN"/>
              </w:rPr>
              <w:t>c</w:t>
            </w:r>
            <w:r>
              <w:rPr>
                <w:rFonts w:hint="eastAsia"/>
                <w:lang w:val="en-US" w:eastAsia="zh-CN"/>
              </w:rPr>
              <w:t>、施工现场维护管控措施；</w:t>
            </w:r>
            <w:r>
              <w:rPr>
                <w:lang w:val="en-US" w:eastAsia="zh-CN"/>
              </w:rPr>
              <w:t>d</w:t>
            </w:r>
            <w:r>
              <w:rPr>
                <w:rFonts w:hint="eastAsia"/>
                <w:lang w:val="en-US" w:eastAsia="zh-CN"/>
              </w:rPr>
              <w:t>、安全隐患排查；</w:t>
            </w:r>
            <w:r>
              <w:rPr>
                <w:lang w:val="en-US" w:eastAsia="zh-CN"/>
              </w:rPr>
              <w:t>e</w:t>
            </w:r>
            <w:r>
              <w:rPr>
                <w:rFonts w:hint="eastAsia"/>
                <w:lang w:val="en-US" w:eastAsia="zh-CN"/>
              </w:rPr>
              <w:t xml:space="preserve">、安全应急预案等要素。要素内容 </w:t>
            </w:r>
          </w:p>
          <w:p>
            <w:pPr>
              <w:pStyle w:val="65"/>
              <w:rPr>
                <w:lang w:val="en-US" w:eastAsia="zh-CN"/>
              </w:rPr>
            </w:pPr>
            <w:r>
              <w:rPr>
                <w:rFonts w:hint="eastAsia"/>
                <w:lang w:val="en-US" w:eastAsia="zh-CN"/>
              </w:rPr>
              <w:t>详尽齐全逻辑合理，以上每一项要素分值2分。以上5项每缺少一项要素扣2分；每一项要素中若有描述缺陷或不符合项目实际要求的，每有一处扣1分，每一项要素最多扣2分。</w:t>
            </w:r>
          </w:p>
          <w:p>
            <w:pPr>
              <w:pStyle w:val="66"/>
              <w:rPr>
                <w:lang w:val="en-US" w:eastAsia="zh-CN"/>
              </w:rPr>
            </w:pPr>
            <w:r>
              <w:rPr>
                <w:lang w:val="en-US" w:eastAsia="zh-CN"/>
              </w:rPr>
              <w:t>（4）施工总体进度计划12分。</w:t>
            </w:r>
            <w:r>
              <w:rPr>
                <w:rFonts w:hint="eastAsia"/>
                <w:lang w:val="en-US" w:eastAsia="zh-CN"/>
              </w:rPr>
              <w:t>根据供应商提供的施工总体进度计划进行评审：</w:t>
            </w:r>
            <w:r>
              <w:rPr>
                <w:lang w:val="en-US" w:eastAsia="zh-CN"/>
              </w:rPr>
              <w:t>a</w:t>
            </w:r>
            <w:r>
              <w:rPr>
                <w:rFonts w:hint="eastAsia"/>
                <w:lang w:val="en-US" w:eastAsia="zh-CN"/>
              </w:rPr>
              <w:t>、工期目标；</w:t>
            </w:r>
            <w:r>
              <w:rPr>
                <w:lang w:val="en-US" w:eastAsia="zh-CN"/>
              </w:rPr>
              <w:t>b</w:t>
            </w:r>
            <w:r>
              <w:rPr>
                <w:rFonts w:hint="eastAsia"/>
                <w:lang w:val="en-US" w:eastAsia="zh-CN"/>
              </w:rPr>
              <w:t>、施工进度计划（包括材料设备进场）；</w:t>
            </w:r>
            <w:r>
              <w:rPr>
                <w:lang w:val="en-US" w:eastAsia="zh-CN"/>
              </w:rPr>
              <w:t>c</w:t>
            </w:r>
            <w:r>
              <w:rPr>
                <w:rFonts w:hint="eastAsia"/>
                <w:lang w:val="en-US" w:eastAsia="zh-CN"/>
              </w:rPr>
              <w:t>、关键线路明确性；</w:t>
            </w:r>
            <w:r>
              <w:rPr>
                <w:lang w:val="en-US" w:eastAsia="zh-CN"/>
              </w:rPr>
              <w:t>d</w:t>
            </w:r>
            <w:r>
              <w:rPr>
                <w:rFonts w:hint="eastAsia"/>
                <w:lang w:val="en-US" w:eastAsia="zh-CN"/>
              </w:rPr>
              <w:t>、工期保证措施等要素。要素内容详尽齐全逻辑合理，以上每一项要素分值3分。以上4项每缺少一项要素扣3分；每一项要素中若有描述缺陷或不符合项目实际要求的，每有一处扣1分，每一项要素最多扣3分。</w:t>
            </w:r>
          </w:p>
          <w:p>
            <w:pPr>
              <w:pStyle w:val="67"/>
              <w:rPr>
                <w:lang w:val="en-US" w:eastAsia="zh-CN"/>
              </w:rPr>
            </w:pPr>
            <w:r>
              <w:rPr>
                <w:lang w:val="en-US" w:eastAsia="zh-CN"/>
              </w:rPr>
              <w:t>（5）环境保护管理体系与措施8分。</w:t>
            </w:r>
            <w:r>
              <w:rPr>
                <w:rFonts w:hint="eastAsia"/>
                <w:lang w:val="en-US" w:eastAsia="zh-CN"/>
              </w:rPr>
              <w:t>根据供应商提供的环境保护管理体系与措施进行评审：</w:t>
            </w:r>
            <w:r>
              <w:rPr>
                <w:lang w:val="en-US" w:eastAsia="zh-CN"/>
              </w:rPr>
              <w:t>a</w:t>
            </w:r>
            <w:r>
              <w:rPr>
                <w:rFonts w:hint="eastAsia"/>
                <w:lang w:val="en-US" w:eastAsia="zh-CN"/>
              </w:rPr>
              <w:t>、环境保护管理；</w:t>
            </w:r>
            <w:r>
              <w:rPr>
                <w:lang w:val="en-US" w:eastAsia="zh-CN"/>
              </w:rPr>
              <w:t>b</w:t>
            </w:r>
            <w:r>
              <w:rPr>
                <w:rFonts w:hint="eastAsia"/>
                <w:lang w:val="en-US" w:eastAsia="zh-CN"/>
              </w:rPr>
              <w:t>、噪声及扬尘防治；</w:t>
            </w:r>
            <w:r>
              <w:rPr>
                <w:lang w:val="en-US" w:eastAsia="zh-CN"/>
              </w:rPr>
              <w:t>c</w:t>
            </w:r>
            <w:r>
              <w:rPr>
                <w:rFonts w:hint="eastAsia"/>
                <w:lang w:val="en-US" w:eastAsia="zh-CN"/>
              </w:rPr>
              <w:t>、污染防治；</w:t>
            </w:r>
            <w:r>
              <w:rPr>
                <w:lang w:val="en-US" w:eastAsia="zh-CN"/>
              </w:rPr>
              <w:t>d</w:t>
            </w:r>
            <w:r>
              <w:rPr>
                <w:rFonts w:hint="eastAsia"/>
                <w:lang w:val="en-US" w:eastAsia="zh-CN"/>
              </w:rPr>
              <w:t>、废弃物污染防治等要素。要素内容详尽齐全逻辑合理，以上每一项要素分值2分。以上4项每缺少一项要素扣2分；每一项要素中若有描述缺陷或不符合项目实际要求的，每有一处扣1分，每一项要素最多扣2分。</w:t>
            </w:r>
          </w:p>
          <w:p>
            <w:pPr>
              <w:pStyle w:val="68"/>
              <w:rPr>
                <w:lang w:val="en-US" w:eastAsia="zh-CN"/>
              </w:rPr>
            </w:pPr>
            <w:r>
              <w:rPr>
                <w:lang w:val="en-US" w:eastAsia="zh-CN"/>
              </w:rPr>
              <w:t>（6）资源配备计划8分。</w:t>
            </w:r>
            <w:r>
              <w:rPr>
                <w:rFonts w:hint="eastAsia"/>
                <w:lang w:val="en-US" w:eastAsia="zh-CN"/>
              </w:rPr>
              <w:t>根据供应商提供的资源配备计划进行评审：</w:t>
            </w:r>
            <w:r>
              <w:rPr>
                <w:lang w:val="en-US" w:eastAsia="zh-CN"/>
              </w:rPr>
              <w:t>a</w:t>
            </w:r>
            <w:r>
              <w:rPr>
                <w:rFonts w:hint="eastAsia"/>
                <w:lang w:val="en-US" w:eastAsia="zh-CN"/>
              </w:rPr>
              <w:t>、劳动力配备；</w:t>
            </w:r>
            <w:r>
              <w:rPr>
                <w:lang w:val="en-US" w:eastAsia="zh-CN"/>
              </w:rPr>
              <w:t>b</w:t>
            </w:r>
            <w:r>
              <w:rPr>
                <w:rFonts w:hint="eastAsia"/>
                <w:lang w:val="en-US" w:eastAsia="zh-CN"/>
              </w:rPr>
              <w:t>、投入设备配置；</w:t>
            </w:r>
            <w:r>
              <w:rPr>
                <w:lang w:val="en-US" w:eastAsia="zh-CN"/>
              </w:rPr>
              <w:t>c</w:t>
            </w:r>
            <w:r>
              <w:rPr>
                <w:rFonts w:hint="eastAsia"/>
                <w:lang w:val="en-US" w:eastAsia="zh-CN"/>
              </w:rPr>
              <w:t>、管理组织机构；</w:t>
            </w:r>
            <w:r>
              <w:rPr>
                <w:lang w:val="en-US" w:eastAsia="zh-CN"/>
              </w:rPr>
              <w:t>d</w:t>
            </w:r>
            <w:r>
              <w:rPr>
                <w:rFonts w:hint="eastAsia"/>
                <w:lang w:val="en-US" w:eastAsia="zh-CN"/>
              </w:rPr>
              <w:t>、项目资源保障措施等要素。要素内容详尽齐全逻辑合理，以上每一项要素分值2分。以上4项每缺少一项要素扣2分；每一项要素中若有描述缺陷或不符合项目实际要求的，每有一处扣1分，每一项要素最多扣2分。</w:t>
            </w:r>
          </w:p>
          <w:p>
            <w:pPr>
              <w:pStyle w:val="68"/>
              <w:rPr>
                <w:lang w:val="en-US" w:eastAsia="zh-CN"/>
              </w:rPr>
            </w:pPr>
            <w:r>
              <w:rPr>
                <w:rFonts w:hint="eastAsia"/>
                <w:lang w:val="en-US" w:eastAsia="zh-CN"/>
              </w:rPr>
              <w:t xml:space="preserve"> 注：描述缺陷或不符合项目实际要求具体是指内容阐述不完整或凭空编造或存在不可能实现的夸大情形或提供内容与项目无关或项目名称不符或方案内容与该项目技术、服务、商务及其他要求不一致等情形的内容描述。</w:t>
            </w:r>
          </w:p>
          <w:p>
            <w:pPr>
              <w:pStyle w:val="68"/>
              <w:rPr>
                <w:b/>
                <w:bCs/>
                <w:lang w:val="en-US" w:eastAsia="zh-CN"/>
              </w:rPr>
            </w:pPr>
            <w:r>
              <w:rPr>
                <w:b/>
                <w:bCs/>
                <w:lang w:val="en-US" w:eastAsia="zh-CN"/>
              </w:rPr>
              <w:t>2、商务部分10分。</w:t>
            </w:r>
          </w:p>
          <w:p>
            <w:pPr>
              <w:pStyle w:val="68"/>
              <w:rPr>
                <w:rFonts w:hint="eastAsia"/>
              </w:rPr>
            </w:pPr>
            <w:r>
              <w:t>业绩10分。</w:t>
            </w:r>
            <w:r>
              <w:rPr>
                <w:rFonts w:hint="eastAsia"/>
              </w:rPr>
              <w:t>供应商近三年（2022年</w:t>
            </w:r>
            <w:r>
              <w:rPr>
                <w:rFonts w:hint="eastAsia"/>
                <w:lang w:val="en-US" w:eastAsia="zh-CN"/>
              </w:rPr>
              <w:t>11</w:t>
            </w:r>
            <w:r>
              <w:rPr>
                <w:rFonts w:hint="eastAsia"/>
              </w:rPr>
              <w:t>月1日至今）类似项目业绩，每有一份得</w:t>
            </w:r>
            <w:r>
              <w:rPr>
                <w:lang w:val="en-US" w:eastAsia="zh-CN"/>
              </w:rPr>
              <w:t>2</w:t>
            </w:r>
            <w:r>
              <w:rPr>
                <w:rFonts w:hint="eastAsia"/>
              </w:rPr>
              <w:t>分，最多得</w:t>
            </w:r>
            <w:r>
              <w:rPr>
                <w:lang w:val="en-US" w:eastAsia="zh-CN"/>
              </w:rPr>
              <w:t>10</w:t>
            </w:r>
            <w:r>
              <w:rPr>
                <w:rFonts w:hint="eastAsia"/>
              </w:rPr>
              <w:t>分，提供合同，日期以合同签订日期为准，不提供不得分。（注：须提供业绩合同复印件并加盖公章，否则不得分）</w:t>
            </w:r>
          </w:p>
        </w:tc>
      </w:tr>
      <w:tr>
        <w:trPr>
          <w:trHeight w:val="2007"/>
        </w:trP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其他因素</w:t>
            </w:r>
          </w:p>
        </w:tc>
        <w:tc>
          <w:tcPr>
            <w:tcW w:w="6205" w:type="dxa"/>
          </w:tcPr>
          <w:p>
            <w:pPr>
              <w:spacing w:line="400" w:lineRule="exact"/>
              <w:jc w:val="center"/>
              <w:rPr>
                <w:rFonts w:ascii="方正仿宋_GBK" w:eastAsia="方正仿宋_GBK" w:cs="方正仿宋_GBK"/>
                <w:sz w:val="28"/>
                <w:szCs w:val="28"/>
              </w:rPr>
            </w:pPr>
          </w:p>
          <w:p>
            <w:pPr>
              <w:spacing w:line="400" w:lineRule="exact"/>
              <w:jc w:val="left"/>
              <w:rPr>
                <w:rFonts w:cs="方正仿宋_GBK"/>
              </w:rPr>
            </w:pPr>
            <w:r>
              <w:rPr>
                <w:rFonts w:cs="方正仿宋_GBK"/>
              </w:rPr>
              <w:t>1、公告期限3</w:t>
            </w:r>
            <w:bookmarkStart w:id="0" w:name="_GoBack"/>
            <w:bookmarkEnd w:id="0"/>
            <w:r>
              <w:rPr>
                <w:rFonts w:cs="方正仿宋_GBK"/>
              </w:rPr>
              <w:t>个工作日。</w:t>
            </w:r>
          </w:p>
          <w:p>
            <w:pPr>
              <w:spacing w:line="400" w:lineRule="exact"/>
              <w:jc w:val="left"/>
              <w:rPr>
                <w:rFonts w:ascii="方正仿宋_GBK" w:eastAsia="方正仿宋_GBK" w:cs="方正仿宋_GBK"/>
                <w:sz w:val="28"/>
                <w:szCs w:val="28"/>
              </w:rPr>
            </w:pPr>
            <w:r>
              <w:rPr>
                <w:rFonts w:cs="方正仿宋_GBK"/>
              </w:rPr>
              <w:t>2、响应文件份数：响应文件正本1份、副本1份，胶装装订成册，密封提交。</w:t>
            </w:r>
          </w:p>
        </w:tc>
      </w:tr>
    </w:tbl>
    <w:p>
      <w:pPr>
        <w:spacing w:line="240" w:lineRule="auto"/>
        <w:rPr>
          <w:rFonts w:ascii="方正仿宋_GBK" w:eastAsia="方正仿宋_GBK" w:cs="方正仿宋_GBK"/>
          <w:sz w:val="32"/>
          <w:szCs w:val="32"/>
        </w:rPr>
      </w:pPr>
    </w:p>
    <w:p>
      <w:pPr>
        <w:spacing w:line="560" w:lineRule="exact"/>
        <w:jc w:val="right"/>
        <w:rPr>
          <w:rFonts w:ascii="方正仿宋_GBK" w:eastAsia="方正仿宋_GBK" w:cs="方正仿宋_GBK"/>
          <w:sz w:val="32"/>
          <w:szCs w:val="32"/>
        </w:rPr>
      </w:pPr>
    </w:p>
    <w:sectPr>
      <w:footerReference w:type="default" r:id="rId2"/>
      <w:footerReference w:type="even" r:id="rId3"/>
      <w:pgSz w:w="11907" w:h="16840"/>
      <w:pgMar w:top="1440" w:right="1797" w:bottom="1134" w:left="1797" w:header="851" w:footer="992" w:gutter="0"/>
      <w:pgNumType/>
      <w:docGrid w:type="lines" w:linePitch="312" w:charSpace="0"/>
    </w:sectPr>
  </w:body>
</w:document>
</file>

<file path=word/fontTable.xml><?xml version="1.0" encoding="utf-8"?>
<w:fonts xmlns:w="http://schemas.openxmlformats.org/wordprocessingml/2006/main" xmlns:r="http://schemas.openxmlformats.org/officeDocument/2006/relationships">
  <w:font w:name="方正黑体_GBK">
    <w:panose1 w:val="02000000000000000000"/>
    <w:charset w:val="86"/>
    <w:family w:val="script"/>
    <w:pitch w:val="variable"/>
    <w:sig w:usb0="A00002BF" w:usb1="38CF7CFA" w:usb2="00082016" w:usb3="00000000" w:csb0="00040001" w:csb1="00000000"/>
  </w:font>
  <w:font w:name="方正小标宋_GBK">
    <w:panose1 w:val="02000000000000000000"/>
    <w:charset w:val="86"/>
    <w:family w:val="script"/>
    <w:pitch w:val="variable"/>
    <w:sig w:usb0="A00002BF" w:usb1="38CF7CFA" w:usb2="00082016" w:usb3="00000000" w:csb0="00040001" w:csb1="00000000"/>
  </w:font>
  <w:font w:name="方正楷体_GBK">
    <w:panose1 w:val="02000000000000000000"/>
    <w:charset w:val="86"/>
    <w:family w:val="script"/>
    <w:pitch w:val="variable"/>
    <w:sig w:usb0="00000001" w:usb1="08000000" w:usb2="00000000" w:usb3="00000000" w:csb0="00040000" w:csb1="00000000"/>
  </w:font>
  <w:font w:name="方正仿宋_GBK">
    <w:panose1 w:val="02000000000000000000"/>
    <w:charset w:val="86"/>
    <w:family w:val="script"/>
    <w:pitch w:val="variable"/>
    <w:sig w:usb0="00000001" w:usb1="08000000" w:usb2="00000000" w:usb3="00000000" w:csb0="00040000" w:csb1="00000000"/>
  </w:font>
  <w:font w:name="Wingdings 2">
    <w:altName w:val="方正宋体S-超大字符集(SIP)"/>
    <w:panose1 w:val="05020102010507070707"/>
    <w:charset w:val="02"/>
    <w:family w:val="roman"/>
    <w:pitch w:val="variable"/>
    <w:sig w:usb0="00000000" w:usb1="00000000" w:usb2="00000000" w:usb3="00000000" w:csb0="80000000" w:csb1="00000000"/>
  </w:font>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variable"/>
    <w:sig w:usb0="00000003" w:usb1="080E0000" w:usb2="00000000" w:usb3="00000000" w:csb0="00040001" w:csb1="00000000"/>
  </w:font>
  <w:font w:name="Calibri">
    <w:altName w:val="DejaVu Sans"/>
    <w:panose1 w:val="020F0502020204030204"/>
    <w:charset w:val="00"/>
    <w:family w:val="swiss"/>
    <w:pitch w:val="variable"/>
    <w:sig w:usb0="00000000" w:usb1="00000000" w:usb2="00000001" w:usb3="00000000" w:csb0="0000019F" w:csb1="00000000"/>
  </w:font>
  <w:font w:name="Arial">
    <w:altName w:val="Times New Roman"/>
    <w:panose1 w:val="020B0604020202020204"/>
    <w:charset w:val="01"/>
    <w:family w:val="swiss"/>
    <w:pitch w:val="variable"/>
    <w:sig w:usb0="E0002A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right" w:y="1" w:anchorLock="0"/>
      <w:pBdr>
        <w:top w:val="none" w:sz="0" w:space="0" w:color="auto"/>
        <w:left w:val="none" w:sz="0" w:space="0" w:color="auto"/>
        <w:bottom w:val="none" w:sz="0" w:space="0" w:color="auto"/>
        <w:right w:val="none" w:sz="0" w:space="0" w:color="auto"/>
      </w:pBdr>
      <w:tabs>
        <w:tab w:val="center" w:pos="4153"/>
        <w:tab w:val="right" w:pos="8306"/>
      </w:tabs>
    </w:pPr>
    <w:r>
      <w:rPr>
        <w:rStyle w:val="57"/>
      </w:rPr>
      <w:fldChar w:fldCharType="begin"/>
    </w:r>
    <w:r>
      <w:rPr>
        <w:rStyle w:val="57"/>
      </w:rPr>
      <w:instrText>Page</w:instrText>
    </w:r>
    <w:r>
      <w:rPr>
        <w:rStyle w:val="57"/>
      </w:rPr>
      <w:fldChar w:fldCharType="separate"/>
    </w:r>
    <w:r>
      <w:rPr>
        <w:rStyle w:val="57"/>
      </w:rPr>
      <w:t>1</w:t>
    </w:r>
    <w:r>
      <w:rPr>
        <w:rStyle w:val="57"/>
      </w:rPr>
      <w:fldChar w:fldCharType="end"/>
    </w:r>
  </w:p>
  <w:p>
    <w:pPr>
      <w:pStyle w:val="16"/>
      <w:tabs>
        <w:tab w:val="center" w:pos="4153"/>
        <w:tab w:val="right" w:pos="8306"/>
      </w:tabs>
      <w:ind w:right="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right" w:y="1" w:anchorLock="0"/>
      <w:pBdr>
        <w:top w:val="none" w:sz="0" w:space="0" w:color="auto"/>
        <w:left w:val="none" w:sz="0" w:space="0" w:color="auto"/>
        <w:bottom w:val="none" w:sz="0" w:space="0" w:color="auto"/>
        <w:right w:val="none" w:sz="0" w:space="0" w:color="auto"/>
      </w:pBdr>
      <w:tabs>
        <w:tab w:val="center" w:pos="4153"/>
        <w:tab w:val="right" w:pos="8306"/>
      </w:tabs>
    </w:pPr>
    <w:r>
      <w:rPr>
        <w:rStyle w:val="57"/>
      </w:rPr>
      <w:fldChar w:fldCharType="begin"/>
    </w:r>
    <w:r>
      <w:rPr>
        <w:rStyle w:val="57"/>
      </w:rPr>
      <w:instrText>Page</w:instrText>
    </w:r>
    <w:r>
      <w:rPr>
        <w:rStyle w:val="57"/>
      </w:rPr>
      <w:fldChar w:fldCharType="separate"/>
    </w:r>
    <w:r>
      <w:rPr>
        <w:rStyle w:val="57"/>
      </w:rPr>
      <w:t>1</w:t>
    </w:r>
    <w:r>
      <w:rPr>
        <w:rStyle w:val="57"/>
      </w:rPr>
      <w:fldChar w:fldCharType="end"/>
    </w:r>
  </w:p>
  <w:p>
    <w:pPr>
      <w:pStyle w:val="16"/>
      <w:tabs>
        <w:tab w:val="center" w:pos="4153"/>
        <w:tab w:val="right" w:pos="8306"/>
      </w:tabs>
      <w:ind w:right="360"/>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90"/>
  <w:doNotDisplayPageBoundaries/>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OWRlNmFjNTE0YmQzNDgwNGMxODI4OWJlYzRjMWE3MTc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character" w:default="1" w:styleId="10">
    <w:name w:val="Default Paragraph Font"/>
  </w:style>
  <w:style w:type="paragraph" w:styleId="15">
    <w:name w:val="annotation text"/>
    <w:basedOn w:val="0"/>
    <w:pPr>
      <w:jc w:val="left"/>
    </w:p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index heading"/>
    <w:basedOn w:val="0"/>
    <w:rPr>
      <w:rFonts w:ascii="Arial" w:hAnsi="Arial"/>
      <w:b/>
    </w:rPr>
  </w:style>
  <w:style w:type="paragraph" w:customStyle="1" w:styleId="19">
    <w:name w:val="样式 10 磅"/>
    <w:pPr>
      <w:widowControl w:val="0"/>
      <w:jc w:val="both"/>
    </w:pPr>
    <w:rPr>
      <w:rFonts w:ascii="Calibri" w:eastAsia="宋体" w:cs="Arial" w:hAnsi="Calibri"/>
      <w:kern w:val="2"/>
      <w:sz w:val="21"/>
      <w:szCs w:val="24"/>
      <w:lang w:val="en-US" w:eastAsia="zh-CN" w:bidi="ar-SA"/>
    </w:rPr>
  </w:style>
  <w:style w:type="paragraph" w:customStyle="1" w:styleId="20">
    <w:name w:val="样式 1 10 磅"/>
    <w:pPr>
      <w:widowControl w:val="0"/>
      <w:jc w:val="both"/>
    </w:pPr>
    <w:rPr>
      <w:rFonts w:ascii="Calibri" w:eastAsia="宋体" w:cs="Arial" w:hAnsi="Calibri"/>
      <w:kern w:val="2"/>
      <w:sz w:val="21"/>
      <w:szCs w:val="24"/>
      <w:lang w:val="en-US" w:eastAsia="zh-CN" w:bidi="ar-SA"/>
    </w:rPr>
  </w:style>
  <w:style w:type="paragraph" w:customStyle="1" w:styleId="21">
    <w:name w:val="样式 2 10 磅"/>
    <w:pPr>
      <w:widowControl w:val="0"/>
      <w:jc w:val="both"/>
    </w:pPr>
    <w:rPr>
      <w:rFonts w:ascii="Calibri" w:eastAsia="宋体" w:cs="Arial" w:hAnsi="Calibri"/>
      <w:kern w:val="2"/>
      <w:sz w:val="21"/>
      <w:szCs w:val="24"/>
      <w:lang w:val="en-US" w:eastAsia="zh-CN" w:bidi="ar-SA"/>
    </w:rPr>
  </w:style>
  <w:style w:type="paragraph" w:customStyle="1" w:styleId="22">
    <w:name w:val="样式 3 10 磅"/>
    <w:pPr>
      <w:widowControl w:val="0"/>
      <w:jc w:val="both"/>
    </w:pPr>
    <w:rPr>
      <w:rFonts w:ascii="Calibri" w:eastAsia="宋体" w:cs="Arial" w:hAnsi="Calibri"/>
      <w:kern w:val="2"/>
      <w:sz w:val="21"/>
      <w:szCs w:val="24"/>
      <w:lang w:val="en-US" w:eastAsia="zh-CN" w:bidi="ar-SA"/>
    </w:rPr>
  </w:style>
  <w:style w:type="paragraph" w:customStyle="1" w:styleId="23">
    <w:name w:val="样式 4 10 磅"/>
    <w:pPr>
      <w:widowControl w:val="0"/>
      <w:jc w:val="both"/>
    </w:pPr>
    <w:rPr>
      <w:rFonts w:ascii="Calibri" w:eastAsia="宋体" w:cs="Arial" w:hAnsi="Calibri"/>
      <w:kern w:val="2"/>
      <w:sz w:val="21"/>
      <w:szCs w:val="24"/>
      <w:lang w:val="en-US" w:eastAsia="zh-CN" w:bidi="ar-SA"/>
    </w:rPr>
  </w:style>
  <w:style w:type="paragraph" w:customStyle="1" w:styleId="24">
    <w:name w:val="样式 5 10 磅"/>
    <w:pPr>
      <w:widowControl w:val="0"/>
      <w:jc w:val="both"/>
    </w:pPr>
    <w:rPr>
      <w:rFonts w:ascii="Calibri" w:eastAsia="宋体" w:cs="Arial" w:hAnsi="Calibri"/>
      <w:kern w:val="2"/>
      <w:sz w:val="21"/>
      <w:szCs w:val="24"/>
      <w:lang w:val="en-US" w:eastAsia="zh-CN" w:bidi="ar-SA"/>
    </w:rPr>
  </w:style>
  <w:style w:type="paragraph" w:customStyle="1" w:styleId="25">
    <w:name w:val="样式 6 10 磅"/>
    <w:pPr>
      <w:widowControl w:val="0"/>
      <w:jc w:val="both"/>
    </w:pPr>
    <w:rPr>
      <w:rFonts w:ascii="Calibri" w:eastAsia="宋体" w:cs="Arial" w:hAnsi="Calibri"/>
      <w:kern w:val="2"/>
      <w:sz w:val="21"/>
      <w:szCs w:val="24"/>
      <w:lang w:val="en-US" w:eastAsia="zh-CN" w:bidi="ar-SA"/>
    </w:rPr>
  </w:style>
  <w:style w:type="paragraph" w:customStyle="1" w:styleId="26">
    <w:name w:val="样式 7 10 磅"/>
    <w:pPr>
      <w:widowControl w:val="0"/>
      <w:jc w:val="both"/>
    </w:pPr>
    <w:rPr>
      <w:rFonts w:ascii="Calibri" w:eastAsia="宋体" w:cs="Arial" w:hAnsi="Calibri"/>
      <w:kern w:val="2"/>
      <w:sz w:val="21"/>
      <w:szCs w:val="24"/>
      <w:lang w:val="en-US" w:eastAsia="zh-CN" w:bidi="ar-SA"/>
    </w:rPr>
  </w:style>
  <w:style w:type="paragraph" w:customStyle="1" w:styleId="27">
    <w:name w:val="样式 8 10 磅"/>
    <w:pPr>
      <w:widowControl w:val="0"/>
      <w:jc w:val="both"/>
    </w:pPr>
    <w:rPr>
      <w:rFonts w:ascii="Calibri" w:eastAsia="宋体" w:cs="Arial" w:hAnsi="Calibri"/>
      <w:kern w:val="2"/>
      <w:sz w:val="21"/>
      <w:szCs w:val="24"/>
      <w:lang w:val="en-US" w:eastAsia="zh-CN" w:bidi="ar-SA"/>
    </w:rPr>
  </w:style>
  <w:style w:type="paragraph" w:customStyle="1" w:styleId="28">
    <w:name w:val="样式 9 10 磅"/>
    <w:pPr>
      <w:widowControl w:val="0"/>
      <w:jc w:val="both"/>
    </w:pPr>
    <w:rPr>
      <w:rFonts w:ascii="Calibri" w:eastAsia="宋体" w:cs="Arial" w:hAnsi="Calibri"/>
      <w:kern w:val="2"/>
      <w:sz w:val="21"/>
      <w:szCs w:val="24"/>
      <w:lang w:val="en-US" w:eastAsia="zh-CN" w:bidi="ar-SA"/>
    </w:rPr>
  </w:style>
  <w:style w:type="paragraph" w:customStyle="1" w:styleId="29">
    <w:name w:val="样式 10 10 磅"/>
    <w:pPr>
      <w:widowControl w:val="0"/>
      <w:jc w:val="both"/>
    </w:pPr>
    <w:rPr>
      <w:rFonts w:ascii="Calibri" w:eastAsia="宋体" w:cs="Arial" w:hAnsi="Calibri"/>
      <w:kern w:val="2"/>
      <w:sz w:val="21"/>
      <w:szCs w:val="24"/>
      <w:lang w:val="en-US" w:eastAsia="zh-CN" w:bidi="ar-SA"/>
    </w:rPr>
  </w:style>
  <w:style w:type="paragraph" w:customStyle="1" w:styleId="30">
    <w:name w:val="样式 11 10 磅"/>
    <w:pPr>
      <w:widowControl w:val="0"/>
      <w:jc w:val="both"/>
    </w:pPr>
    <w:rPr>
      <w:rFonts w:ascii="Calibri" w:eastAsia="宋体" w:cs="Arial" w:hAnsi="Calibri"/>
      <w:kern w:val="2"/>
      <w:sz w:val="21"/>
      <w:szCs w:val="24"/>
      <w:lang w:val="en-US" w:eastAsia="zh-CN" w:bidi="ar-SA"/>
    </w:rPr>
  </w:style>
  <w:style w:type="paragraph" w:customStyle="1" w:styleId="31">
    <w:name w:val="样式 12 10 磅"/>
    <w:pPr>
      <w:widowControl w:val="0"/>
      <w:jc w:val="both"/>
    </w:pPr>
    <w:rPr>
      <w:rFonts w:ascii="Calibri" w:eastAsia="宋体" w:cs="Arial" w:hAnsi="Calibri"/>
      <w:kern w:val="2"/>
      <w:sz w:val="21"/>
      <w:szCs w:val="24"/>
      <w:lang w:val="en-US" w:eastAsia="zh-CN" w:bidi="ar-SA"/>
    </w:rPr>
  </w:style>
  <w:style w:type="paragraph" w:customStyle="1" w:styleId="32">
    <w:name w:val="样式 13 10 磅"/>
    <w:pPr>
      <w:widowControl w:val="0"/>
      <w:jc w:val="both"/>
    </w:pPr>
    <w:rPr>
      <w:rFonts w:ascii="Calibri" w:eastAsia="宋体" w:cs="Arial" w:hAnsi="Calibri"/>
      <w:kern w:val="2"/>
      <w:sz w:val="21"/>
      <w:szCs w:val="24"/>
      <w:lang w:val="en-US" w:eastAsia="zh-CN" w:bidi="ar-SA"/>
    </w:rPr>
  </w:style>
  <w:style w:type="paragraph" w:customStyle="1" w:styleId="33">
    <w:name w:val="样式 14 10 磅"/>
    <w:pPr>
      <w:widowControl w:val="0"/>
      <w:jc w:val="both"/>
    </w:pPr>
    <w:rPr>
      <w:rFonts w:ascii="Calibri" w:eastAsia="宋体" w:cs="Arial" w:hAnsi="Calibri"/>
      <w:kern w:val="2"/>
      <w:sz w:val="21"/>
      <w:szCs w:val="24"/>
      <w:lang w:val="en-US" w:eastAsia="zh-CN" w:bidi="ar-SA"/>
    </w:rPr>
  </w:style>
  <w:style w:type="paragraph" w:customStyle="1" w:styleId="34">
    <w:name w:val="样式 15 10 磅"/>
    <w:pPr>
      <w:widowControl w:val="0"/>
      <w:jc w:val="both"/>
    </w:pPr>
    <w:rPr>
      <w:rFonts w:ascii="Calibri" w:eastAsia="宋体" w:cs="Arial" w:hAnsi="Calibri"/>
      <w:kern w:val="2"/>
      <w:sz w:val="21"/>
      <w:szCs w:val="24"/>
      <w:lang w:val="en-US" w:eastAsia="zh-CN" w:bidi="ar-SA"/>
    </w:rPr>
  </w:style>
  <w:style w:type="paragraph" w:customStyle="1" w:styleId="35">
    <w:name w:val="样式 16 10 磅"/>
    <w:pPr>
      <w:widowControl w:val="0"/>
      <w:jc w:val="both"/>
    </w:pPr>
    <w:rPr>
      <w:rFonts w:ascii="Calibri" w:eastAsia="宋体" w:cs="Arial" w:hAnsi="Calibri"/>
      <w:kern w:val="2"/>
      <w:sz w:val="21"/>
      <w:szCs w:val="24"/>
      <w:lang w:val="en-US" w:eastAsia="zh-CN" w:bidi="ar-SA"/>
    </w:rPr>
  </w:style>
  <w:style w:type="paragraph" w:customStyle="1" w:styleId="36">
    <w:name w:val="样式 17 10 磅"/>
    <w:pPr>
      <w:widowControl w:val="0"/>
      <w:jc w:val="both"/>
    </w:pPr>
    <w:rPr>
      <w:rFonts w:ascii="Calibri" w:eastAsia="宋体" w:cs="Arial" w:hAnsi="Calibri"/>
      <w:kern w:val="2"/>
      <w:sz w:val="21"/>
      <w:szCs w:val="24"/>
      <w:lang w:val="en-US" w:eastAsia="zh-CN" w:bidi="ar-SA"/>
    </w:rPr>
  </w:style>
  <w:style w:type="paragraph" w:customStyle="1" w:styleId="37">
    <w:name w:val="样式 三号"/>
    <w:pPr>
      <w:widowControl w:val="0"/>
      <w:spacing w:line="560" w:lineRule="exact"/>
      <w:jc w:val="both"/>
    </w:pPr>
    <w:rPr>
      <w:rFonts w:ascii="Times New Roman" w:eastAsia="方正仿宋_GBK" w:cs="Times New Roman" w:hAnsi="Times New Roman"/>
      <w:kern w:val="2"/>
      <w:sz w:val="32"/>
      <w:lang w:val="en-US" w:eastAsia="zh-CN" w:bidi="ar-SA"/>
    </w:rPr>
  </w:style>
  <w:style w:type="paragraph" w:customStyle="1" w:styleId="38">
    <w:name w:val="样式 1 三号"/>
    <w:pPr>
      <w:widowControl w:val="0"/>
      <w:spacing w:line="560" w:lineRule="exact"/>
      <w:jc w:val="both"/>
    </w:pPr>
    <w:rPr>
      <w:rFonts w:ascii="Times New Roman" w:eastAsia="方正仿宋_GBK" w:cs="Times New Roman" w:hAnsi="Times New Roman"/>
      <w:kern w:val="2"/>
      <w:sz w:val="32"/>
      <w:lang w:val="en-US" w:eastAsia="zh-CN" w:bidi="ar-SA"/>
    </w:rPr>
  </w:style>
  <w:style w:type="paragraph" w:customStyle="1" w:styleId="39">
    <w:name w:val="样式 18 10 磅"/>
    <w:pPr>
      <w:widowControl w:val="0"/>
      <w:jc w:val="both"/>
    </w:pPr>
    <w:rPr>
      <w:rFonts w:ascii="Calibri" w:eastAsia="宋体" w:cs="Arial" w:hAnsi="Calibri"/>
      <w:kern w:val="2"/>
      <w:sz w:val="21"/>
      <w:szCs w:val="24"/>
      <w:lang w:val="en-US" w:eastAsia="zh-CN" w:bidi="ar-SA"/>
    </w:rPr>
  </w:style>
  <w:style w:type="paragraph" w:customStyle="1" w:styleId="40">
    <w:name w:val="样式 19 10 磅"/>
    <w:pPr>
      <w:widowControl w:val="0"/>
      <w:jc w:val="both"/>
    </w:pPr>
    <w:rPr>
      <w:rFonts w:ascii="Calibri" w:eastAsia="宋体" w:cs="Arial" w:hAnsi="Calibri"/>
      <w:kern w:val="2"/>
      <w:sz w:val="21"/>
      <w:szCs w:val="24"/>
      <w:lang w:val="en-US" w:eastAsia="zh-CN" w:bidi="ar-SA"/>
    </w:rPr>
  </w:style>
  <w:style w:type="paragraph" w:customStyle="1" w:styleId="41">
    <w:name w:val="样式 20 10 磅"/>
    <w:pPr>
      <w:widowControl w:val="0"/>
      <w:jc w:val="both"/>
    </w:pPr>
    <w:rPr>
      <w:rFonts w:ascii="Calibri" w:eastAsia="宋体" w:cs="Arial" w:hAnsi="Calibri"/>
      <w:kern w:val="2"/>
      <w:sz w:val="21"/>
      <w:szCs w:val="24"/>
      <w:lang w:val="en-US" w:eastAsia="zh-CN" w:bidi="ar-SA"/>
    </w:rPr>
  </w:style>
  <w:style w:type="paragraph" w:customStyle="1" w:styleId="42">
    <w:name w:val="样式 21 10 磅"/>
    <w:pPr>
      <w:widowControl w:val="0"/>
      <w:jc w:val="both"/>
    </w:pPr>
    <w:rPr>
      <w:rFonts w:ascii="Calibri" w:eastAsia="宋体" w:cs="Arial" w:hAnsi="Calibri"/>
      <w:kern w:val="2"/>
      <w:sz w:val="21"/>
      <w:szCs w:val="24"/>
      <w:lang w:val="en-US" w:eastAsia="zh-CN" w:bidi="ar-SA"/>
    </w:rPr>
  </w:style>
  <w:style w:type="paragraph" w:customStyle="1" w:styleId="43">
    <w:name w:val="样式 22 10 磅"/>
    <w:pPr>
      <w:widowControl w:val="0"/>
      <w:jc w:val="both"/>
    </w:pPr>
    <w:rPr>
      <w:rFonts w:ascii="Calibri" w:eastAsia="宋体" w:cs="Arial" w:hAnsi="Calibri"/>
      <w:kern w:val="2"/>
      <w:sz w:val="21"/>
      <w:szCs w:val="24"/>
      <w:lang w:val="en-US" w:eastAsia="zh-CN" w:bidi="ar-SA"/>
    </w:rPr>
  </w:style>
  <w:style w:type="paragraph" w:customStyle="1" w:styleId="44">
    <w:name w:val="样式 小四"/>
    <w:pPr>
      <w:widowControl w:val="0"/>
      <w:spacing w:line="240" w:lineRule="auto"/>
      <w:jc w:val="left"/>
    </w:pPr>
    <w:rPr>
      <w:rFonts w:ascii="宋体" w:eastAsia="宋体" w:cs="Times New Roman"/>
      <w:kern w:val="2"/>
      <w:sz w:val="24"/>
      <w:szCs w:val="21"/>
      <w:lang w:val="en-US" w:eastAsia="zh-CN" w:bidi="ar-SA"/>
    </w:rPr>
  </w:style>
  <w:style w:type="paragraph" w:customStyle="1" w:styleId="45">
    <w:name w:val="样式 23 10 磅"/>
    <w:pPr>
      <w:widowControl w:val="0"/>
      <w:jc w:val="both"/>
    </w:pPr>
    <w:rPr>
      <w:rFonts w:ascii="Calibri" w:eastAsia="宋体" w:cs="Arial" w:hAnsi="Calibri"/>
      <w:kern w:val="2"/>
      <w:sz w:val="21"/>
      <w:szCs w:val="24"/>
      <w:lang w:val="en-US" w:eastAsia="zh-CN" w:bidi="ar-SA"/>
    </w:rPr>
  </w:style>
  <w:style w:type="paragraph" w:customStyle="1" w:styleId="46">
    <w:name w:val="样式 24 10 磅"/>
    <w:pPr>
      <w:widowControl w:val="0"/>
      <w:jc w:val="both"/>
    </w:pPr>
    <w:rPr>
      <w:rFonts w:ascii="Calibri" w:eastAsia="宋体" w:cs="Arial" w:hAnsi="Calibri"/>
      <w:kern w:val="2"/>
      <w:sz w:val="21"/>
      <w:szCs w:val="24"/>
      <w:lang w:val="en-US" w:eastAsia="zh-CN" w:bidi="ar-SA"/>
    </w:rPr>
  </w:style>
  <w:style w:type="paragraph" w:customStyle="1" w:styleId="47">
    <w:name w:val="样式 2 三号"/>
    <w:pPr>
      <w:widowControl w:val="0"/>
      <w:spacing w:line="560" w:lineRule="exact"/>
      <w:jc w:val="both"/>
    </w:pPr>
    <w:rPr>
      <w:rFonts w:ascii="Times New Roman" w:eastAsia="方正仿宋_GBK" w:cs="Times New Roman" w:hAnsi="Times New Roman"/>
      <w:kern w:val="2"/>
      <w:sz w:val="32"/>
      <w:lang w:val="en-US" w:eastAsia="zh-CN" w:bidi="ar-SA"/>
    </w:rPr>
  </w:style>
  <w:style w:type="paragraph" w:customStyle="1" w:styleId="48">
    <w:name w:val="样式 3 三号"/>
    <w:pPr>
      <w:widowControl w:val="0"/>
      <w:spacing w:line="560" w:lineRule="exact"/>
      <w:jc w:val="both"/>
    </w:pPr>
    <w:rPr>
      <w:rFonts w:ascii="Times New Roman" w:eastAsia="方正仿宋_GBK" w:cs="Times New Roman" w:hAnsi="Times New Roman"/>
      <w:kern w:val="2"/>
      <w:sz w:val="32"/>
      <w:lang w:val="en-US" w:eastAsia="zh-CN" w:bidi="ar-SA"/>
    </w:rPr>
  </w:style>
  <w:style w:type="paragraph" w:customStyle="1" w:styleId="49">
    <w:name w:val="样式 25 10 磅"/>
    <w:pPr>
      <w:widowControl w:val="0"/>
      <w:jc w:val="both"/>
    </w:pPr>
    <w:rPr>
      <w:rFonts w:ascii="Calibri" w:eastAsia="宋体" w:cs="Arial" w:hAnsi="Calibri"/>
      <w:kern w:val="2"/>
      <w:sz w:val="21"/>
      <w:szCs w:val="24"/>
      <w:lang w:val="en-US" w:eastAsia="zh-CN" w:bidi="ar-SA"/>
    </w:rPr>
  </w:style>
  <w:style w:type="paragraph" w:customStyle="1" w:styleId="50">
    <w:name w:val="样式 26 10 磅"/>
    <w:pPr>
      <w:widowControl w:val="0"/>
      <w:jc w:val="both"/>
    </w:pPr>
    <w:rPr>
      <w:rFonts w:ascii="Calibri" w:eastAsia="宋体" w:cs="Arial" w:hAnsi="Calibri"/>
      <w:kern w:val="2"/>
      <w:sz w:val="21"/>
      <w:szCs w:val="24"/>
      <w:lang w:val="en-US" w:eastAsia="zh-CN" w:bidi="ar-SA"/>
    </w:rPr>
  </w:style>
  <w:style w:type="paragraph" w:customStyle="1" w:styleId="51">
    <w:name w:val="样式 27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pPr>
    <w:rPr>
      <w:rFonts w:ascii="Calibri" w:eastAsia="宋体" w:cs="Times New Roman" w:hAnsi="Calibri"/>
      <w:snapToGrid/>
      <w:color w:val="auto"/>
      <w:spacing w:val="0"/>
      <w:w w:val="100"/>
      <w:kern w:val="2"/>
      <w:position w:val="0"/>
      <w:sz w:val="21"/>
      <w:szCs w:val="22"/>
      <w:u w:val="none" w:color="auto"/>
      <w:vertAlign w:val="baseline"/>
      <w:lang w:val="en-US" w:eastAsia="zh-CN" w:bidi="ar-SA"/>
    </w:rPr>
  </w:style>
  <w:style w:type="paragraph" w:customStyle="1" w:styleId="52">
    <w:name w:val="样式 28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pPr>
    <w:rPr>
      <w:rFonts w:ascii="Calibri" w:eastAsia="宋体" w:cs="Times New Roman" w:hAnsi="Calibri"/>
      <w:snapToGrid/>
      <w:color w:val="auto"/>
      <w:spacing w:val="0"/>
      <w:w w:val="100"/>
      <w:kern w:val="2"/>
      <w:position w:val="0"/>
      <w:sz w:val="21"/>
      <w:szCs w:val="22"/>
      <w:u w:val="none" w:color="auto"/>
      <w:vertAlign w:val="baseline"/>
      <w:lang w:val="en-US" w:eastAsia="zh-CN" w:bidi="ar-SA"/>
    </w:rPr>
  </w:style>
  <w:style w:type="paragraph" w:customStyle="1" w:styleId="53">
    <w:name w:val="样式 29 10 磅"/>
    <w:pPr>
      <w:widowControl w:val="0"/>
      <w:jc w:val="both"/>
    </w:pPr>
    <w:rPr>
      <w:rFonts w:ascii="Calibri" w:eastAsia="宋体" w:cs="Arial" w:hAnsi="Calibri"/>
      <w:kern w:val="2"/>
      <w:sz w:val="21"/>
      <w:szCs w:val="24"/>
      <w:lang w:val="en-US" w:eastAsia="zh-CN" w:bidi="ar-SA"/>
    </w:rPr>
  </w:style>
  <w:style w:type="paragraph" w:customStyle="1" w:styleId="54">
    <w:name w:val="样式 30 10 磅"/>
    <w:pPr>
      <w:widowControl w:val="0"/>
      <w:jc w:val="both"/>
    </w:pPr>
    <w:rPr>
      <w:rFonts w:ascii="Calibri" w:eastAsia="宋体" w:cs="Arial" w:hAnsi="Calibri"/>
      <w:kern w:val="2"/>
      <w:sz w:val="21"/>
      <w:szCs w:val="24"/>
      <w:lang w:val="en-US" w:eastAsia="zh-CN" w:bidi="ar-SA"/>
    </w:rPr>
  </w:style>
  <w:style w:type="paragraph" w:customStyle="1" w:styleId="55">
    <w:name w:val="样式 31 10 磅"/>
    <w:pPr>
      <w:widowControl w:val="0"/>
      <w:jc w:val="both"/>
    </w:pPr>
    <w:rPr>
      <w:rFonts w:ascii="Calibri" w:eastAsia="宋体" w:cs="Arial" w:hAnsi="Calibri"/>
      <w:kern w:val="2"/>
      <w:sz w:val="21"/>
      <w:szCs w:val="24"/>
      <w:lang w:val="en-US" w:eastAsia="zh-CN" w:bidi="ar-SA"/>
    </w:rPr>
  </w:style>
  <w:style w:type="paragraph" w:customStyle="1" w:styleId="56">
    <w:name w:val="样式 32 10 磅"/>
    <w:pPr>
      <w:widowControl w:val="0"/>
      <w:jc w:val="both"/>
    </w:pPr>
    <w:rPr>
      <w:rFonts w:ascii="Calibri" w:eastAsia="宋体" w:cs="Arial" w:hAnsi="Calibri"/>
      <w:kern w:val="2"/>
      <w:sz w:val="21"/>
      <w:szCs w:val="24"/>
      <w:lang w:val="en-US" w:eastAsia="zh-CN" w:bidi="ar-SA"/>
    </w:rPr>
  </w:style>
  <w:style w:type="character" w:styleId="57">
    <w:name w:val="page number"/>
    <w:basedOn w:val="10"/>
  </w:style>
  <w:style w:type="paragraph" w:customStyle="1" w:styleId="58">
    <w:name w:val="样式 33 10 磅"/>
    <w:pPr>
      <w:widowControl w:val="0"/>
      <w:jc w:val="both"/>
    </w:pPr>
    <w:rPr>
      <w:rFonts w:ascii="Calibri" w:eastAsia="宋体" w:cs="Arial" w:hAnsi="Calibri"/>
      <w:kern w:val="2"/>
      <w:sz w:val="21"/>
      <w:szCs w:val="22"/>
      <w:lang w:val="en-US" w:eastAsia="zh-CN" w:bidi="ar-SA"/>
    </w:rPr>
  </w:style>
  <w:style w:type="paragraph" w:customStyle="1" w:styleId="59">
    <w:name w:val="样式 34 10 磅"/>
    <w:pPr>
      <w:widowControl w:val="0"/>
      <w:jc w:val="both"/>
    </w:pPr>
    <w:rPr>
      <w:rFonts w:ascii="Calibri" w:eastAsia="宋体" w:cs="Arial" w:hAnsi="Calibri"/>
      <w:kern w:val="2"/>
      <w:sz w:val="21"/>
      <w:szCs w:val="24"/>
      <w:lang w:val="en-US" w:eastAsia="zh-CN" w:bidi="ar-SA"/>
    </w:rPr>
  </w:style>
  <w:style w:type="paragraph" w:customStyle="1" w:styleId="60">
    <w:name w:val="样式 35 10 磅"/>
    <w:pPr>
      <w:widowControl w:val="0"/>
      <w:jc w:val="both"/>
    </w:pPr>
    <w:rPr>
      <w:rFonts w:ascii="Calibri" w:eastAsia="宋体" w:cs="Arial" w:hAnsi="Calibri"/>
      <w:kern w:val="2"/>
      <w:sz w:val="21"/>
      <w:szCs w:val="24"/>
      <w:lang w:val="en-US" w:eastAsia="zh-CN" w:bidi="ar-SA"/>
    </w:rPr>
  </w:style>
  <w:style w:type="paragraph" w:customStyle="1" w:styleId="61">
    <w:name w:val="样式 36 10 磅"/>
    <w:pPr>
      <w:widowControl w:val="0"/>
      <w:jc w:val="both"/>
    </w:pPr>
    <w:rPr>
      <w:rFonts w:ascii="Calibri" w:eastAsia="宋体" w:cs="Arial" w:hAnsi="Calibri"/>
      <w:kern w:val="2"/>
      <w:sz w:val="21"/>
      <w:szCs w:val="22"/>
      <w:lang w:val="en-US" w:eastAsia="zh-CN" w:bidi="ar-SA"/>
    </w:rPr>
  </w:style>
  <w:style w:type="paragraph" w:customStyle="1" w:styleId="62">
    <w:name w:val="样式 37 10 磅"/>
    <w:pPr>
      <w:widowControl w:val="0"/>
      <w:jc w:val="both"/>
    </w:pPr>
    <w:rPr>
      <w:rFonts w:ascii="Calibri" w:eastAsia="宋体" w:cs="Arial" w:hAnsi="Calibri"/>
      <w:kern w:val="2"/>
      <w:sz w:val="21"/>
      <w:szCs w:val="24"/>
      <w:lang w:val="en-US" w:eastAsia="zh-CN" w:bidi="ar-SA"/>
    </w:rPr>
  </w:style>
  <w:style w:type="paragraph" w:customStyle="1" w:styleId="63">
    <w:name w:val="样式 38 10 磅"/>
    <w:pPr>
      <w:widowControl w:val="0"/>
      <w:jc w:val="both"/>
    </w:pPr>
    <w:rPr>
      <w:rFonts w:ascii="Calibri" w:eastAsia="宋体" w:cs="Arial" w:hAnsi="Calibri"/>
      <w:kern w:val="2"/>
      <w:sz w:val="21"/>
      <w:szCs w:val="24"/>
      <w:lang w:val="en-US" w:eastAsia="zh-CN" w:bidi="ar-SA"/>
    </w:rPr>
  </w:style>
  <w:style w:type="paragraph" w:customStyle="1" w:styleId="64">
    <w:name w:val="样式 39 10 磅"/>
    <w:pPr>
      <w:widowControl w:val="0"/>
      <w:jc w:val="both"/>
    </w:pPr>
    <w:rPr>
      <w:rFonts w:ascii="Calibri" w:eastAsia="宋体" w:cs="Arial" w:hAnsi="Calibri"/>
      <w:kern w:val="2"/>
      <w:sz w:val="21"/>
      <w:szCs w:val="24"/>
      <w:lang w:val="en-US" w:eastAsia="zh-CN" w:bidi="ar-SA"/>
    </w:rPr>
  </w:style>
  <w:style w:type="paragraph" w:customStyle="1" w:styleId="65">
    <w:name w:val="样式 40 10 磅"/>
    <w:pPr>
      <w:widowControl w:val="0"/>
      <w:jc w:val="both"/>
    </w:pPr>
    <w:rPr>
      <w:rFonts w:ascii="Calibri" w:eastAsia="宋体" w:cs="Arial" w:hAnsi="Calibri"/>
      <w:kern w:val="2"/>
      <w:sz w:val="21"/>
      <w:szCs w:val="24"/>
      <w:lang w:val="en-US" w:eastAsia="zh-CN" w:bidi="ar-SA"/>
    </w:rPr>
  </w:style>
  <w:style w:type="paragraph" w:customStyle="1" w:styleId="66">
    <w:name w:val="样式 41 10 磅"/>
    <w:pPr>
      <w:widowControl w:val="0"/>
      <w:jc w:val="both"/>
    </w:pPr>
    <w:rPr>
      <w:rFonts w:ascii="Calibri" w:eastAsia="宋体" w:cs="Arial" w:hAnsi="Calibri"/>
      <w:kern w:val="2"/>
      <w:sz w:val="21"/>
      <w:szCs w:val="24"/>
      <w:lang w:val="en-US" w:eastAsia="zh-CN" w:bidi="ar-SA"/>
    </w:rPr>
  </w:style>
  <w:style w:type="paragraph" w:customStyle="1" w:styleId="67">
    <w:name w:val="样式 42 10 磅"/>
    <w:pPr>
      <w:widowControl w:val="0"/>
      <w:jc w:val="both"/>
    </w:pPr>
    <w:rPr>
      <w:rFonts w:ascii="Calibri" w:eastAsia="宋体" w:cs="Arial" w:hAnsi="Calibri"/>
      <w:kern w:val="2"/>
      <w:sz w:val="21"/>
      <w:szCs w:val="24"/>
      <w:lang w:val="en-US" w:eastAsia="zh-CN" w:bidi="ar-SA"/>
    </w:rPr>
  </w:style>
  <w:style w:type="paragraph" w:customStyle="1" w:styleId="68">
    <w:name w:val="样式 43 10 磅"/>
    <w:pPr>
      <w:widowControl w:val="0"/>
      <w:jc w:val="both"/>
    </w:pPr>
    <w:rPr>
      <w:rFonts w:ascii="Calibri" w:eastAsia="宋体" w:cs="Arial" w:hAnsi="Calibri"/>
      <w:kern w:val="2"/>
      <w:sz w:val="21"/>
      <w:szCs w:val="24"/>
      <w:lang w:val="en-US" w:eastAsia="zh-CN" w:bidi="ar-SA"/>
    </w:rPr>
  </w:style>
  <w:style w:type="paragraph" w:customStyle="1" w:styleId="69">
    <w:name w:val="样式 44 10 磅"/>
    <w:pPr>
      <w:widowControl w:val="0"/>
      <w:jc w:val="both"/>
    </w:pPr>
    <w:rPr>
      <w:rFonts w:ascii="Calibri" w:eastAsia="宋体" w:cs="Arial" w:hAnsi="Calibri"/>
      <w:kern w:val="2"/>
      <w:sz w:val="21"/>
      <w:szCs w:val="24"/>
      <w:lang w:val="en-US" w:eastAsia="zh-CN" w:bidi="ar-SA"/>
    </w:rPr>
  </w:style>
  <w:style w:type="paragraph" w:customStyle="1" w:styleId="70">
    <w:name w:val="样式 45 10 磅"/>
    <w:pPr>
      <w:widowControl w:val="0"/>
      <w:jc w:val="both"/>
    </w:pPr>
    <w:rPr>
      <w:rFonts w:ascii="Calibri" w:eastAsia="宋体" w:cs="Arial" w:hAnsi="Calibri"/>
      <w:kern w:val="2"/>
      <w:sz w:val="21"/>
      <w:szCs w:val="24"/>
      <w:lang w:val="en-US" w:eastAsia="zh-CN" w:bidi="ar-SA"/>
    </w:rPr>
  </w:style>
  <w:style w:type="paragraph" w:customStyle="1" w:styleId="71">
    <w:name w:val="样式 46 10 磅"/>
    <w:pPr>
      <w:widowControl w:val="0"/>
      <w:jc w:val="both"/>
    </w:pPr>
    <w:rPr>
      <w:rFonts w:ascii="Calibri" w:eastAsia="宋体" w:cs="Arial" w:hAnsi="Calibri"/>
      <w:kern w:val="2"/>
      <w:sz w:val="21"/>
      <w:szCs w:val="24"/>
      <w:lang w:val="en-US" w:eastAsia="zh-CN" w:bidi="ar-SA"/>
    </w:rPr>
  </w:style>
  <w:style w:type="paragraph" w:customStyle="1" w:styleId="72">
    <w:name w:val="样式 47 10 磅"/>
    <w:pPr>
      <w:widowControl w:val="0"/>
      <w:jc w:val="both"/>
    </w:pPr>
    <w:rPr>
      <w:rFonts w:ascii="Calibri" w:eastAsia="宋体" w:cs="Arial" w:hAnsi="Calibri"/>
      <w:kern w:val="2"/>
      <w:sz w:val="21"/>
      <w:szCs w:val="24"/>
      <w:lang w:val="en-US" w:eastAsia="zh-CN" w:bidi="ar-SA"/>
    </w:rPr>
  </w:style>
  <w:style w:type="paragraph" w:customStyle="1" w:styleId="73">
    <w:name w:val="样式 4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74">
    <w:name w:val="样式 48 10 磅"/>
    <w:pPr>
      <w:widowControl w:val="0"/>
      <w:jc w:val="both"/>
    </w:pPr>
    <w:rPr>
      <w:rFonts w:ascii="Calibri" w:eastAsia="宋体" w:cs="Arial" w:hAnsi="Calibri"/>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697</TotalTime>
  <Application>Yozo_Office</Application>
  <Pages>4</Pages>
  <Words>2301</Words>
  <Characters>2388</Characters>
  <Lines>111</Lines>
  <Paragraphs>57</Paragraphs>
  <CharactersWithSpaces>2404</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阿牧古龙</dc:creator>
  <cp:lastModifiedBy>昂昵德诺敏</cp:lastModifiedBy>
  <cp:revision>2</cp:revision>
  <cp:lastPrinted>2025-11-25T01:02:40Z</cp:lastPrinted>
  <dcterms:created xsi:type="dcterms:W3CDTF">2025-05-16T10:09:00Z</dcterms:created>
  <dcterms:modified xsi:type="dcterms:W3CDTF">2025-11-25T07:07:25Z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2052-11.8.2.12065</vt:lpwstr>
  </property>
  <property fmtid="{D5CDD505-2E9C-101B-9397-08002B2CF9AE}" pid="3" name="ICV">
    <vt:lpwstr>8BFDB32D35E2409A96B744D0C7FC1FE2</vt:lpwstr>
  </property>
</Properties>
</file>