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呼和浩特白塔机场海关2026年度仪器设备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校准校验服务项目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80520元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pStyle w:val="77"/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pStyle w:val="78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宋体" w:eastAsia="宋体" w:cs="方正仿宋_GBK" w:hint="eastAsia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pStyle w:val="78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综合评分法（权重：价格XX%、评审因素XX%）</w:t>
            </w:r>
          </w:p>
        </w:tc>
      </w:tr>
      <w:tr>
        <w:trPr>
          <w:trHeight w:val="401"/>
        </w:trPr>
        <w:tc>
          <w:tcPr>
            <w:tcW w:w="9060" w:type="dxa"/>
            <w:gridSpan w:val="2"/>
            <w:vAlign w:val="center"/>
          </w:tcPr>
          <w:p>
            <w:pPr>
              <w:pStyle w:val="76"/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01"/>
        </w:trPr>
        <w:tc>
          <w:tcPr>
            <w:tcW w:w="2198" w:type="dxa"/>
            <w:vAlign w:val="center"/>
          </w:tcPr>
          <w:p>
            <w:pPr>
              <w:pStyle w:val="76"/>
              <w:spacing w:line="560" w:lineRule="exact"/>
              <w:jc w:val="center"/>
              <w:rPr>
                <w:rFonts w:ascii="方正楷体_GBK" w:eastAsia="方正楷体_GBK" w:cs="方正楷体_GBK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pStyle w:val="76"/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pStyle w:val="76"/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 xml:space="preserve"> 2.详细需求栏中所有加“★”项的需求均为实质性要求，不满足实质性要求的响应文件将按无效响应文件处理。 </w:t>
            </w:r>
          </w:p>
          <w:p>
            <w:pPr>
              <w:pStyle w:val="76"/>
              <w:spacing w:line="560" w:lineRule="exact"/>
              <w:jc w:val="left"/>
              <w:rPr>
                <w:rFonts w:ascii="方正楷体_GBK" w:eastAsia="方正楷体_GBK" w:cs="方正楷体_GBK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3.本项目根据海关业务工作需要，对35台仪器设备开展2026年度校准校验工作，对通过资格审查、全部实质性需求符合性审查的有效响应文件，按照报价由低到高排序，最低报价供应商为成交候选人，无打分评审环节。 。</w:t>
            </w:r>
          </w:p>
        </w:tc>
      </w:tr>
      <w:tr>
        <w:trPr>
          <w:trHeight w:val="401"/>
        </w:trPr>
        <w:tc>
          <w:tcPr>
            <w:tcW w:w="2198" w:type="dxa"/>
            <w:vAlign w:val="center"/>
          </w:tcPr>
          <w:p>
            <w:pPr>
              <w:pStyle w:val="76"/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pStyle w:val="76"/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1.在中国境内注册的独立法人，具有独立承担民事责任的能力。</w:t>
            </w:r>
          </w:p>
          <w:p>
            <w:pPr>
              <w:pStyle w:val="76"/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2.未被列为失信被执行人，无严重违法失信记录。</w:t>
            </w:r>
          </w:p>
          <w:p>
            <w:pPr>
              <w:pStyle w:val="76"/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3.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具备计量服务统筹能力，可协调同时具备CMA、CNAS计量校准资质的机构开展校准，合作机构资质能力须覆盖本次全部35台设备，响应文件中需提交资质证明材料。</w:t>
            </w:r>
          </w:p>
        </w:tc>
      </w:tr>
      <w:tr>
        <w:trPr>
          <w:trHeight w:val="401"/>
        </w:trPr>
        <w:tc>
          <w:tcPr>
            <w:tcW w:w="2198" w:type="dxa"/>
            <w:vAlign w:val="center"/>
          </w:tcPr>
          <w:p>
            <w:pPr>
              <w:pStyle w:val="91"/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pStyle w:val="7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  <w:vAlign w:val="center"/>
          </w:tcPr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1"/>
                <w:szCs w:val="21"/>
              </w:rPr>
              <w:t> 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一、校准服务范围（合计35台/件设备）  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（一）监管一科（共8台） 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 直读式γ射线个人剂量计（仁机RJ31-1305）2台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 表面粘污仪（SEA CoMo-170）1台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3. 手持式核素识别仪（identiFINDER-R 400-N）1台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4. 门式行包核辐射探测设备（上海仁机RJ12）2台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5. 台秤 2台 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（二）监管二科（共7台） 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 通道式行人放射性监测系统（PR400）1台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 行人与行李放射性监测装置（RJ12-3004）1台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3. 一体化数字式辐射巡测仪（便携式A、Y剂量率，RJ32-3602）1台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4. 个人计量报警仪（NCR11）2台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5. 台秤（ACS-30）1台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6. 台秤 1台 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（三）旅检科（共20台/件） 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 手持式化学探测器（ChemPro100）1台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 手持式巡检设备（identiFINDER）1台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3. 手持式核素识别仪（BG3910）1台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4. 马射线探测仪(密度仪/R中子辐射探测巡检仪)（PDS-100GN）1台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5. PCT-CNG型虎牌军用毒物PID气体检测仪（PCT-RMD）1台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6. 红外热像仪（海康威视H10）1台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7. α、β表面沾污仪（中广核贝谷）1台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8. X、Y辐射个人计量当量检测仪（BG2020）1台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9. 实时荧光PCR仪（AQSS930-16）1台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10. 掌上离心机（D10OSE）1台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11. 掌上离心机（S1010E）1台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12. 电冰箱（BCD-32SWDGZF）1台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13. 红外体温计（YT-3）2支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14. 红外体温计(耳温)（IRT-3030）1支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15. 电子血压计（UT24J）1台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16. 加样枪（艾本德10ul）1支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17. 加样枪（艾本德20ul）1支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18. 加样枪（艾本德200ul）1支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19. 加样枪（艾本德1000ul）1支 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 xml:space="preserve">二、服务时限与分批校准要求 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1.服务商须梳理全部35台仪器设备校准周期，按照各设备证书到期先后顺序制定分批次校准实施计划，错峰安排上门、送检作业，避免多台设备同步停机，保障口岸查验工作连续开展。​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2.所有设备校准、证书出具及归档交付工作，均需严格匹配对应设备校准周期节点完成。​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3.大型通道式辐射监测设备优先协调非通关高峰时段上门校准，小型便携、实验室设备需统一上门收取送检，校准完成后免费送回。​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4.所有现场作业须避开口岸通关高峰，严格控制作业时长，不得干扰口岸正常旅客通关秩序。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三、技术标准与证书要求 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 所有设备校准严格遵循国家现行计量检定规程、校准规范，按设备类型执行对应专项标准；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 全部设备校准完毕后，逐台出具带CMA/CNAS标识的正式校准证书，证书包含设备信息、校准参数、误差数据、合格判定、下次校准提醒日期，数据可全国计量平台溯源；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3. 所有用于校准的标准计量器具均需在有效检定周期内，可随时提供标准器具检定证书备查；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4. 校准判定不合格的设备，服务商须提供免费现场调试、校正，整改后二次校准，直至指标达标，不额外收取任何费用。 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四、费用与配套服务要求 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 全部服务报价包含人工、标准器具、运输、防护、耗材、证书出具、整改调试、培训、危废处置等所有费用，采购人无需额外支付任何款项；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 服务商须安排专人上门提取需外送校准设备，校准完成后完整送回，承担运输、防护、破损风险；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3. 校准过程产生的废旧耗材、废弃实验耗材等危险废弃物，须统一合规无害化处置，并提供官方处置凭证；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4. 完成全部校准工作后，对各科室操作人员开展设备日常自检、读数判断、简单故障识别的免费操作培训；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5. 合同服务周期内，提供免费上门复测、远程技术咨询、现场调试服务。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6. 响应文件纸质份数3份，统一装订，不可散页。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7. 本项目不接受联合体参与比选；成交供应商可统筹委托具备对应CMA/CNAS资质的第三方计量机构开展分项校准工作，约束要求如下：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①成交供应商为本项目唯一履约责任主体，统一对接、统一履约、统一出具全套档案，承担全部质量、安全、证书合规责任；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②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响应文件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须列明全部合作分包计量机构及对应资质证明，未经我方审核通过的单位不得开展校准；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③禁止整体转包，成交单位须配备专职统筹人员全程负责收送设备、上门调度、不合格设备整改、证书汇总；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④分包单位不得再次转包、二次分包校准业务。</w:t>
            </w:r>
          </w:p>
          <w:p>
            <w:pPr>
              <w:pStyle w:val="1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ind w:firstLine="0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8. 单批次校准完成后3个工作日内同步交付纸质校准证书及电子版校准档案，同步附所有分包计量机构资质复印件归档。</w:t>
            </w:r>
          </w:p>
        </w:tc>
      </w:tr>
      <w:tr>
        <w:trPr>
          <w:trHeight w:val="1809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pStyle w:val="93"/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</w:p>
        </w:tc>
      </w:tr>
      <w:tr>
        <w:trPr>
          <w:trHeight w:val="2545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>
            <w:pPr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1、公告期限为3个工作日</w:t>
            </w:r>
          </w:p>
          <w:p>
            <w:pPr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2、响应文件份数3份</w:t>
            </w:r>
            <w:bookmarkStart w:id="0" w:name="_GoBack"/>
            <w:bookmarkEnd w:id="0"/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0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1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2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3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4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5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6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7">
    <w:name w:val="样式 4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8">
    <w:name w:val="样式 4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9">
    <w:name w:val="样式 4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0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1">
    <w:name w:val="样式 4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2">
    <w:name w:val="样式 4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3">
    <w:name w:val="样式 4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4">
    <w:name w:val="样式 4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5">
    <w:name w:val="样式 4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6">
    <w:name w:val="样式 5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7">
    <w:name w:val="样式 5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8">
    <w:name w:val="样式 5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9">
    <w:name w:val="样式 5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0">
    <w:name w:val="样式 5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1">
    <w:name w:val="样式 5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2">
    <w:name w:val="样式 5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3">
    <w:name w:val="样式 5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4">
    <w:name w:val="样式 5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5">
    <w:name w:val="样式 5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6">
    <w:name w:val="样式 6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7">
    <w:name w:val="样式 6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8">
    <w:name w:val="样式 6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9">
    <w:name w:val="样式 6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0">
    <w:name w:val="样式 6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1">
    <w:name w:val="样式 6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2">
    <w:name w:val="样式 6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3">
    <w:name w:val="样式 6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4">
    <w:name w:val="样式 6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5">
    <w:name w:val="样式 6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6">
    <w:name w:val="样式 7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7">
    <w:name w:val="样式 7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8">
    <w:name w:val="样式 7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99">
    <w:name w:val="样式 7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0">
    <w:name w:val="样式 7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1">
    <w:name w:val="样式 7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2">
    <w:name w:val="样式 7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3">
    <w:name w:val="样式 7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4">
    <w:name w:val="样式 7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5">
    <w:name w:val="样式 7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6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">
    <w:name w:val="样式 8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08">
    <w:name w:val="样式 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">
    <w:name w:val="样式 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">
    <w:name w:val="样式 8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1">
    <w:name w:val="样式 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">
    <w:name w:val="样式 8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3">
    <w:name w:val="样式 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">
    <w:name w:val="样式 8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5">
    <w:name w:val="样式 8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6">
    <w:name w:val="样式 8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7">
    <w:name w:val="样式 8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8">
    <w:name w:val="样式 8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19">
    <w:name w:val="样式 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">
    <w:name w:val="样式 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">
    <w:name w:val="样式 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">
    <w:name w:val="样式 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">
    <w:name w:val="样式 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">
    <w:name w:val="样式 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">
    <w:name w:val="样式 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">
    <w:name w:val="样式 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796</TotalTime>
  <Application>Yozo_Office</Application>
  <Pages>6</Pages>
  <Words>1896</Words>
  <Characters>2176</Characters>
  <Lines>59</Lines>
  <Paragraphs>83</Paragraphs>
  <CharactersWithSpaces>2242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昂昵德诺敏</cp:lastModifiedBy>
  <cp:revision>2</cp:revision>
  <cp:lastPrinted>2025-07-28T06:52:58Z</cp:lastPrinted>
  <dcterms:created xsi:type="dcterms:W3CDTF">2025-05-16T10:09:00Z</dcterms:created>
  <dcterms:modified xsi:type="dcterms:W3CDTF">2026-07-17T03:18:57Z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