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afterLines="50" w:after="290" w:line="560" w:lineRule="exact"/>
        <w:ind w:firstLine="720"/>
        <w:jc w:val="center"/>
        <w:rPr>
          <w:rFonts w:ascii="方正小标宋_GBK" w:eastAsia="方正小标宋_GBK" w:cs="方正小标宋_GBK" w:hint="eastAsia"/>
          <w:snapToGrid w:val="0"/>
          <w:sz w:val="36"/>
          <w:szCs w:val="36"/>
          <w:lang w:bidi="ar-SA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海关监管作业场所（场地）抽查结果公示单</w:t>
      </w:r>
    </w:p>
    <w:tbl>
      <w:tblPr>
        <w:jc w:val="center"/>
        <w:tblW w:w="134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424"/>
        <w:gridCol w:w="1620"/>
        <w:gridCol w:w="1534"/>
        <w:gridCol w:w="1876"/>
        <w:gridCol w:w="2048"/>
        <w:gridCol w:w="4241"/>
      </w:tblGrid>
      <w:tr>
        <w:trPr>
          <w:trHeight w:val="570"/>
          <w:tblHeader/>
        </w:trPr>
        <w:tc>
          <w:tcPr>
            <w:tcW w:w="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31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0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主管海关</w:t>
            </w:r>
          </w:p>
        </w:tc>
        <w:tc>
          <w:tcPr>
            <w:tcW w:w="16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9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抽查时间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8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抽查对象</w:t>
            </w:r>
          </w:p>
        </w:tc>
        <w:tc>
          <w:tcPr>
            <w:tcW w:w="18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抽查事项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抽查人员</w:t>
            </w:r>
          </w:p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（工号）</w:t>
            </w:r>
          </w:p>
        </w:tc>
        <w:tc>
          <w:tcPr>
            <w:tcW w:w="4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抽查结果</w:t>
            </w:r>
          </w:p>
        </w:tc>
      </w:tr>
      <w:tr>
        <w:trPr>
          <w:trHeight w:val="2059"/>
        </w:trPr>
        <w:tc>
          <w:tcPr>
            <w:tcW w:w="7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二连海关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2025.12.16</w:t>
            </w:r>
          </w:p>
        </w:tc>
        <w:tc>
          <w:tcPr>
            <w:tcW w:w="15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cs="Times New Roman" w:hAnsi="Times New Roman"/>
                <w:color w:val="000000"/>
                <w:spacing w:val="0"/>
                <w:sz w:val="24"/>
                <w:szCs w:val="24"/>
                <w:shd w:val="clear" w:color="auto" w:fill="DFE8F6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二连铁路口岸旅检作业场地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4.查验作业区设置是否存在不符合设置规范的情况。 7.是否存在信息化管理系统不符合设置规范、不满足海关监管需要的情况。8.旅客通关场地是否存在不符合设置规范、不满足海关监管需要的情况。17.与卫生监督岗人员一并执行对国境口岸储存场地的卫生监督检查时，检查场所（场地）卫生管理是否存在不符合海关规定的情况，是否存在鼠类、蚊蝇等病媒生物防控设施缺失或损坏现象。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napToGrid w:val="0"/>
              <w:spacing w:line="320" w:lineRule="exact"/>
              <w:ind w:firstLineChars="50" w:firstLine="118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薛  敏(0723750)</w:t>
            </w:r>
          </w:p>
          <w:p>
            <w:pPr>
              <w:pStyle w:val="19"/>
              <w:snapToGrid w:val="0"/>
              <w:spacing w:line="320" w:lineRule="exact"/>
              <w:ind w:firstLineChars="50" w:firstLine="118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于园铭(0724920)</w:t>
            </w:r>
          </w:p>
        </w:tc>
        <w:tc>
          <w:tcPr>
            <w:tcW w:w="424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未发现异常</w:t>
            </w:r>
          </w:p>
        </w:tc>
      </w:tr>
    </w:tbl>
    <w:p>
      <w:pPr>
        <w:jc w:val="left"/>
      </w:pPr>
    </w:p>
    <w:sectPr>
      <w:footerReference w:type="default" r:id="rId2"/>
      <w:pgSz w:w="16840" w:h="11907" w:orient="landscape"/>
      <w:pgMar w:top="1758" w:right="1474" w:bottom="1644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等线">
    <w:altName w:val="Courier New"/>
    <w:panose1 w:val="00000000000000000000"/>
    <w:charset w:val="00"/>
    <w:family w:val="auto"/>
    <w:pitch w:val="variable"/>
    <w:sig w:usb0="00000000" w:usb1="00000000" w:usb2="00000000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8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41</TotalTime>
  <Application>Yozo_Office</Application>
  <Pages>1</Pages>
  <Words>251</Words>
  <Characters>281</Characters>
  <Lines>37</Lines>
  <Paragraphs>17</Paragraphs>
  <CharactersWithSpaces>285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王蓉</dc:creator>
  <cp:lastModifiedBy>付玮</cp:lastModifiedBy>
  <cp:revision>1</cp:revision>
  <dcterms:created xsi:type="dcterms:W3CDTF">2025-12-23T12:44:35Z</dcterms:created>
  <dcterms:modified xsi:type="dcterms:W3CDTF">2025-12-24T13:27:34Z</dcterms:modified>
</cp:coreProperties>
</file>