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spacing w:line="560" w:lineRule="exact"/>
        <w:jc w:val="center"/>
        <w:rPr>
          <w:rFonts w:ascii="方正小标宋_GBK" w:eastAsia="方正小标宋_GBK" w:cs="方正小标宋_GBK"/>
          <w:sz w:val="44"/>
          <w:szCs w:val="44"/>
        </w:rPr>
      </w:pPr>
      <w:bookmarkStart w:id="0" w:name="_GoBack"/>
      <w:bookmarkEnd w:id="0"/>
      <w:r>
        <w:rPr>
          <w:rFonts w:ascii="方正小标宋_GBK" w:eastAsia="方正小标宋_GBK" w:cs="方正小标宋_GBK" w:hint="eastAsia"/>
          <w:sz w:val="44"/>
          <w:szCs w:val="44"/>
        </w:rPr>
        <w:t>比选采购需求书</w:t>
      </w:r>
    </w:p>
    <w:tbl>
      <w:tblPr>
        <w:jc w:val="lef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0"/>
        <w:gridCol w:w="6852"/>
      </w:tblGrid>
      <w:tr>
        <w:tc>
          <w:tcPr>
            <w:tcW w:w="8522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楷体_GBK" w:eastAsia="方正楷体_GBK" w:cs="方正楷体_GBK" w:hint="eastAsia"/>
                <w:sz w:val="32"/>
                <w:szCs w:val="32"/>
              </w:rPr>
              <w:t>基础信息栏</w:t>
            </w:r>
          </w:p>
        </w:tc>
      </w:tr>
      <w:tr>
        <w:tc>
          <w:tcPr>
            <w:tcW w:w="1670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项目名称</w:t>
            </w:r>
          </w:p>
        </w:tc>
        <w:tc>
          <w:tcPr>
            <w:tcW w:w="6852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/>
                <w:sz w:val="28"/>
                <w:szCs w:val="28"/>
              </w:rPr>
              <w:t>二连海关2026年度辐射工作人员健康体检服务项目比选采购公告</w:t>
            </w:r>
          </w:p>
        </w:tc>
      </w:tr>
      <w:tr>
        <w:tc>
          <w:tcPr>
            <w:tcW w:w="1670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采购预算</w:t>
            </w:r>
          </w:p>
        </w:tc>
        <w:tc>
          <w:tcPr>
            <w:tcW w:w="6852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 w:hint="eastAsia"/>
                <w:sz w:val="28"/>
                <w:szCs w:val="28"/>
                <w:lang w:eastAsia="zh-CN"/>
              </w:rPr>
            </w:pPr>
            <w:r>
              <w:rPr>
                <w:rFonts w:ascii="方正仿宋_GBK" w:eastAsia="方正仿宋_GBK" w:cs="方正仿宋_GBK"/>
                <w:sz w:val="28"/>
                <w:szCs w:val="28"/>
                <w:lang w:val="en-US" w:eastAsia="zh-CN"/>
              </w:rPr>
              <w:t>25000</w:t>
            </w: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元</w:t>
            </w:r>
          </w:p>
        </w:tc>
      </w:tr>
      <w:tr>
        <w:tc>
          <w:tcPr>
            <w:tcW w:w="1670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评审方法</w:t>
            </w:r>
          </w:p>
        </w:tc>
        <w:tc>
          <w:tcPr>
            <w:tcW w:w="6852" w:type="dxa"/>
            <w:vAlign w:val="center"/>
          </w:tcPr>
          <w:p>
            <w:pPr>
              <w:pStyle w:val="19"/>
              <w:jc w:val="lef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最低价法</w:t>
            </w:r>
          </w:p>
        </w:tc>
      </w:tr>
      <w:tr>
        <w:tc>
          <w:tcPr>
            <w:tcW w:w="8522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楷体_GBK" w:eastAsia="方正楷体_GBK" w:cs="方正楷体_GBK" w:hint="eastAsia"/>
                <w:sz w:val="32"/>
                <w:szCs w:val="32"/>
              </w:rPr>
              <w:t>详细需求栏</w:t>
            </w:r>
          </w:p>
        </w:tc>
      </w:tr>
      <w:tr>
        <w:trPr>
          <w:trHeight w:val="2000"/>
        </w:trPr>
        <w:tc>
          <w:tcPr>
            <w:tcW w:w="1670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说明</w:t>
            </w:r>
          </w:p>
        </w:tc>
        <w:tc>
          <w:tcPr>
            <w:tcW w:w="6852" w:type="dxa"/>
            <w:vAlign w:val="center"/>
          </w:tcPr>
          <w:p>
            <w:pPr>
              <w:spacing w:line="400" w:lineRule="exac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1.不满足资格条件的响应文件将按无效响应文件处理。</w:t>
            </w:r>
          </w:p>
          <w:p>
            <w:pPr>
              <w:spacing w:line="400" w:lineRule="exact"/>
              <w:rPr>
                <w:rFonts w:ascii="方正仿宋_GBK" w:eastAsia="方正仿宋_GBK" w:cs="方正仿宋_GBK" w:hint="eastAsia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2.</w:t>
            </w: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 xml:space="preserve">详细需求栏中所有加“★”项的需求均为实质性要求，不满足实质性要求的响应文件将按无效响应文件处理。 </w:t>
            </w:r>
          </w:p>
          <w:p>
            <w:pPr>
              <w:spacing w:line="400" w:lineRule="exac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注：本</w:t>
            </w:r>
            <w:r>
              <w:rPr>
                <w:rFonts w:ascii="方正仿宋_GBK" w:eastAsia="方正仿宋_GBK" w:cs="方正仿宋_GBK"/>
                <w:sz w:val="28"/>
                <w:szCs w:val="28"/>
              </w:rPr>
              <w:t>次</w:t>
            </w: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采购项目</w:t>
            </w:r>
            <w:r>
              <w:rPr>
                <w:rFonts w:ascii="方正仿宋_GBK" w:eastAsia="方正仿宋_GBK" w:cs="方正仿宋_GBK"/>
                <w:sz w:val="28"/>
                <w:szCs w:val="28"/>
              </w:rPr>
              <w:t>共35人体检，采用</w:t>
            </w: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固定</w:t>
            </w:r>
            <w:r>
              <w:rPr>
                <w:rFonts w:ascii="方正仿宋_GBK" w:eastAsia="方正仿宋_GBK" w:cs="方正仿宋_GBK"/>
                <w:sz w:val="28"/>
                <w:szCs w:val="28"/>
              </w:rPr>
              <w:t>单人方案报价</w:t>
            </w: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，比价方式以</w:t>
            </w:r>
            <w:r>
              <w:rPr>
                <w:rFonts w:ascii="方正仿宋_GBK" w:eastAsia="方正仿宋_GBK" w:cs="方正仿宋_GBK"/>
                <w:sz w:val="28"/>
                <w:szCs w:val="28"/>
              </w:rPr>
              <w:t>在岗工作人员单人必检项目方案报价乘以总人数计算总额</w:t>
            </w: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，总额不超过预算资金。</w:t>
            </w:r>
          </w:p>
        </w:tc>
      </w:tr>
      <w:tr>
        <w:trPr>
          <w:trHeight w:val="1488"/>
        </w:trPr>
        <w:tc>
          <w:tcPr>
            <w:tcW w:w="1670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资格条件</w:t>
            </w:r>
          </w:p>
        </w:tc>
        <w:tc>
          <w:tcPr>
            <w:tcW w:w="6852" w:type="dxa"/>
            <w:vAlign w:val="center"/>
          </w:tcPr>
          <w:p>
            <w:pPr>
              <w:pStyle w:val="20"/>
              <w:spacing w:line="400" w:lineRule="exac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  <w:t>1.具有独立承担民事责任的能力。</w:t>
            </w:r>
          </w:p>
          <w:p>
            <w:pPr>
              <w:snapToGrid w:val="0"/>
              <w:spacing w:line="400" w:lineRule="exact"/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color w:val="auto"/>
                <w:sz w:val="28"/>
                <w:szCs w:val="28"/>
                <w:u w:val="none"/>
              </w:rPr>
              <w:t>2.投标单位应具备基础行医资质，此外依据《放射工作人员职业健康管理办法》第二十条要求具备专项职业健康检查备案资质。</w:t>
            </w:r>
          </w:p>
        </w:tc>
      </w:tr>
      <w:tr>
        <w:trPr>
          <w:trHeight w:val="2544"/>
        </w:trPr>
        <w:tc>
          <w:tcPr>
            <w:tcW w:w="1670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★</w:t>
            </w:r>
          </w:p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实质性需求</w:t>
            </w:r>
          </w:p>
        </w:tc>
        <w:tc>
          <w:tcPr>
            <w:tcW w:w="6852" w:type="dxa"/>
          </w:tcPr>
          <w:p>
            <w:pPr>
              <w:pStyle w:val="21"/>
              <w:spacing w:line="360" w:lineRule="exact"/>
              <w:rPr>
                <w:rFonts w:ascii="方正仿宋_GBK" w:eastAsia="方正仿宋_GBK" w:cs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cs="方正仿宋_GBK"/>
                <w:sz w:val="28"/>
                <w:szCs w:val="28"/>
              </w:rPr>
              <w:t>项目</w:t>
            </w: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需求：</w:t>
            </w:r>
          </w:p>
          <w:p>
            <w:pPr>
              <w:pStyle w:val="21"/>
              <w:numPr>
                <w:ilvl w:val="0"/>
                <w:numId w:val="1"/>
              </w:numPr>
              <w:jc w:val="left"/>
              <w:rPr>
                <w:rFonts w:ascii="方正仿宋_GBK" w:eastAsia="方正仿宋_GBK" w:cs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cs="方正仿宋_GBK"/>
                <w:sz w:val="28"/>
                <w:szCs w:val="28"/>
              </w:rPr>
              <w:t>开展体检项目</w:t>
            </w: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见附</w:t>
            </w:r>
            <w:r>
              <w:rPr>
                <w:rFonts w:ascii="方正仿宋_GBK" w:eastAsia="方正仿宋_GBK" w:cs="方正仿宋_GBK"/>
                <w:sz w:val="28"/>
                <w:szCs w:val="28"/>
              </w:rPr>
              <w:t>录</w:t>
            </w:r>
            <w:r>
              <w:rPr>
                <w:rFonts w:ascii="方正仿宋_GBK" w:eastAsia="方正仿宋_GBK" w:cs="方正仿宋_GBK" w:hint="eastAsia"/>
                <w:sz w:val="28"/>
                <w:szCs w:val="28"/>
                <w:lang w:eastAsia="zh-CN"/>
              </w:rPr>
              <w:t>。</w:t>
            </w:r>
          </w:p>
          <w:p>
            <w:pPr>
              <w:pStyle w:val="21"/>
              <w:numPr>
                <w:ilvl w:val="0"/>
                <w:numId w:val="1"/>
              </w:numPr>
              <w:spacing w:line="360" w:lineRule="exact"/>
              <w:rPr>
                <w:rFonts w:ascii="方正仿宋_GBK" w:eastAsia="方正仿宋_GBK" w:cs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付款条件：</w:t>
            </w:r>
          </w:p>
          <w:p>
            <w:pPr>
              <w:pStyle w:val="21"/>
              <w:spacing w:line="360" w:lineRule="exact"/>
              <w:rPr>
                <w:rFonts w:ascii="方正仿宋_GBK" w:eastAsia="方正仿宋_GBK" w:cs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 xml:space="preserve"> </w:t>
            </w:r>
            <w:r>
              <w:rPr>
                <w:rFonts w:ascii="方正仿宋_GBK" w:eastAsia="方正仿宋_GBK" w:cs="方正仿宋_GBK" w:hint="eastAsia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ascii="方正仿宋_GBK" w:eastAsia="方正仿宋_GBK" w:cs="方正仿宋_GBK"/>
                <w:sz w:val="28"/>
                <w:szCs w:val="28"/>
              </w:rPr>
              <w:t>体检项目开展完成并收到人员检测报告验收合格后全额付款，</w:t>
            </w: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采购方付款前需要供货方开具发票、收据等结算材料。</w:t>
            </w:r>
          </w:p>
          <w:p>
            <w:pPr>
              <w:tabs>
                <w:tab w:val="left" w:pos="3680"/>
              </w:tabs>
              <w:rPr>
                <w:rStyle w:val="22Char"/>
                <w:rFonts w:ascii="Times New Roman" w:eastAsia="方正仿宋_GBK" w:cs="Times New Roman" w:hAnsi="Times New Roman" w:hint="eastAsia"/>
                <w:sz w:val="28"/>
                <w:szCs w:val="28"/>
              </w:rPr>
            </w:pPr>
          </w:p>
        </w:tc>
      </w:tr>
      <w:tr>
        <w:trPr>
          <w:trHeight w:val="699"/>
        </w:trPr>
        <w:tc>
          <w:tcPr>
            <w:tcW w:w="1670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评审因素</w:t>
            </w:r>
          </w:p>
        </w:tc>
        <w:tc>
          <w:tcPr>
            <w:tcW w:w="6852" w:type="dxa"/>
          </w:tcPr>
          <w:p>
            <w:pPr>
              <w:spacing w:line="560" w:lineRule="exact"/>
              <w:jc w:val="lef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/>
                <w:sz w:val="28"/>
                <w:szCs w:val="28"/>
              </w:rPr>
              <w:t>评审方法按照最低价法</w:t>
            </w:r>
          </w:p>
        </w:tc>
      </w:tr>
      <w:tr>
        <w:trPr>
          <w:trHeight w:val="1225"/>
        </w:trPr>
        <w:tc>
          <w:tcPr>
            <w:tcW w:w="1670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其他因素</w:t>
            </w:r>
          </w:p>
        </w:tc>
        <w:tc>
          <w:tcPr>
            <w:tcW w:w="6852" w:type="dxa"/>
          </w:tcPr>
          <w:p>
            <w:pPr>
              <w:spacing w:line="400" w:lineRule="exact"/>
              <w:jc w:val="lef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1、公告期限（</w:t>
            </w:r>
            <w:r>
              <w:rPr>
                <w:rFonts w:ascii="方正仿宋_GBK" w:eastAsia="方正仿宋_GBK" w:cs="方正仿宋_GBK" w:hint="eastAsia"/>
                <w:sz w:val="28"/>
                <w:szCs w:val="28"/>
                <w:lang w:val="en-US" w:eastAsia="zh-CN"/>
              </w:rPr>
              <w:t>5</w:t>
            </w: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个工作日）</w:t>
            </w:r>
          </w:p>
          <w:p>
            <w:pPr>
              <w:spacing w:line="400" w:lineRule="exact"/>
              <w:jc w:val="lef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2、响应文件份数（</w:t>
            </w:r>
            <w:r>
              <w:rPr>
                <w:rFonts w:ascii="方正仿宋_GBK" w:eastAsia="方正仿宋_GBK" w:cs="方正仿宋_GBK"/>
                <w:sz w:val="28"/>
                <w:szCs w:val="28"/>
              </w:rPr>
              <w:t>2份</w:t>
            </w: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）</w:t>
            </w:r>
          </w:p>
        </w:tc>
      </w:tr>
    </w:tbl>
    <w:p>
      <w:pPr>
        <w:jc w:val="left"/>
        <w:rPr>
          <w:rFonts w:ascii="方正仿宋_GBK" w:eastAsia="方正仿宋_GBK" w:cs="方正仿宋_GBK"/>
          <w:sz w:val="32"/>
          <w:szCs w:val="32"/>
        </w:rPr>
      </w:pPr>
    </w:p>
    <w:p>
      <w:pPr>
        <w:jc w:val="left"/>
        <w:rPr>
          <w:rFonts w:ascii="方正仿宋_GBK" w:eastAsia="方正仿宋_GBK" w:cs="方正仿宋_GBK"/>
          <w:sz w:val="32"/>
          <w:szCs w:val="32"/>
        </w:rPr>
      </w:pPr>
      <w:r>
        <w:rPr>
          <w:rFonts w:ascii="方正仿宋_GBK" w:eastAsia="方正仿宋_GBK" w:cs="方正仿宋_GBK" w:hint="eastAsia"/>
          <w:sz w:val="32"/>
          <w:szCs w:val="32"/>
        </w:rPr>
        <w:t>附录</w:t>
      </w:r>
    </w:p>
    <w:p>
      <w:pPr>
        <w:jc w:val="left"/>
        <w:rPr>
          <w:rFonts w:ascii="方正仿宋_GBK" w:eastAsia="方正仿宋_GBK" w:cs="方正仿宋_GBK"/>
          <w:sz w:val="32"/>
          <w:szCs w:val="32"/>
        </w:rPr>
      </w:pPr>
      <w:r>
        <w:rPr>
          <w:rFonts w:ascii="方正仿宋_GBK" w:eastAsia="方正仿宋_GBK" w:cs="方正仿宋_GBK" w:hint="eastAsia"/>
          <w:sz w:val="32"/>
          <w:szCs w:val="32"/>
        </w:rPr>
        <w:t>（规范性附录）</w:t>
      </w:r>
    </w:p>
    <w:p>
      <w:pPr>
        <w:jc w:val="center"/>
        <w:rPr>
          <w:rFonts w:ascii="方正仿宋_GBK" w:eastAsia="方正仿宋_GBK" w:cs="方正仿宋_GBK"/>
          <w:b/>
          <w:bCs/>
          <w:sz w:val="32"/>
          <w:szCs w:val="32"/>
        </w:rPr>
      </w:pPr>
      <w:r>
        <w:rPr>
          <w:rFonts w:ascii="方正仿宋_GBK" w:eastAsia="方正仿宋_GBK" w:cs="方正仿宋_GBK" w:hint="eastAsia"/>
          <w:b/>
          <w:bCs/>
          <w:sz w:val="32"/>
          <w:szCs w:val="32"/>
        </w:rPr>
        <w:t>放射工作人员职业健康检查项目</w:t>
      </w:r>
    </w:p>
    <w:tbl>
      <w:tblPr>
        <w:jc w:val="left"/>
        <w:tblInd w:w="-872" w:type="dxa"/>
        <w:tblW w:w="10290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98"/>
        <w:gridCol w:w="2687"/>
        <w:gridCol w:w="1872"/>
        <w:gridCol w:w="3133"/>
      </w:tblGrid>
      <w:tr>
        <w:trPr>
          <w:trHeight w:val="440"/>
        </w:trPr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jc w:val="center"/>
              <w:rPr>
                <w:rFonts w:ascii="方正仿宋_GBK" w:eastAsia="方正仿宋_GBK" w:cs="方正仿宋_GBK"/>
                <w:b/>
                <w:bCs/>
                <w:sz w:val="24"/>
              </w:rPr>
            </w:pPr>
            <w:r>
              <w:rPr>
                <w:rFonts w:ascii="方正仿宋_GBK" w:eastAsia="方正仿宋_GBK" w:cs="方正仿宋_GBK" w:hint="eastAsia"/>
                <w:b/>
                <w:bCs/>
                <w:sz w:val="24"/>
              </w:rPr>
              <w:t>上岗前检查项目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25"/>
              <w:spacing w:line="560" w:lineRule="exact"/>
              <w:jc w:val="center"/>
              <w:rPr>
                <w:rFonts w:ascii="方正仿宋_GBK" w:eastAsia="方正仿宋_GBK" w:cs="方正仿宋_GBK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b/>
                <w:bCs/>
                <w:sz w:val="24"/>
              </w:rPr>
              <w:t>在岗期间检查项目</w:t>
            </w:r>
            <w:r>
              <w:rPr>
                <w:rFonts w:ascii="方正仿宋_GBK" w:eastAsia="方正仿宋_GBK" w:cs="方正仿宋_GBK" w:hint="eastAsia"/>
                <w:color w:val="000000"/>
                <w:sz w:val="28"/>
                <w:szCs w:val="28"/>
              </w:rPr>
              <w:t>★</w:t>
            </w:r>
          </w:p>
          <w:p>
            <w:pPr>
              <w:jc w:val="center"/>
              <w:rPr>
                <w:rFonts w:ascii="方正仿宋_GBK" w:eastAsia="方正仿宋_GBK" w:cs="方正仿宋_GBK"/>
                <w:b/>
                <w:bCs/>
                <w:sz w:val="24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jc w:val="center"/>
              <w:rPr>
                <w:rFonts w:ascii="方正仿宋_GBK" w:eastAsia="方正仿宋_GBK" w:cs="方正仿宋_GBK"/>
                <w:b/>
                <w:bCs/>
                <w:sz w:val="24"/>
              </w:rPr>
            </w:pPr>
            <w:r>
              <w:rPr>
                <w:rFonts w:ascii="方正仿宋_GBK" w:eastAsia="方正仿宋_GBK" w:cs="方正仿宋_GBK" w:hint="eastAsia"/>
                <w:b/>
                <w:bCs/>
                <w:sz w:val="24"/>
              </w:rPr>
              <w:t>离岗前检查项目</w:t>
            </w:r>
          </w:p>
        </w:tc>
        <w:tc>
          <w:tcPr>
            <w:tcW w:w="3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jc w:val="center"/>
              <w:rPr>
                <w:rFonts w:ascii="方正仿宋_GBK" w:eastAsia="方正仿宋_GBK" w:cs="方正仿宋_GBK"/>
                <w:b/>
                <w:bCs/>
                <w:sz w:val="24"/>
              </w:rPr>
            </w:pPr>
            <w:r>
              <w:rPr>
                <w:rFonts w:ascii="方正仿宋_GBK" w:eastAsia="方正仿宋_GBK" w:cs="方正仿宋_GBK" w:hint="eastAsia"/>
                <w:b/>
                <w:bCs/>
                <w:sz w:val="24"/>
              </w:rPr>
              <w:t>应急／事故照射检查项目</w:t>
            </w:r>
          </w:p>
        </w:tc>
      </w:tr>
      <w:tr>
        <w:trPr>
          <w:trHeight w:val="8180"/>
        </w:trPr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jc w:val="left"/>
              <w:rPr>
                <w:rFonts w:ascii="方正仿宋_GBK" w:eastAsia="方正仿宋_GBK" w:cs="方正仿宋_GBK"/>
                <w:sz w:val="24"/>
              </w:rPr>
            </w:pPr>
            <w:r>
              <w:rPr>
                <w:rFonts w:ascii="方正仿宋_GBK" w:eastAsia="方正仿宋_GBK" w:cs="方正仿宋_GBK" w:hint="eastAsia"/>
                <w:sz w:val="24"/>
              </w:rPr>
              <w:t>1、必检项目</w:t>
            </w:r>
          </w:p>
          <w:p>
            <w:pPr>
              <w:jc w:val="left"/>
              <w:rPr>
                <w:rFonts w:ascii="方正仿宋_GBK" w:eastAsia="方正仿宋_GBK" w:cs="方正仿宋_GBK"/>
                <w:sz w:val="24"/>
              </w:rPr>
            </w:pPr>
            <w:r>
              <w:rPr>
                <w:rFonts w:ascii="方正仿宋_GBK" w:eastAsia="方正仿宋_GBK" w:cs="方正仿宋_GBK" w:hint="eastAsia"/>
                <w:sz w:val="24"/>
              </w:rPr>
              <w:t>医学史、职业史调查；内科、皮肤科常规检查：眼科检查（色觉、视力、晶体裂隙灯检查、玻璃体、眼底）；血常规和白细胞分类；尿常规；肝功能；肾功能检查；外周血淋巴细胞染色体畸变分析；胸部X线检查；心电图：腹部B超。</w:t>
            </w:r>
          </w:p>
          <w:p>
            <w:pPr>
              <w:jc w:val="left"/>
              <w:rPr>
                <w:rFonts w:ascii="方正仿宋_GBK" w:eastAsia="方正仿宋_GBK" w:cs="方正仿宋_GBK"/>
                <w:sz w:val="24"/>
              </w:rPr>
            </w:pPr>
            <w:r>
              <w:rPr>
                <w:rFonts w:ascii="方正仿宋_GBK" w:eastAsia="方正仿宋_GBK" w:cs="方正仿宋_GBK" w:hint="eastAsia"/>
                <w:sz w:val="24"/>
              </w:rPr>
              <w:t>2、选检项目</w:t>
            </w:r>
          </w:p>
          <w:p>
            <w:pPr>
              <w:jc w:val="left"/>
              <w:rPr>
                <w:rFonts w:ascii="方正仿宋_GBK" w:eastAsia="方正仿宋_GBK" w:cs="方正仿宋_GBK"/>
                <w:sz w:val="24"/>
              </w:rPr>
            </w:pPr>
            <w:r>
              <w:rPr>
                <w:rFonts w:ascii="方正仿宋_GBK" w:eastAsia="方正仿宋_GBK" w:cs="方正仿宋_GBK" w:hint="eastAsia"/>
                <w:sz w:val="24"/>
              </w:rPr>
              <w:t>耳鼻喉科、视野（核电厂放射工作人员）；心理测试（如核电厂操纵员和高级操纵员）；甲状腺功能；肺功能（放射性矿山工作人员，接受内照射、需要穿戴呼吸防护装置的人员）。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jc w:val="left"/>
              <w:rPr>
                <w:rFonts w:ascii="方正仿宋_GBK" w:eastAsia="方正仿宋_GBK" w:cs="方正仿宋_GBK"/>
                <w:sz w:val="24"/>
              </w:rPr>
            </w:pPr>
            <w:r>
              <w:rPr>
                <w:rFonts w:ascii="方正仿宋_GBK" w:eastAsia="方正仿宋_GBK" w:cs="方正仿宋_GBK" w:hint="eastAsia"/>
                <w:sz w:val="24"/>
              </w:rPr>
              <w:t>1、必检项目</w:t>
            </w:r>
          </w:p>
          <w:p>
            <w:pPr>
              <w:jc w:val="left"/>
              <w:rPr>
                <w:rFonts w:ascii="方正仿宋_GBK" w:eastAsia="方正仿宋_GBK" w:cs="方正仿宋_GBK"/>
                <w:sz w:val="24"/>
              </w:rPr>
            </w:pPr>
            <w:r>
              <w:rPr>
                <w:rFonts w:ascii="方正仿宋_GBK" w:eastAsia="方正仿宋_GBK" w:cs="方正仿宋_GBK" w:hint="eastAsia"/>
                <w:sz w:val="24"/>
              </w:rPr>
              <w:t>医学史、职业史调查；内科、外科、皮肤科常规检查；眼科检查（色觉、视力、晶体裂隙灯检查、玻璃体、眼底）：血常规和白细胞分类；尿常规：肝功能；肾功能检查；外周血淋巴细胞微核试验；胸部X线检查。</w:t>
            </w:r>
          </w:p>
          <w:p>
            <w:pPr>
              <w:jc w:val="left"/>
              <w:rPr>
                <w:rFonts w:ascii="方正仿宋_GBK" w:eastAsia="方正仿宋_GBK" w:cs="方正仿宋_GBK"/>
                <w:sz w:val="24"/>
              </w:rPr>
            </w:pPr>
            <w:r>
              <w:rPr>
                <w:rFonts w:ascii="方正仿宋_GBK" w:eastAsia="方正仿宋_GBK" w:cs="方正仿宋_GBK" w:hint="eastAsia"/>
                <w:sz w:val="24"/>
              </w:rPr>
              <w:t>2、选检项目</w:t>
            </w:r>
          </w:p>
          <w:p>
            <w:pPr>
              <w:jc w:val="left"/>
              <w:rPr>
                <w:rFonts w:ascii="方正仿宋_GBK" w:eastAsia="方正仿宋_GBK" w:cs="方正仿宋_GBK"/>
                <w:sz w:val="24"/>
              </w:rPr>
            </w:pPr>
            <w:r>
              <w:rPr>
                <w:rFonts w:ascii="方正仿宋_GBK" w:eastAsia="方正仿宋_GBK" w:cs="方正仿宋_GBK" w:hint="eastAsia"/>
                <w:sz w:val="24"/>
              </w:rPr>
              <w:t>心电图；腹部B超、甲状腺功能；血清睾丸酮；外周血淋巴细胞染色体畸变分析；痰细胞学检查和／或肺功能检查（放射性矿山工作人员，接受内照射、需要穿戴呼吸防护装置的人员）；使用全身计数器进行体内放射性核素滞留量的检测（从事非密封源操作的人员）。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jc w:val="left"/>
              <w:rPr>
                <w:rFonts w:ascii="方正仿宋_GBK" w:eastAsia="方正仿宋_GBK" w:cs="方正仿宋_GBK"/>
                <w:sz w:val="24"/>
              </w:rPr>
            </w:pPr>
            <w:r>
              <w:rPr>
                <w:rFonts w:ascii="方正仿宋_GBK" w:eastAsia="方正仿宋_GBK" w:cs="方正仿宋_GBK" w:hint="eastAsia"/>
                <w:sz w:val="24"/>
              </w:rPr>
              <w:t>1、必检项目</w:t>
            </w:r>
          </w:p>
          <w:p>
            <w:pPr>
              <w:jc w:val="left"/>
              <w:rPr>
                <w:rFonts w:ascii="方正仿宋_GBK" w:eastAsia="方正仿宋_GBK" w:cs="方正仿宋_GBK"/>
                <w:sz w:val="24"/>
              </w:rPr>
            </w:pPr>
            <w:r>
              <w:rPr>
                <w:rFonts w:ascii="方正仿宋_GBK" w:eastAsia="方正仿宋_GBK" w:cs="方正仿宋_GBK" w:hint="eastAsia"/>
                <w:sz w:val="24"/>
              </w:rPr>
              <w:t>医学史、职业史调查；内科、皮肤科常规检查：眼科检查（色觉、视力、晶体裂隙灯检查、玻璃体、眼底）；血常规和白细胞分类；尿常规；肝功能；肾功能检查；外周血淋巴细胞染色体畸变分析；胸部X线检查；心电图；腹部B超。</w:t>
            </w:r>
          </w:p>
          <w:p>
            <w:pPr>
              <w:jc w:val="left"/>
              <w:rPr>
                <w:rFonts w:ascii="方正仿宋_GBK" w:eastAsia="方正仿宋_GBK" w:cs="方正仿宋_GBK"/>
                <w:sz w:val="24"/>
              </w:rPr>
            </w:pPr>
            <w:r>
              <w:rPr>
                <w:rFonts w:ascii="方正仿宋_GBK" w:eastAsia="方正仿宋_GBK" w:cs="方正仿宋_GBK" w:hint="eastAsia"/>
                <w:sz w:val="24"/>
              </w:rPr>
              <w:t>2、选检项目</w:t>
            </w:r>
          </w:p>
          <w:p>
            <w:pPr>
              <w:jc w:val="left"/>
              <w:rPr>
                <w:rFonts w:ascii="方正仿宋_GBK" w:eastAsia="方正仿宋_GBK" w:cs="方正仿宋_GBK"/>
                <w:sz w:val="24"/>
              </w:rPr>
            </w:pPr>
            <w:r>
              <w:rPr>
                <w:rFonts w:ascii="方正仿宋_GBK" w:eastAsia="方正仿宋_GBK" w:cs="方正仿宋_GBK" w:hint="eastAsia"/>
                <w:sz w:val="24"/>
              </w:rPr>
              <w:t>耳鼻喉科、视野（核电厂放射工作人员）；心理测试（核电厂操纵员和高级操纵员）；甲状腺功能；肺功能（放射性矿山工作人员，接受内照射、需要穿戴呼吸防护装置的人员）；使用全身计数器进行体内放射性核素滞留量的检测（从事非密封源操作的人员）。</w:t>
            </w:r>
          </w:p>
        </w:tc>
        <w:tc>
          <w:tcPr>
            <w:tcW w:w="3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jc w:val="left"/>
              <w:rPr>
                <w:rFonts w:ascii="方正仿宋_GBK" w:eastAsia="方正仿宋_GBK" w:cs="方正仿宋_GBK"/>
                <w:sz w:val="24"/>
              </w:rPr>
            </w:pPr>
            <w:r>
              <w:rPr>
                <w:rFonts w:ascii="方正仿宋_GBK" w:eastAsia="方正仿宋_GBK" w:cs="方正仿宋_GBK" w:hint="eastAsia"/>
                <w:sz w:val="24"/>
              </w:rPr>
              <w:t>1、必检项目</w:t>
            </w:r>
          </w:p>
          <w:p>
            <w:pPr>
              <w:jc w:val="left"/>
              <w:rPr>
                <w:rFonts w:ascii="方正仿宋_GBK" w:eastAsia="方正仿宋_GBK" w:cs="方正仿宋_GBK"/>
                <w:sz w:val="24"/>
              </w:rPr>
            </w:pPr>
            <w:r>
              <w:rPr>
                <w:rFonts w:ascii="方正仿宋_GBK" w:eastAsia="方正仿宋_GBK" w:cs="方正仿宋_GBK" w:hint="eastAsia"/>
                <w:sz w:val="24"/>
              </w:rPr>
              <w:t>应急／事故照射史、医学史、职业史调查；详细的内科、外科、眼科、皮肤科、神经科检查；血常规和白细胞分类（连续取样）；尿常规；外周血淋巴细胞染色体畸变分析：外周血淋巴细胞微核试验；胸部X线摄影（在留取细胞遗传学检查所需血样后）；心电图。</w:t>
            </w:r>
          </w:p>
          <w:p>
            <w:pPr>
              <w:jc w:val="left"/>
              <w:rPr>
                <w:rFonts w:ascii="方正仿宋_GBK" w:eastAsia="方正仿宋_GBK" w:cs="方正仿宋_GBK"/>
                <w:sz w:val="24"/>
              </w:rPr>
            </w:pPr>
            <w:r>
              <w:rPr>
                <w:rFonts w:ascii="方正仿宋_GBK" w:eastAsia="方正仿宋_GBK" w:cs="方正仿宋_GBK" w:hint="eastAsia"/>
                <w:sz w:val="24"/>
              </w:rPr>
              <w:t>2、选检项目</w:t>
            </w:r>
          </w:p>
          <w:p>
            <w:pPr>
              <w:jc w:val="left"/>
              <w:rPr>
                <w:rFonts w:ascii="方正仿宋_GBK" w:eastAsia="方正仿宋_GBK" w:cs="方正仿宋_GBK"/>
                <w:sz w:val="24"/>
              </w:rPr>
            </w:pPr>
            <w:r>
              <w:rPr>
                <w:rFonts w:ascii="方正仿宋_GBK" w:eastAsia="方正仿宋_GBK" w:cs="方正仿宋_GBK" w:hint="eastAsia"/>
                <w:sz w:val="24"/>
              </w:rPr>
              <w:t>根据受照和损伤的具体情况，参照GB／T 18199、</w:t>
            </w:r>
          </w:p>
          <w:p>
            <w:pPr>
              <w:jc w:val="left"/>
              <w:rPr>
                <w:rFonts w:ascii="方正仿宋_GBK" w:eastAsia="方正仿宋_GBK" w:cs="方正仿宋_GBK"/>
                <w:sz w:val="24"/>
              </w:rPr>
            </w:pPr>
            <w:r>
              <w:rPr>
                <w:rFonts w:ascii="方正仿宋_GBK" w:eastAsia="方正仿宋_GBK" w:cs="方正仿宋_GBK" w:hint="eastAsia"/>
                <w:sz w:val="24"/>
              </w:rPr>
              <w:t>GBZ215、GBZ 112、GBZ 104、GBZ 96、GBZ 113、GBZ 106有关标准进行必要的检查和医学处理。</w:t>
            </w:r>
          </w:p>
        </w:tc>
      </w:tr>
      <w:tr>
        <w:trPr>
          <w:trHeight w:val="760"/>
        </w:trPr>
        <w:tc>
          <w:tcPr>
            <w:tcW w:w="102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jc w:val="left"/>
              <w:rPr>
                <w:rFonts w:ascii="方正仿宋_GBK" w:eastAsia="方正仿宋_GBK" w:cs="方正仿宋_GBK"/>
                <w:sz w:val="24"/>
              </w:rPr>
            </w:pPr>
            <w:r>
              <w:rPr>
                <w:rFonts w:ascii="方正仿宋_GBK" w:eastAsia="方正仿宋_GBK" w:cs="方正仿宋_GBK" w:hint="eastAsia"/>
                <w:sz w:val="24"/>
              </w:rPr>
              <w:t>·根据职业受照的性质、类型和工作人员健康损害状况选检。</w:t>
            </w:r>
          </w:p>
        </w:tc>
      </w:tr>
    </w:tbl>
    <w:p>
      <w:pPr>
        <w:pStyle w:val="23"/>
        <w:spacing w:line="1" w:lineRule="exact"/>
      </w:pPr>
    </w:p>
    <w:p>
      <w:pPr>
        <w:jc w:val="left"/>
        <w:rPr>
          <w:rFonts w:ascii="方正仿宋_GBK" w:eastAsia="方正仿宋_GBK" w:cs="方正仿宋_GBK" w:hint="eastAsia"/>
          <w:sz w:val="32"/>
          <w:szCs w:val="32"/>
          <w:lang w:val="en-US" w:eastAsia="zh-CN"/>
        </w:rPr>
      </w:pPr>
    </w:p>
    <w:p>
      <w:pPr>
        <w:jc w:val="left"/>
        <w:rPr>
          <w:rFonts w:ascii="方正仿宋_GBK" w:eastAsia="方正仿宋_GBK" w:cs="方正仿宋_GBK" w:hint="eastAsia"/>
          <w:sz w:val="32"/>
          <w:szCs w:val="32"/>
          <w:lang w:val="en-US" w:eastAsia="zh-CN"/>
        </w:rPr>
      </w:pPr>
    </w:p>
    <w:p/>
    <w:sectPr>
      <w:pgSz w:w="11907" w:h="16839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小标宋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Times New Roman">
    <w:panose1 w:val="02020603050405020304"/>
    <w:charset w:val="00"/>
    <w:family w:val="auto"/>
    <w:pitch w:val="variable"/>
    <w:sig w:usb0="00000A87" w:usb1="00000000" w:usb2="00000000" w:usb3="00000000" w:csb0="400001BF" w:csb1="DFF70000"/>
  </w:font>
  <w:font w:name="宋体">
    <w:panose1 w:val="02010600030101010101"/>
    <w:charset w:val="86"/>
    <w:family w:val="auto"/>
    <w:pitch w:val="variable"/>
    <w:sig w:usb0="00000003" w:usb1="080E0000" w:usb2="00000000" w:usb3="00000000" w:csb0="00040001" w:csb1="00000000"/>
  </w:font>
  <w:font w:name="Calibri">
    <w:altName w:val="Times New Roman"/>
    <w:panose1 w:val="020F0502020204030204"/>
    <w:charset w:val="00"/>
    <w:family w:val="auto"/>
    <w:pitch w:val="variable"/>
    <w:sig w:usb0="E00002FF" w:usb1="4000ACFF" w:usb2="00000001" w:usb3="00000000" w:csb0="2000019F" w:csb1="00000000"/>
  </w:font>
  <w:font w:name="Arial">
    <w:altName w:val="DejaVu Sans"/>
    <w:panose1 w:val="020B0604020202020204"/>
    <w:charset w:val="00"/>
    <w:family w:val="auto"/>
    <w:pitch w:val="variable"/>
    <w:sig w:usb0="00007A87" w:usb1="80000000" w:usb2="00000008" w:usb3="00000000" w:csb0="400001FF" w:csb1="FFFF0000"/>
  </w:font>
  <w:font w:name="黑体">
    <w:altName w:val="国标黑体"/>
    <w:panose1 w:val="02010600030101010101"/>
    <w:charset w:val="86"/>
    <w:family w:val="auto"/>
    <w:pitch w:val="variable"/>
    <w:sig w:usb0="00000001" w:usb1="080E0000" w:usb2="00000000" w:usb3="00000000" w:csb0="00040000" w:csb1="00000000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mc="http://schemas.openxmlformats.org/markup-compatibility/2006" xmlns:w14="http://schemas.microsoft.com/office/word/2010/wordml">
  <w:abstractNum w:abstractNumId="0">
    <w:nsid w:val="0A5CBAB3"/>
    <w:multiLevelType w:val="singleLevel"/>
    <w:tmpl w:val="0A5CBAB3"/>
    <w:lvl w:ilvl="0">
      <w:start w:val="1"/>
      <w:numFmt w:val="chineseCounting"/>
      <w:lvlRestart w:val="0"/>
      <w:suff w:val="nothing"/>
      <w:lvlText w:val="%1、"/>
      <w:lvlJc w:val="left"/>
      <w:pPr>
        <w:ind w:left="0" w:hanging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90"/>
  <w:doNotDisplayPageBoundaries/>
  <w:displayBackgroundShape/>
  <w:bordersDoNotSurroundHeader/>
  <w:bordersDoNotSurroundFooter/>
  <w:trackRevisions/>
  <w:defaultTabStop w:val="420"/>
  <w:drawingGridHorizontalSpacing w:val="105"/>
  <w:drawingGridVerticalSpacing w:val="156"/>
  <w:displayHorizontalDrawingGridEvery w:val="0"/>
  <w:displayVerticalDrawingGridEvery w:val="1"/>
  <w:characterSpacingControl w:val="compressPunctuation"/>
  <w:compat>
    <w:spaceForUL/>
    <w:balanceSingleByteDoubleByteWidth/>
    <w:ulTrailSpace/>
    <w:doNotExpandShiftReturn/>
    <w:adjustLineHeightInTable/>
    <w:useAltKinsokuLineBreakRules/>
    <w:splitPgBreakAndParaMark/>
    <w:compatSetting w:name="compatibilityMode" w:uri="http://schemas.microsoft.com/office/word" w:val="14"/>
  </w:compat>
  <w:docVars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</w:style>
  <w:style w:type="paragraph" w:styleId="15">
    <w:name w:val="toc 8"/>
    <w:basedOn w:val="0"/>
    <w:autoRedefine/>
    <w:next w:val="0"/>
    <w:pPr>
      <w:ind w:left="2940"/>
    </w:pPr>
  </w:style>
  <w:style w:type="character" w:styleId="16">
    <w:name w:val="annotation reference"/>
    <w:basedOn w:val="10"/>
    <w:rPr>
      <w:sz w:val="21"/>
      <w:szCs w:val="21"/>
    </w:rPr>
  </w:style>
  <w:style w:type="paragraph" w:styleId="17">
    <w:name w:val="endnote text"/>
    <w:basedOn w:val="0"/>
    <w:pPr>
      <w:snapToGrid w:val="0"/>
      <w:jc w:val="left"/>
    </w:pPr>
  </w:style>
  <w:style w:type="paragraph" w:styleId="18">
    <w:name w:val="table of authorities"/>
    <w:basedOn w:val="0"/>
    <w:next w:val="0"/>
    <w:pPr>
      <w:ind w:left="420"/>
    </w:pPr>
  </w:style>
  <w:style w:type="paragraph" w:customStyle="1" w:styleId="19">
    <w:name w:val="样式 2 10 磅"/>
    <w:next w:val="15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0">
    <w:name w:val="样式 15 10 磅"/>
    <w:next w:val="17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1">
    <w:name w:val="样式 16 10 磅"/>
    <w:next w:val="18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2">
    <w:name w:val="样式 12 10 磅"/>
    <w:next w:val="16"/>
    <w:link w:val="22Char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character" w:customStyle="1" w:styleId="22Char">
    <w:name w:val="样式 12 10 磅 Char"/>
    <w:basedOn w:val="10"/>
    <w:link w:val="22"/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3">
    <w:name w:val="样式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24">
    <w:name w:val="样式 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5">
    <w:name w:val="样式 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161</TotalTime>
  <Application>Yozo_Office</Application>
  <Pages>3</Pages>
  <Words>1316</Words>
  <Characters>1357</Characters>
  <Lines>148</Lines>
  <Paragraphs>52</Paragraphs>
  <CharactersWithSpaces>1367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张艳</dc:creator>
  <cp:lastModifiedBy>付玮</cp:lastModifiedBy>
  <cp:revision>1</cp:revision>
  <dcterms:created xsi:type="dcterms:W3CDTF">2026-07-28T02:09:22Z</dcterms:created>
  <dcterms:modified xsi:type="dcterms:W3CDTF">2026-08-03T00:44:47Z</dcterms:modified>
</cp:coreProperties>
</file>