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6852"/>
      </w:tblGrid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5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二连海关2026年度辐射工作人员健康体检服务项目比选采购公告</w:t>
            </w:r>
          </w:p>
        </w:tc>
      </w:tr>
      <w:t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5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  <w:lang w:val="en-US" w:eastAsia="zh-CN"/>
              </w:rPr>
              <w:t>25000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52" w:type="dxa"/>
            <w:vAlign w:val="center"/>
          </w:tcPr>
          <w:p>
            <w:pPr>
              <w:pStyle w:val="19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</w:tc>
      </w:tr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2000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5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 xml:space="preserve">详细需求栏中所有加“★”项的需求均为实质性要求，不满足实质性要求的响应文件将按无效响应文件处理。 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注：本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次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采购项目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共35人体检，采用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固定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单人方案报价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，比价方式以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在岗工作人员单人必检项目方案报价乘以总人数计算总额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，总额不超过预算资金。</w:t>
            </w:r>
          </w:p>
        </w:tc>
      </w:tr>
      <w:tr>
        <w:trPr>
          <w:trHeight w:val="1488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</w:t>
            </w:r>
          </w:p>
        </w:tc>
        <w:tc>
          <w:tcPr>
            <w:tcW w:w="6852" w:type="dxa"/>
            <w:vAlign w:val="center"/>
          </w:tcPr>
          <w:p>
            <w:pPr>
              <w:pStyle w:val="20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napToGrid w:val="0"/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auto"/>
                <w:sz w:val="28"/>
                <w:szCs w:val="28"/>
                <w:u w:val="none"/>
              </w:rPr>
              <w:t>2.投标单位应具备基础行医资质，此外依据《放射工作人员职业健康管理办法》第二十条要求具备专项职业健康检查备案资质。</w:t>
            </w:r>
          </w:p>
        </w:tc>
      </w:tr>
      <w:tr>
        <w:trPr>
          <w:trHeight w:val="2544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52" w:type="dxa"/>
          </w:tcPr>
          <w:p>
            <w:pPr>
              <w:pStyle w:val="21"/>
              <w:spacing w:line="3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项目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需求：</w:t>
            </w:r>
          </w:p>
          <w:p>
            <w:pPr>
              <w:pStyle w:val="21"/>
              <w:numPr>
                <w:ilvl w:val="0"/>
                <w:numId w:val="1"/>
              </w:numPr>
              <w:jc w:val="lef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开展体检项目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见附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录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  <w:t>。</w:t>
            </w:r>
          </w:p>
          <w:p>
            <w:pPr>
              <w:pStyle w:val="21"/>
              <w:numPr>
                <w:ilvl w:val="0"/>
                <w:numId w:val="1"/>
              </w:numPr>
              <w:spacing w:line="3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付款条件：</w:t>
            </w:r>
          </w:p>
          <w:p>
            <w:pPr>
              <w:pStyle w:val="21"/>
              <w:spacing w:line="3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体检项目开展完成并收到人员检测报告验收合格后全额付款，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采购方付款前需要供货方开具发票、收据等结算材料。</w:t>
            </w:r>
          </w:p>
          <w:p>
            <w:pPr>
              <w:tabs>
                <w:tab w:val="left" w:pos="3680"/>
              </w:tabs>
              <w:rPr>
                <w:rStyle w:val="22Char"/>
                <w:rFonts w:ascii="Times New Roman" w:eastAsia="方正仿宋_GBK" w:cs="Times New Roman" w:hAnsi="Times New Roman" w:hint="eastAsia"/>
                <w:sz w:val="28"/>
                <w:szCs w:val="28"/>
              </w:rPr>
            </w:pPr>
          </w:p>
        </w:tc>
      </w:tr>
      <w:tr>
        <w:trPr>
          <w:trHeight w:val="699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52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</w:t>
            </w:r>
          </w:p>
        </w:tc>
      </w:tr>
      <w:tr>
        <w:trPr>
          <w:trHeight w:val="1225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5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1、公告期限（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个工作日）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2、响应文件份数（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2份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</w:tr>
    </w:tbl>
    <w:p>
      <w:pPr>
        <w:jc w:val="left"/>
        <w:rPr>
          <w:rFonts w:ascii="方正仿宋_GBK" w:eastAsia="方正仿宋_GBK" w:cs="方正仿宋_GBK"/>
          <w:sz w:val="32"/>
          <w:szCs w:val="32"/>
        </w:rPr>
      </w:pPr>
    </w:p>
    <w:p>
      <w:pPr>
        <w:jc w:val="left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附录</w:t>
      </w:r>
    </w:p>
    <w:p>
      <w:pPr>
        <w:jc w:val="left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（规范性附录）</w:t>
      </w:r>
    </w:p>
    <w:p>
      <w:pPr>
        <w:jc w:val="center"/>
        <w:rPr>
          <w:rFonts w:ascii="方正仿宋_GBK" w:eastAsia="方正仿宋_GBK" w:cs="方正仿宋_GBK"/>
          <w:b/>
          <w:bCs/>
          <w:sz w:val="32"/>
          <w:szCs w:val="32"/>
        </w:rPr>
      </w:pPr>
      <w:r>
        <w:rPr>
          <w:rFonts w:ascii="方正仿宋_GBK" w:eastAsia="方正仿宋_GBK" w:cs="方正仿宋_GBK" w:hint="eastAsia"/>
          <w:b/>
          <w:bCs/>
          <w:sz w:val="32"/>
          <w:szCs w:val="32"/>
        </w:rPr>
        <w:t>放射工作人员职业健康检查项目</w:t>
      </w:r>
    </w:p>
    <w:tbl>
      <w:tblPr>
        <w:jc w:val="left"/>
        <w:tblInd w:w="-872" w:type="dxa"/>
        <w:tblW w:w="102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8"/>
        <w:gridCol w:w="2687"/>
        <w:gridCol w:w="1872"/>
        <w:gridCol w:w="3133"/>
      </w:tblGrid>
      <w:tr>
        <w:trPr>
          <w:trHeight w:val="44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方正仿宋_GBK" w:eastAsia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cs="方正仿宋_GBK" w:hint="eastAsia"/>
                <w:b/>
                <w:bCs/>
                <w:sz w:val="24"/>
              </w:rPr>
              <w:t>上岗前检查项目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5"/>
              <w:spacing w:line="560" w:lineRule="exact"/>
              <w:jc w:val="center"/>
              <w:rPr>
                <w:rFonts w:asci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b/>
                <w:bCs/>
                <w:sz w:val="24"/>
              </w:rPr>
              <w:t>在岗期间检查项目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★</w:t>
            </w:r>
          </w:p>
          <w:p>
            <w:pPr>
              <w:jc w:val="center"/>
              <w:rPr>
                <w:rFonts w:asci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方正仿宋_GBK" w:eastAsia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cs="方正仿宋_GBK" w:hint="eastAsia"/>
                <w:b/>
                <w:bCs/>
                <w:sz w:val="24"/>
              </w:rPr>
              <w:t>离岗前检查项目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方正仿宋_GBK" w:eastAsia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cs="方正仿宋_GBK" w:hint="eastAsia"/>
                <w:b/>
                <w:bCs/>
                <w:sz w:val="24"/>
              </w:rPr>
              <w:t>应急／事故照射检查项目</w:t>
            </w:r>
          </w:p>
        </w:tc>
      </w:tr>
      <w:tr>
        <w:trPr>
          <w:trHeight w:val="818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1、必检项目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医学史、职业史调查；内科、皮肤科常规检查：眼科检查（色觉、视力、晶体裂隙灯检查、玻璃体、眼底）；血常规和白细胞分类；尿常规；肝功能；肾功能检查；外周血淋巴细胞染色体畸变分析；胸部X线检查；心电图：腹部B超。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2、选检项目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耳鼻喉科、视野（核电厂放射工作人员）；心理测试（如核电厂操纵员和高级操纵员）；甲状腺功能；肺功能（放射性矿山工作人员，接受内照射、需要穿戴呼吸防护装置的人员）。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1、必检项目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医学史、职业史调查；内科、外科、皮肤科常规检查；眼科检查（色觉、视力、晶体裂隙灯检查、玻璃体、眼底）：血常规和白细胞分类；尿常规：肝功能；肾功能检查；外周血淋巴细胞微核试验；胸部X线检查。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2、选检项目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心电图；腹部B超、甲状腺功能；血清睾丸酮；外周血淋巴细胞染色体畸变分析；痰细胞学检查和／或肺功能检查（放射性矿山工作人员，接受内照射、需要穿戴呼吸防护装置的人员）；使用全身计数器进行体内放射性核素滞留量的检测（从事非密封源操作的人员）。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1、必检项目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医学史、职业史调查；内科、皮肤科常规检查：眼科检查（色觉、视力、晶体裂隙灯检查、玻璃体、眼底）；血常规和白细胞分类；尿常规；肝功能；肾功能检查；外周血淋巴细胞染色体畸变分析；胸部X线检查；心电图；腹部B超。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2、选检项目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耳鼻喉科、视野（核电厂放射工作人员）；心理测试（核电厂操纵员和高级操纵员）；甲状腺功能；肺功能（放射性矿山工作人员，接受内照射、需要穿戴呼吸防护装置的人员）；使用全身计数器进行体内放射性核素滞留量的检测（从事非密封源操作的人员）。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1、必检项目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应急／事故照射史、医学史、职业史调查；详细的内科、外科、眼科、皮肤科、神经科检查；血常规和白细胞分类（连续取样）；尿常规；外周血淋巴细胞染色体畸变分析：外周血淋巴细胞微核试验；胸部X线摄影（在留取细胞遗传学检查所需血样后）；心电图。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2、选检项目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根据受照和损伤的具体情况，参照GB／T 18199、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GBZ215、GBZ 112、GBZ 104、GBZ 96、GBZ 113、GBZ 106有关标准进行必要的检查和医学处理。</w:t>
            </w:r>
          </w:p>
        </w:tc>
      </w:tr>
      <w:tr>
        <w:trPr>
          <w:trHeight w:val="760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·根据职业受照的性质、类型和工作人员健康损害状况选检。</w:t>
            </w:r>
          </w:p>
        </w:tc>
      </w:tr>
    </w:tbl>
    <w:p>
      <w:pPr>
        <w:pStyle w:val="23"/>
        <w:spacing w:line="1" w:lineRule="exact"/>
      </w:pPr>
    </w:p>
    <w:p>
      <w:pPr>
        <w:jc w:val="left"/>
        <w:rPr>
          <w:rFonts w:ascii="方正仿宋_GBK" w:eastAsia="方正仿宋_GBK" w:cs="方正仿宋_GBK" w:hint="eastAsia"/>
          <w:sz w:val="32"/>
          <w:szCs w:val="32"/>
          <w:lang w:val="en-US" w:eastAsia="zh-CN"/>
        </w:rPr>
      </w:pPr>
    </w:p>
    <w:p>
      <w:pPr>
        <w:jc w:val="left"/>
        <w:rPr>
          <w:rFonts w:ascii="方正仿宋_GBK" w:eastAsia="方正仿宋_GBK" w:cs="方正仿宋_GBK" w:hint="eastAsia"/>
          <w:sz w:val="32"/>
          <w:szCs w:val="32"/>
          <w:lang w:val="en-US" w:eastAsia="zh-CN"/>
        </w:rPr>
      </w:pPr>
    </w:p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Times New Roman"/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国标黑体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A5CBAB3"/>
    <w:multiLevelType w:val="singleLevel"/>
    <w:tmpl w:val="0A5CBAB3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toc 8"/>
    <w:basedOn w:val="0"/>
    <w:autoRedefine/>
    <w:next w:val="0"/>
    <w:pPr>
      <w:ind w:left="2940"/>
    </w:pPr>
  </w:style>
  <w:style w:type="character" w:styleId="16">
    <w:name w:val="annotation reference"/>
    <w:basedOn w:val="10"/>
    <w:rPr>
      <w:sz w:val="21"/>
      <w:szCs w:val="21"/>
    </w:rPr>
  </w:style>
  <w:style w:type="paragraph" w:styleId="17">
    <w:name w:val="endnote text"/>
    <w:basedOn w:val="0"/>
    <w:pPr>
      <w:snapToGrid w:val="0"/>
      <w:jc w:val="left"/>
    </w:pPr>
  </w:style>
  <w:style w:type="paragraph" w:styleId="18">
    <w:name w:val="table of authorities"/>
    <w:basedOn w:val="0"/>
    <w:next w:val="0"/>
    <w:pPr>
      <w:ind w:left="420"/>
    </w:pPr>
  </w:style>
  <w:style w:type="paragraph" w:customStyle="1" w:styleId="19">
    <w:name w:val="样式 2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5 10 磅"/>
    <w:next w:val="17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16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12 10 磅"/>
    <w:next w:val="16"/>
    <w:link w:val="22Char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customStyle="1" w:styleId="22Char">
    <w:name w:val="样式 12 10 磅 Char"/>
    <w:basedOn w:val="10"/>
    <w:link w:val="22"/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161</TotalTime>
  <Application>Yozo_Office</Application>
  <Pages>4</Pages>
  <Words>1316</Words>
  <Characters>1357</Characters>
  <Lines>148</Lines>
  <Paragraphs>52</Paragraphs>
  <CharactersWithSpaces>1367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张艳</dc:creator>
  <cp:lastModifiedBy>付玮</cp:lastModifiedBy>
  <cp:revision>1</cp:revision>
  <dcterms:created xsi:type="dcterms:W3CDTF">2026-07-28T02:09:22Z</dcterms:created>
  <dcterms:modified xsi:type="dcterms:W3CDTF">2026-08-10T08:12:05Z</dcterms:modified>
</cp:coreProperties>
</file>