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方正小标宋_GBK" w:hint="eastAsia"/>
          <w:sz w:val="32"/>
          <w:szCs w:val="32"/>
        </w:rPr>
      </w:pPr>
      <w:r>
        <w:rPr>
          <w:rFonts w:ascii="方正黑体_GBK" w:eastAsia="方正黑体_GBK" w:cs="方正小标宋_GBK" w:hint="eastAsia"/>
          <w:sz w:val="32"/>
          <w:szCs w:val="32"/>
        </w:rPr>
        <w:t>附件</w:t>
      </w:r>
      <w:r>
        <w:rPr>
          <w:rFonts w:ascii="方正黑体_GBK" w:eastAsia="方正黑体_GBK" w:cs="方正小标宋_GBK"/>
          <w:sz w:val="32"/>
          <w:szCs w:val="32"/>
        </w:rPr>
        <w:t>1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7164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楷体_GBK" w:cs="方正楷体_GBK" w:hAnsi="Times New Roman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685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二连海关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  <w:lang w:val="en-US" w:eastAsia="zh-CN"/>
              </w:rPr>
              <w:t>国门生物安全监测（外来入侵昆虫及杂草）服务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项目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采购预算</w:t>
            </w:r>
          </w:p>
        </w:tc>
        <w:tc>
          <w:tcPr>
            <w:tcW w:w="685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0,000.00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评审方法</w:t>
            </w:r>
          </w:p>
        </w:tc>
        <w:tc>
          <w:tcPr>
            <w:tcW w:w="6852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sym w:font="Wingdings 2" w:char="A3"/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sym w:font="Wingdings 2" w:char="52"/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综合评分法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楷体_GBK" w:cs="方正楷体_GBK" w:hAnsi="Times New Roman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1551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说明</w:t>
            </w:r>
          </w:p>
        </w:tc>
        <w:tc>
          <w:tcPr>
            <w:tcW w:w="685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2337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52" w:type="dxa"/>
          </w:tcPr>
          <w:p>
            <w:pPr>
              <w:spacing w:line="400" w:lineRule="exac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</w:p>
          <w:p>
            <w:pPr>
              <w:pStyle w:val="63"/>
              <w:spacing w:line="400" w:lineRule="exac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1.具有独立法人资格，能够承担本项目实施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提供其他书面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资质证明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材料，包括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工商营业执照或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三合一证照复印件、法人授权书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、具备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独立承担本项目实施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能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力承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诺书。</w:t>
            </w:r>
          </w:p>
        </w:tc>
      </w:tr>
      <w:tr>
        <w:trPr>
          <w:trHeight w:val="4045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实质性需求</w:t>
            </w:r>
          </w:p>
        </w:tc>
        <w:tc>
          <w:tcPr>
            <w:tcW w:w="6852" w:type="dxa"/>
          </w:tcPr>
          <w:p>
            <w:pPr>
              <w:spacing w:line="560" w:lineRule="exact"/>
              <w:ind w:left="0"/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  <w:t>【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  <w:lang w:val="en-US" w:eastAsia="zh-CN"/>
              </w:rPr>
              <w:t>以下内容需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  <w:t>提供承诺函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  <w:lang w:val="en-US" w:eastAsia="zh-CN"/>
              </w:rPr>
              <w:t>安全承诺书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并加盖单位公章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  <w:t>】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一、</w:t>
            </w:r>
            <w:r>
              <w:rPr>
                <w:rFonts w:ascii="方正仿宋_GBK" w:eastAsia="方正仿宋_GBK"/>
                <w:sz w:val="28"/>
                <w:szCs w:val="28"/>
              </w:rPr>
              <w:t>实蝇监测计划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（一）区域设置及监测点的选择。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监测点首要选择具有成熟果实的主要寄主植物，且监测点常需随寄主果实的成熟期变更而进行调整。在某些监测区内，如果没有主要寄主，则应选用次要寄主。如果没有实蝇寄主植物，则可选择能为实蝇成虫提供庇护或者食物的植物或场所。在监测点选择时，还应考虑以下两个因素：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1．应避开农事操作（如杀虫剂的使用）对实蝇诱捕效果的影响。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2．水果入境口岸，如没有寄主植物可选，则可将监测点选择在口岸周边有寄主植物的场所。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（二）</w:t>
            </w:r>
            <w:r>
              <w:rPr>
                <w:rFonts w:ascii="方正仿宋_GBK" w:eastAsia="方正仿宋_GBK"/>
                <w:sz w:val="28"/>
                <w:szCs w:val="28"/>
              </w:rPr>
              <w:t>监测药器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的选择。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根据监测方案提供相关内容。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二、</w:t>
            </w:r>
            <w:r>
              <w:rPr>
                <w:rFonts w:ascii="方正仿宋_GBK" w:eastAsia="方正仿宋_GBK"/>
                <w:sz w:val="28"/>
                <w:szCs w:val="28"/>
              </w:rPr>
              <w:t>马铃薯甲虫监测计划</w:t>
            </w:r>
          </w:p>
          <w:p>
            <w:pPr>
              <w:spacing w:line="560" w:lineRule="exact"/>
              <w:ind w:left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（一）检疫监测范围。</w:t>
            </w:r>
          </w:p>
          <w:p>
            <w:pPr>
              <w:spacing w:line="560" w:lineRule="exact"/>
              <w:ind w:left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口岸隶属海关在进境口岸现场结合对进境植物及植物产品、其他货物、包装物、铺垫材料、运输工具、旅客携带物等的检疫查验，开展马铃薯甲虫疫情监测。防止马铃薯甲虫随进境的人员、货物、运输工具等远距离传入。</w:t>
            </w:r>
          </w:p>
          <w:p>
            <w:pPr>
              <w:spacing w:line="560" w:lineRule="exact"/>
              <w:ind w:left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（二）监测点的选择及设置。</w:t>
            </w:r>
          </w:p>
          <w:p>
            <w:pPr>
              <w:spacing w:line="560" w:lineRule="exact"/>
              <w:ind w:left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根据疫情动态及边境地理环境合理部署监测点，尽量选择靠近边境以及边境口岸附近、运输工具来往频繁的公路两旁以及寄主植物种植面积较大、较集中的地块。优先选择沙土和沙壤土。尽量选择早播地块。根据寄主植物分布情况，以乡（镇）行政区域为单位，每个乡（镇）地至少选择2个相距较远的寄主植物种植地块作为监测点，高风险区应尽可能多设监测点。</w:t>
            </w:r>
          </w:p>
          <w:p>
            <w:pPr>
              <w:spacing w:line="560" w:lineRule="exact"/>
              <w:ind w:left="0"/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  <w:t>三、</w:t>
            </w:r>
            <w:r>
              <w:rPr>
                <w:rFonts w:ascii="方正仿宋_GBK" w:eastAsia="方正仿宋_GBK" w:cs="FZFangSong-Z02" w:hint="eastAsia"/>
                <w:bCs/>
                <w:sz w:val="28"/>
                <w:szCs w:val="28"/>
                <w:lang w:val="zh-CN"/>
              </w:rPr>
              <w:t>红火蚁</w:t>
            </w:r>
            <w:r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  <w:t>、小火蚁</w:t>
            </w:r>
            <w:r>
              <w:rPr>
                <w:rFonts w:ascii="方正仿宋_GBK" w:eastAsia="方正仿宋_GBK" w:cs="FZFangSong-Z02" w:hint="eastAsia"/>
                <w:bCs/>
                <w:sz w:val="28"/>
                <w:szCs w:val="28"/>
                <w:lang w:val="zh-CN"/>
              </w:rPr>
              <w:t>监测</w:t>
            </w:r>
            <w:r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  <w:t>计划</w:t>
            </w:r>
          </w:p>
          <w:p>
            <w:pPr>
              <w:spacing w:line="560" w:lineRule="exact"/>
              <w:ind w:left="0"/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  <w:t>四、日本金龟子</w:t>
            </w:r>
            <w:r>
              <w:rPr>
                <w:rFonts w:ascii="方正仿宋_GBK" w:eastAsia="方正仿宋_GBK" w:cs="FZFangSong-Z02" w:hint="eastAsia"/>
                <w:bCs/>
                <w:sz w:val="28"/>
                <w:szCs w:val="28"/>
                <w:lang w:val="zh-CN"/>
              </w:rPr>
              <w:t>监测</w:t>
            </w:r>
            <w:r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  <w:t>计划</w:t>
            </w:r>
          </w:p>
          <w:p>
            <w:pPr>
              <w:spacing w:line="560" w:lineRule="exact"/>
              <w:ind w:left="0"/>
              <w:rPr>
                <w:rFonts w:ascii="方正仿宋_GBK" w:eastAsia="方正仿宋_GBK" w:cs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  <w:t>五、外来杂草</w:t>
            </w:r>
            <w:r>
              <w:rPr>
                <w:rFonts w:ascii="方正仿宋_GBK" w:eastAsia="方正仿宋_GBK" w:cs="FZFangSong-Z02" w:hint="eastAsia"/>
                <w:bCs/>
                <w:sz w:val="28"/>
                <w:szCs w:val="28"/>
                <w:lang w:val="zh-CN"/>
              </w:rPr>
              <w:t>监测</w:t>
            </w:r>
            <w:r>
              <w:rPr>
                <w:rFonts w:ascii="方正仿宋_GBK" w:eastAsia="方正仿宋_GBK" w:cs="FZFangSong-Z02"/>
                <w:bCs/>
                <w:sz w:val="28"/>
                <w:szCs w:val="28"/>
                <w:lang w:val="zh-CN"/>
              </w:rPr>
              <w:t>计划</w:t>
            </w:r>
          </w:p>
        </w:tc>
      </w:tr>
      <w:tr>
        <w:trPr>
          <w:trHeight w:val="1863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评审因素</w:t>
            </w:r>
          </w:p>
        </w:tc>
        <w:tc>
          <w:tcPr>
            <w:tcW w:w="6852" w:type="dxa"/>
          </w:tcPr>
          <w:p>
            <w:pPr>
              <w:pStyle w:val="81"/>
              <w:spacing w:line="560" w:lineRule="exact"/>
              <w:jc w:val="left"/>
              <w:rPr>
                <w:rFonts w:ascii="方正仿宋_GBK" w:eastAsia="方正仿宋_GBK" w:cs="Arial"/>
                <w:sz w:val="32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本评分标准采用综合评分法，总分 100 分，适用于口岸国门生物安全监测、外来入侵物种调查、样本鉴定、风险评估等国门生物安全技术服务项目。所有评分均在资格审查、符合性审查通过后开展。</w:t>
            </w:r>
            <w:bookmarkStart w:id="1" w:name="heading_0"/>
          </w:p>
          <w:p>
            <w:pPr>
              <w:pStyle w:val="81"/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sz w:val="32"/>
              </w:rPr>
              <w:t>一、资格审查（一票否决项，不计分）</w:t>
            </w:r>
            <w:bookmarkEnd w:id="1"/>
          </w:p>
          <w:tbl>
            <w:tblPr>
              <w:jc w:val="left"/>
              <w:tblW w:w="68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80"/>
              <w:gridCol w:w="1120"/>
              <w:gridCol w:w="5020"/>
            </w:tblGrid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序号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审查项目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审查标准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主体资格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具备独立法人资格，营业执照经营范围包含为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检验检疫提供技术保障、检验检疫和鉴定、实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验室检测等相关内容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信用记录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未被列入失信被执行人、重大税收违法失信主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体、政府采购严重违法失信行为记录名单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合规记录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近 3 年无生物安全事故、检疫检测类行政处罚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、数据造假不良记录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投标要求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本项目不接受联合体投标（招标文件另行约定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除外）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人员承诺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项目核心人员无在岗冲突，可全职履约本项目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安全承诺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可提供样本管理、数据保密、生物安全合规承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诺书</w:t>
                  </w:r>
                </w:p>
              </w:tc>
            </w:tr>
          </w:tbl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20" w:after="120" w:line="560" w:lineRule="exact"/>
              <w:outlineLvl w:val="1"/>
              <w:rPr>
                <w:rFonts w:ascii="方正仿宋_GBK" w:eastAsia="方正仿宋_GBK" w:hint="eastAsia"/>
              </w:rPr>
            </w:pPr>
            <w:bookmarkStart w:id="2" w:name="heading_1"/>
            <w:r>
              <w:rPr>
                <w:rFonts w:ascii="方正仿宋_GBK" w:eastAsia="方正仿宋_GBK" w:cs="Arial" w:hint="eastAsia"/>
                <w:sz w:val="32"/>
              </w:rPr>
              <w:t>二、符合性审查（一票否决项，不计分）</w:t>
            </w:r>
            <w:bookmarkEnd w:id="2"/>
          </w:p>
          <w:tbl>
            <w:tblPr>
              <w:jc w:val="lef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80"/>
              <w:gridCol w:w="1560"/>
              <w:gridCol w:w="4640"/>
            </w:tblGrid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序号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审查项目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审查标准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投标文件规范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投标文件签字盖章齐全、格式合规、报价有效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期、服务周期响应招标文件要求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报价合规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投标报价未超出项目预算及最高限价，报价包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含全部履约费用，无隐形收费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核心需求响应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监测点位、监测频次、靶标生物、鉴定时限、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报告交付等★核心要求无负偏离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行业规范响应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承诺严格遵守海关国门生物安全、样本管理、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保密管理相关规章制度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政策响应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响应政府采购中小企业、节能环保等相关政策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要求</w:t>
                  </w:r>
                </w:p>
              </w:tc>
            </w:tr>
          </w:tbl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20" w:after="120" w:line="560" w:lineRule="exact"/>
              <w:outlineLvl w:val="1"/>
              <w:rPr>
                <w:rFonts w:ascii="方正仿宋_GBK" w:eastAsia="方正仿宋_GBK" w:cs="Arial"/>
                <w:sz w:val="32"/>
              </w:rPr>
            </w:pPr>
            <w:bookmarkStart w:id="3" w:name="heading_2"/>
            <w:r>
              <w:rPr>
                <w:rFonts w:ascii="方正仿宋_GBK" w:eastAsia="方正仿宋_GBK" w:cs="Arial" w:hint="eastAsia"/>
                <w:sz w:val="32"/>
              </w:rPr>
              <w:t>三、详细量化评分细则（总分 100 分）</w:t>
            </w:r>
            <w:bookmarkStart w:id="4" w:name="heading_3"/>
            <w:bookmarkEnd w:id="3"/>
          </w:p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20" w:after="120" w:line="560" w:lineRule="exact"/>
              <w:outlineLvl w:val="1"/>
              <w:rPr>
                <w:rFonts w:ascii="方正仿宋_GBK" w:eastAsia="方正仿宋_GBK"/>
                <w:sz w:val="30"/>
              </w:rPr>
            </w:pPr>
            <w:r>
              <w:rPr>
                <w:rFonts w:ascii="方正仿宋_GBK" w:eastAsia="方正仿宋_GBK" w:cs="Arial" w:hint="eastAsia"/>
                <w:sz w:val="30"/>
              </w:rPr>
              <w:t>1. 投标报价（20 分）</w:t>
            </w:r>
            <w:bookmarkEnd w:id="4"/>
          </w:p>
          <w:tbl>
            <w:tblPr>
              <w:jc w:val="lef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6"/>
              <w:gridCol w:w="460"/>
              <w:gridCol w:w="3923"/>
              <w:gridCol w:w="1849"/>
            </w:tblGrid>
            <w:tr>
              <w:trPr>
                <w:trHeight w:val="1485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4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报价合理性</w:t>
                  </w: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20</w:t>
                  </w:r>
                </w:p>
              </w:tc>
              <w:tc>
                <w:tcPr>
                  <w:tcW w:w="4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1. 以所有有效投标报价中的</w:t>
                  </w:r>
                  <w:r>
                    <w:rPr>
                      <w:rFonts w:ascii="方正仿宋_GBK" w:eastAsia="方正仿宋_GBK" w:cs="Arial" w:hint="eastAsia"/>
                      <w:b/>
                    </w:rPr>
                    <w:t>最低报价；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2. 得分计算公式：(评标基准价 ÷ 投标报价)×20，保留 2 位；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3. 报价明显低于市场合理成本且无法提供合理解释及佐证材料的，本项得 0 分，严重异常作无效投标处理。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完整报价清单、分项报价明细、成本说明（按需）</w:t>
                  </w:r>
                </w:p>
              </w:tc>
            </w:tr>
          </w:tbl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288" w:lineRule="auto"/>
              <w:outlineLvl w:val="2"/>
              <w:rPr>
                <w:rFonts w:ascii="方正仿宋_GBK" w:eastAsia="方正仿宋_GBK" w:hint="eastAsia"/>
              </w:rPr>
            </w:pPr>
            <w:bookmarkStart w:id="5" w:name="heading_4"/>
            <w:r>
              <w:rPr>
                <w:rFonts w:ascii="方正仿宋_GBK" w:eastAsia="方正仿宋_GBK" w:cs="Arial" w:hint="eastAsia"/>
                <w:sz w:val="30"/>
              </w:rPr>
              <w:t>2. 技术实施方案（32 分）</w:t>
            </w:r>
            <w:bookmarkEnd w:id="5"/>
          </w:p>
          <w:tbl>
            <w:tblPr>
              <w:jc w:val="lef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72"/>
              <w:gridCol w:w="490"/>
              <w:gridCol w:w="3875"/>
              <w:gridCol w:w="1898"/>
            </w:tblGrid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监测整体实施方案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12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优秀（10-12 分）：方案完全匹配本口岸类型、风险区域、监测靶标、年度 / 季度监测频次，布点科学合理、全覆盖高风险点位，具备完整标准化作业流程、专项季节监测；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良好（6-9 分）：基本响应招标需求，方案完整，布点及监测流程略有优化空间；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一般（0-5 分）：方案笼统，点位、频次、靶标监测存在明显缺项、漏项。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监测布点图、年度监测计划表、现场作业 SOP、设备耗材选型说明</w:t>
                  </w:r>
                </w:p>
              </w:tc>
            </w:tr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样本鉴定与实验室检测能力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10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优秀（8-10 分）：自有 CMA/CNAS 合规实验室，可独立完成形态鉴定、分子 DNA 鉴定、杂草检疫等全部检测项目，鉴定时限≤3 个工作日，配套标准标本库及专业鉴定；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良好（4-7 分）：具备基础实验室，核心检测可完成，分子检测委托正规资质机构，鉴定时限≤5 个工作日；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一般（0-3 分）：无固定检测场地，全部检测业务外委，无稳定合作机构。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实验室资质证书、设备清单、检测时效承诺</w:t>
                  </w:r>
                </w:p>
              </w:tc>
            </w:tr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质量控制与数据管理体系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10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优秀（8-10 分）：建立全流程质控体系，包含平行样本、空白对照、盲样考核、耗材质控、人员考核，具备电子化台账、数据加密存档、海关数据直报、年度内审、异常样本复核机制；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良好（4-7 分）：具备基础质控流程，缺少电子化管理、盲样考核等部分；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一般（0-3 分）：无系统性质控方案，台账管理简单粗放。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质控管理制度标准化记录表、数据管理方案、内审计划</w:t>
                  </w:r>
                </w:p>
              </w:tc>
            </w:tr>
          </w:tbl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560" w:lineRule="exact"/>
              <w:outlineLvl w:val="2"/>
              <w:rPr>
                <w:rFonts w:ascii="方正仿宋_GBK" w:eastAsia="方正仿宋_GBK" w:cs="Arial"/>
                <w:sz w:val="30"/>
              </w:rPr>
            </w:pPr>
            <w:bookmarkStart w:id="6" w:name="heading_5"/>
            <w:r>
              <w:rPr>
                <w:rFonts w:ascii="方正仿宋_GBK" w:eastAsia="方正仿宋_GBK" w:cs="Arial" w:hint="eastAsia"/>
                <w:sz w:val="30"/>
              </w:rPr>
              <w:t>3. 商务综合实力（30 分）</w:t>
            </w:r>
            <w:bookmarkEnd w:id="6"/>
          </w:p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560" w:lineRule="exact"/>
              <w:outlineLvl w:val="2"/>
              <w:rPr>
                <w:rFonts w:ascii="方正仿宋_GBK" w:eastAsia="方正仿宋_GBK" w:hint="eastAsia"/>
                <w:sz w:val="30"/>
              </w:rPr>
            </w:pPr>
          </w:p>
          <w:tbl>
            <w:tblPr>
              <w:jc w:val="left"/>
              <w:tblW w:w="6938" w:type="dxa"/>
              <w:tblBorders>
                <w:top w:val="single" w:sz="2" w:space="0" w:color="DEE0E3"/>
                <w:left w:val="single" w:sz="2" w:space="0" w:color="DEE0E3"/>
                <w:bottom w:val="single" w:sz="2" w:space="0" w:color="DEE0E3"/>
                <w:right w:val="single" w:sz="2" w:space="0" w:color="DEE0E3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25"/>
              <w:gridCol w:w="587"/>
              <w:gridCol w:w="3823"/>
              <w:gridCol w:w="1903"/>
            </w:tblGrid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同类项目业绩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12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近 3 年海关、</w:t>
                  </w:r>
                  <w:r>
                    <w:rPr>
                      <w:rFonts w:ascii="方正仿宋_GBK" w:eastAsia="方正仿宋_GBK" w:cs="Arial"/>
                    </w:rPr>
                    <w:t>中蒙</w:t>
                  </w:r>
                  <w:r>
                    <w:rPr>
                      <w:rFonts w:ascii="方正仿宋_GBK" w:eastAsia="方正仿宋_GBK" w:cs="Arial" w:hint="eastAsia"/>
                    </w:rPr>
                    <w:t>边境国门生物安全相关</w:t>
                  </w:r>
                  <w:r>
                    <w:rPr>
                      <w:rFonts w:ascii="方正仿宋_GBK" w:eastAsia="方正仿宋_GBK" w:cs="Arial" w:hint="eastAsia"/>
                      <w:b/>
                    </w:rPr>
                    <w:t>有害生物监测、外来物种调查</w:t>
                  </w:r>
                  <w:r>
                    <w:rPr>
                      <w:rFonts w:ascii="方正仿宋_GBK" w:eastAsia="方正仿宋_GBK" w:cs="Arial" w:hint="eastAsia"/>
                    </w:rPr>
                    <w:t>项目业绩，每份有效业绩得 4 分，满分 12分。</w:t>
                  </w:r>
                  <w:r>
                    <w:rPr>
                      <w:rFonts w:ascii="方正仿宋_GBK" w:eastAsia="方正仿宋_GBK" w:hint="eastAsia"/>
                    </w:rPr>
                    <w:t xml:space="preserve"> 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合同关键页、项目验收报告、中标通知书（缺一不可）</w:t>
                  </w:r>
                </w:p>
              </w:tc>
            </w:tr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资质认证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8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1. 具备CNAS 检验检测资质（含动植物检疫、检测能力附表）缺项按实际取得计分，满分 8 分。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有效资质证书、国家认监委官网查询截图</w:t>
                  </w:r>
                </w:p>
              </w:tc>
            </w:tr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专业技术团队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10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1. 项目负责人：生物、植保、预防医学相关专业</w:t>
                  </w:r>
                  <w:r>
                    <w:rPr>
                      <w:rFonts w:ascii="方正仿宋_GBK" w:eastAsia="方正仿宋_GBK" w:cs="Arial"/>
                    </w:rPr>
                    <w:t>副</w:t>
                  </w:r>
                  <w:r>
                    <w:rPr>
                      <w:rFonts w:ascii="方正仿宋_GBK" w:eastAsia="方正仿宋_GBK" w:cs="Arial" w:hint="eastAsia"/>
                    </w:rPr>
                    <w:t>高</w:t>
                  </w:r>
                  <w:r>
                    <w:rPr>
                      <w:rFonts w:ascii="方正仿宋_GBK" w:eastAsia="方正仿宋_GBK" w:cs="Arial"/>
                    </w:rPr>
                    <w:t>级</w:t>
                  </w:r>
                  <w:r>
                    <w:rPr>
                      <w:rFonts w:ascii="方正仿宋_GBK" w:eastAsia="方正仿宋_GBK" w:cs="Arial" w:hint="eastAsia"/>
                    </w:rPr>
                    <w:t>以上职称 + 3 年以上口岸监测项目经验；</w:t>
                  </w:r>
                </w:p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2. 专职技术人员：持证上岗专业人员，每 1 名得 1 分，最高 2 分。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职称证书、项目履历证明</w:t>
                  </w:r>
                </w:p>
              </w:tc>
            </w:tr>
          </w:tbl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240" w:lineRule="exact"/>
              <w:outlineLvl w:val="2"/>
              <w:rPr>
                <w:rFonts w:ascii="方正仿宋_GBK" w:eastAsia="方正仿宋_GBK" w:hint="eastAsia"/>
              </w:rPr>
            </w:pPr>
            <w:bookmarkStart w:id="7" w:name="heading_6"/>
            <w:r>
              <w:rPr>
                <w:rFonts w:ascii="方正仿宋_GBK" w:eastAsia="方正仿宋_GBK" w:cs="Arial" w:hint="eastAsia"/>
                <w:sz w:val="30"/>
              </w:rPr>
              <w:t>4. 服务保障与履约承诺（18 分）</w:t>
            </w:r>
            <w:bookmarkEnd w:id="7"/>
          </w:p>
          <w:tbl>
            <w:tblPr>
              <w:jc w:val="left"/>
              <w:tblBorders>
                <w:top w:val="single" w:sz="2" w:space="0" w:color="DEE0E3"/>
                <w:left w:val="single" w:sz="2" w:space="0" w:color="DEE0E3"/>
                <w:bottom w:val="single" w:sz="2" w:space="0" w:color="DEE0E3"/>
                <w:right w:val="single" w:sz="2" w:space="0" w:color="DEE0E3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29"/>
              <w:gridCol w:w="490"/>
              <w:gridCol w:w="4236"/>
              <w:gridCol w:w="1583"/>
            </w:tblGrid>
            <w:t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本地化服务能力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12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项目属地设有固定办公场所、驻场实验室、常驻作业团队，承诺 2 小时现场响应，得 8 分；有本地办公无驻场团队得 1 分；无本地服务网点得 0 分。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场地证明、驻场人员名单、本地化服务承诺函</w:t>
                  </w:r>
                </w:p>
              </w:tc>
            </w:tr>
            <w:t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成果交付与售后保障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承诺按时交付月度简报、季度分析报告、年度风险评估总报告，提供数据可视化、业务培训、标本建档等增值服务，得6 分；仅满足基础交付要求得 1-2 分；交付方案不完善得 0 分。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8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履约交付方案、售后服务承诺书</w:t>
                  </w:r>
                </w:p>
              </w:tc>
            </w:tr>
          </w:tbl>
          <w:p>
            <w:pPr>
              <w:pStyle w:val="81"/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五、最终评标排序规则</w:t>
            </w:r>
          </w:p>
          <w:p>
            <w:pPr>
              <w:pStyle w:val="81"/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1.</w:t>
              <w:tab/>
              <w:t>评委独立打分，去掉最高分、最低分后取算术平均值，为投标人最终得分（保留 2 位小数）；</w:t>
            </w:r>
          </w:p>
          <w:p>
            <w:pPr>
              <w:pStyle w:val="81"/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2.</w:t>
              <w:tab/>
              <w:t>按最终得分由高至低排序，确定中标候选人；</w:t>
            </w:r>
          </w:p>
          <w:p>
            <w:pPr>
              <w:pStyle w:val="81"/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3.</w:t>
              <w:tab/>
              <w:t>同分优先级：技术方案得分高者优先→报价低者优先→同类项目业绩多者优先。</w:t>
            </w:r>
          </w:p>
          <w:p>
            <w:pPr>
              <w:pStyle w:val="81"/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六、备注</w:t>
            </w:r>
          </w:p>
          <w:p>
            <w:pPr>
              <w:pStyle w:val="81"/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1.</w:t>
              <w:tab/>
              <w:t>所有佐证材料需真实有效、清晰可查，证书、业绩均需在有效期、考核期内；</w:t>
            </w:r>
          </w:p>
          <w:p>
            <w:pPr>
              <w:pStyle w:val="81"/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2.</w:t>
              <w:tab/>
              <w:t>本评分细则为服务类项目标准版本，设备耗材采购类项目可按需求调整价格、技术权重；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3.</w:t>
              <w:tab/>
              <w:t>所有承诺类材料均需加盖单位公章，否则不予计分。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Wingdings 2">
    <w:altName w:val="DejaVu Sans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FZFangSong-Z02">
    <w:altName w:val="Traditional Arabic"/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altName w:val="国标黑体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Wingdings">
    <w:altName w:val="DejaVu Sans"/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13276D7"/>
    <w:multiLevelType w:val="singleLevel"/>
    <w:tmpl w:val="013276D7"/>
    <w:lvl w:ilvl="0">
      <w:start w:val="1"/>
      <w:numFmt w:val="bullet"/>
      <w:lvlRestart w:val="0"/>
      <w:pStyle w:val="15"/>
      <w:lvlText w:val=""/>
      <w:lvlJc w:val="left"/>
      <w:pPr>
        <w:ind w:left="1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Bullet 4"/>
    <w:basedOn w:val="0"/>
    <w:pPr>
      <w:numPr>
        <w:ilvl w:val="0"/>
        <w:numId w:val="1"/>
      </w:numPr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Normal Indent"/>
    <w:basedOn w:val="0"/>
    <w:pPr>
      <w:ind w:firstLine="420"/>
    </w:pPr>
  </w:style>
  <w:style w:type="paragraph" w:styleId="18">
    <w:name w:val="Body Text"/>
    <w:basedOn w:val="0"/>
    <w:pPr>
      <w:spacing w:after="120"/>
    </w:p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0"/>
    <w:autoRedefine/>
    <w:next w:val="0"/>
  </w:style>
  <w:style w:type="paragraph" w:styleId="22">
    <w:name w:val="Title"/>
    <w:basedOn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character" w:styleId="23">
    <w:name w:val="line number"/>
    <w:basedOn w:val="10"/>
  </w:style>
  <w:style w:type="paragraph" w:customStyle="1" w:styleId="2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1 10 磅"/>
    <w:next w:val="1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3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4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0 10 磅"/>
    <w:next w:val="29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7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22 10 磅"/>
    <w:next w:val="30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9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2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1">
    <w:name w:val="样式 2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2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3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9">
    <w:name w:val="样式 3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0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List Paragraph"/>
    <w:next w:val="19"/>
    <w:pPr>
      <w:widowControl w:val="0"/>
      <w:ind w:firstLineChars="200" w:firstLine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3">
    <w:name w:val="样式 36 10 磅"/>
    <w:next w:val="4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45 10 磅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1">
    <w:name w:val="样式 41 10 磅"/>
    <w:pPr>
      <w:widowControl w:val="0"/>
      <w:ind w:firstLineChars="200" w:firstLine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2">
    <w:name w:val="样式 70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1 小四"/>
    <w:pPr>
      <w:widowControl w:val="0"/>
      <w:spacing w:line="240" w:lineRule="auto"/>
      <w:jc w:val="both"/>
    </w:pPr>
    <w:rPr>
      <w:rFonts w:ascii="宋体" w:eastAsia="宋体" w:cs="宋体"/>
      <w:kern w:val="2"/>
      <w:sz w:val="24"/>
      <w:szCs w:val="24"/>
      <w:lang w:val="en-US" w:eastAsia="zh-CN" w:bidi="ar-SA"/>
    </w:rPr>
  </w:style>
  <w:style w:type="character" w:styleId="74">
    <w:name w:val="Hyperlink"/>
    <w:basedOn w:val="10"/>
    <w:rPr>
      <w:color w:val="0000FF"/>
      <w:u w:val="single"/>
    </w:rPr>
  </w:style>
  <w:style w:type="paragraph" w:styleId="75">
    <w:name w:val="Block Text"/>
    <w:basedOn w:val="0"/>
    <w:pPr>
      <w:spacing w:after="120"/>
      <w:ind w:left="140" w:rightChars="700" w:right="700"/>
    </w:pPr>
  </w:style>
  <w:style w:type="paragraph" w:customStyle="1" w:styleId="76">
    <w:name w:val="样式 1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9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0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1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2">
    <w:name w:val="样式 11 磅"/>
    <w:next w:val="80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253</TotalTime>
  <Application>Yozo_Office</Application>
  <Pages>7</Pages>
  <Words>2781</Words>
  <Characters>2867</Characters>
  <Lines>83</Lines>
  <Paragraphs>163</Paragraphs>
  <CharactersWithSpaces>2951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dcterms:created xsi:type="dcterms:W3CDTF">2025-05-16T02:09:00Z</dcterms:created>
  <dcterms:modified xsi:type="dcterms:W3CDTF">2026-08-14T01:09:33Z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13FC03BBBE644E12906E8756822649A7_13</vt:lpwstr>
  </property>
  <property fmtid="{D5CDD505-2E9C-101B-9397-08002B2CF9AE}" pid="4" name="KSOTemplateDocerSaveRecord">
    <vt:lpwstr>eyJoZGlkIjoiYzg4ZWUzYzA3MTJjZTQ5MGFhMzMwM2QyYzVlZjlmODAiLCJ1c2VySWQiOiIyMDk5NTQ3MTIifQ==</vt:lpwstr>
  </property>
</Properties>
</file>