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方正黑体_GBK"/>
          <w:sz w:val="32"/>
          <w:szCs w:val="32"/>
        </w:rPr>
      </w:pPr>
      <w:bookmarkStart w:id="0" w:name="_GoBack"/>
      <w:bookmarkEnd w:id="0"/>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62" w:type="dxa"/>
            <w:vAlign w:val="center"/>
          </w:tcPr>
          <w:p>
            <w:pPr>
              <w:spacing w:line="560" w:lineRule="exact"/>
              <w:jc w:val="center"/>
              <w:rPr>
                <w:rFonts w:ascii="方正仿宋_GBK" w:eastAsia="方正仿宋_GBK" w:cs="方正仿宋_GBK" w:hint="eastAsia"/>
                <w:sz w:val="28"/>
                <w:szCs w:val="28"/>
                <w:lang w:eastAsia="zh-CN"/>
              </w:rPr>
            </w:pPr>
            <w:r>
              <w:rPr>
                <w:rFonts w:ascii="方正仿宋_GBK" w:eastAsia="方正仿宋_GBK" w:cs="方正仿宋_GBK" w:hint="eastAsia"/>
                <w:sz w:val="28"/>
                <w:szCs w:val="28"/>
              </w:rPr>
              <w:t>二连海关机房线路改造服务</w:t>
            </w:r>
            <w:r>
              <w:rPr>
                <w:rFonts w:ascii="方正仿宋_GBK" w:eastAsia="方正仿宋_GBK" w:cs="方正仿宋_GBK" w:hint="eastAsia"/>
                <w:sz w:val="28"/>
                <w:szCs w:val="28"/>
                <w:lang w:eastAsia="zh-CN"/>
              </w:rPr>
              <w:t>（二次）</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62"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lang w:val="en-US" w:eastAsia="zh-CN"/>
              </w:rPr>
              <w:t>12</w:t>
            </w:r>
            <w:r>
              <w:rPr>
                <w:rFonts w:ascii="Times New Roman" w:eastAsia="方正仿宋_GBK" w:cs="Times New Roman" w:hAnsi="Times New Roman"/>
                <w:sz w:val="28"/>
                <w:szCs w:val="28"/>
              </w:rPr>
              <w:t>0000.00元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62"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F0A3"/>
            </w:r>
            <w:r>
              <w:rPr>
                <w:rFonts w:ascii="方正仿宋_GBK" w:eastAsia="方正仿宋_GBK" w:cs="方正仿宋_GBK" w:hint="eastAsia"/>
                <w:sz w:val="28"/>
                <w:szCs w:val="28"/>
              </w:rPr>
              <w:t>综合评分法（权重：价格</w:t>
            </w:r>
            <w:r>
              <w:rPr>
                <w:rFonts w:ascii="Times New Roman" w:eastAsia="方正仿宋_GBK" w:cs="Times New Roman" w:hAnsi="Times New Roman"/>
                <w:sz w:val="28"/>
                <w:szCs w:val="28"/>
              </w:rPr>
              <w:t>30%、评审因素70%</w:t>
            </w:r>
            <w:r>
              <w:rPr>
                <w:rFonts w:ascii="方正仿宋_GBK" w:eastAsia="方正仿宋_GBK" w:cs="方正仿宋_GBK" w:hint="eastAsia"/>
                <w:sz w:val="28"/>
                <w:szCs w:val="28"/>
              </w:rPr>
              <w:t>）</w:t>
            </w:r>
          </w:p>
        </w:tc>
      </w:tr>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3421"/>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862"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tc>
      </w:tr>
      <w:tr>
        <w:trPr>
          <w:trHeight w:val="2659"/>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862" w:type="dxa"/>
            <w:vAlign w:val="center"/>
          </w:tcPr>
          <w:p>
            <w:pPr>
              <w:spacing w:line="400" w:lineRule="exact"/>
              <w:ind w:firstLineChars="200" w:firstLine="560"/>
              <w:rPr>
                <w:rFonts w:ascii="宋体" w:eastAsia="宋体" w:hint="eastAsia"/>
                <w:sz w:val="28"/>
                <w:szCs w:val="28"/>
              </w:rPr>
            </w:pPr>
            <w:r>
              <w:rPr>
                <w:rFonts w:ascii="宋体" w:eastAsia="宋体" w:hint="eastAsia"/>
                <w:sz w:val="28"/>
                <w:szCs w:val="28"/>
              </w:rPr>
              <w:t>供应商须为中华人民共和国境内依法注册的独立法人企业，持有有效营业执照，具备独立承担民事责任、履行合同全部义务的能力；本项目为机房线路整治、布线改造、网络优化项目，不接受联合体投标，不允许转包、违法分包，不接受个体工商户、分支机构参与投标</w:t>
            </w:r>
            <w:r>
              <w:rPr>
                <w:rFonts w:ascii="宋体" w:eastAsia="宋体"/>
                <w:sz w:val="28"/>
                <w:szCs w:val="28"/>
              </w:rPr>
              <w:t>；经营范围须包含计算机系统集成、机房弱电工程、综合布线、网络运维相关类目，营业执照经营范围无对应项视为资格不满足。</w:t>
            </w:r>
          </w:p>
          <w:p>
            <w:pPr>
              <w:spacing w:line="400" w:lineRule="exact"/>
              <w:ind w:firstLineChars="200" w:firstLine="560"/>
              <w:rPr>
                <w:rFonts w:ascii="宋体" w:eastAsia="宋体" w:hint="eastAsia"/>
                <w:sz w:val="28"/>
                <w:szCs w:val="28"/>
              </w:rPr>
            </w:pPr>
            <w:r>
              <w:rPr>
                <w:rFonts w:ascii="宋体" w:eastAsia="宋体" w:hint="eastAsia"/>
                <w:sz w:val="28"/>
                <w:szCs w:val="28"/>
              </w:rPr>
              <w:t>供应商自有固定弱电、网络、配电运维技术团队，在岗人员持有低压电工证、弱电系统施工、网络设备调试、机房运维等有效资格证书，全部持证上岗，可熟练完成机房光纤规整、网线整改、强弱电布线、网络优化、故障排查、台账建设全流程施工工作。</w:t>
            </w:r>
          </w:p>
          <w:p>
            <w:pPr>
              <w:spacing w:line="400" w:lineRule="exact"/>
              <w:ind w:firstLineChars="200" w:firstLine="560"/>
              <w:rPr>
                <w:rFonts w:ascii="宋体" w:eastAsia="宋体" w:hint="eastAsia"/>
                <w:sz w:val="28"/>
                <w:szCs w:val="28"/>
              </w:rPr>
            </w:pPr>
            <w:r>
              <w:rPr>
                <w:rFonts w:ascii="宋体" w:eastAsia="宋体" w:hint="eastAsia"/>
                <w:sz w:val="28"/>
                <w:szCs w:val="28"/>
              </w:rPr>
              <w:t>供应商未被列入 “信用中国” 网站失信被执行人名单、重大税收违法失信主体名单；未被列入中国政府采购网政府采购严重违法失信行为记录名单，无重大违法违规经营记录；投标时须提供招标公告发布时段内官方网站信用查询截图作为有效证明材料。</w:t>
            </w:r>
          </w:p>
          <w:p>
            <w:pPr>
              <w:spacing w:line="400" w:lineRule="exact"/>
              <w:ind w:firstLineChars="200" w:firstLine="560"/>
              <w:rPr>
                <w:rFonts w:ascii="宋体" w:eastAsia="宋体" w:hint="eastAsia"/>
                <w:sz w:val="28"/>
                <w:szCs w:val="28"/>
              </w:rPr>
            </w:pPr>
            <w:r>
              <w:rPr>
                <w:rFonts w:ascii="宋体" w:eastAsia="宋体" w:hint="eastAsia"/>
                <w:sz w:val="28"/>
                <w:szCs w:val="28"/>
              </w:rPr>
              <w:t>供应商所有施工线材、辅材、</w:t>
            </w:r>
            <w:r>
              <w:rPr>
                <w:rFonts w:ascii="宋体" w:eastAsia="宋体"/>
                <w:sz w:val="28"/>
                <w:szCs w:val="28"/>
              </w:rPr>
              <w:t>光模块、AP、配电设备、</w:t>
            </w:r>
            <w:r>
              <w:rPr>
                <w:rFonts w:ascii="宋体" w:eastAsia="宋体" w:hint="eastAsia"/>
                <w:sz w:val="28"/>
                <w:szCs w:val="28"/>
              </w:rPr>
              <w:t>网络配套材料均为全新正品、国标达标产品，不接受翻新、二手、劣质线材；所有光纤、网线、线槽、理线配件、标识材料必须符合国家综合布线规范，施工工艺符合机房标准化整治要求。</w:t>
            </w:r>
          </w:p>
          <w:p>
            <w:pPr>
              <w:spacing w:line="400" w:lineRule="exact"/>
              <w:ind w:firstLineChars="200" w:firstLine="560"/>
              <w:rPr>
                <w:rFonts w:ascii="宋体" w:eastAsia="宋体"/>
                <w:sz w:val="28"/>
                <w:szCs w:val="28"/>
              </w:rPr>
            </w:pPr>
            <w:r>
              <w:rPr>
                <w:rFonts w:ascii="宋体" w:eastAsia="宋体" w:hint="eastAsia"/>
                <w:sz w:val="28"/>
                <w:szCs w:val="28"/>
              </w:rPr>
              <w:t>供应商具备有效的质量管理体系认证、信息安全管理体系认证、信息技术服务管理体系认证，具备正规机房弱电施工、网络整改标准化作业能力。</w:t>
            </w:r>
          </w:p>
          <w:p>
            <w:pPr>
              <w:spacing w:line="400" w:lineRule="exact"/>
              <w:ind w:firstLineChars="200" w:firstLine="560"/>
              <w:rPr>
                <w:rFonts w:ascii="宋体" w:eastAsia="宋体" w:hint="eastAsia"/>
                <w:sz w:val="28"/>
                <w:szCs w:val="28"/>
              </w:rPr>
            </w:pPr>
            <w:r>
              <w:rPr>
                <w:rFonts w:ascii="宋体" w:eastAsia="宋体"/>
                <w:sz w:val="28"/>
                <w:szCs w:val="28"/>
              </w:rPr>
              <w:t>供应商须签订《保密承诺书》，具备政务涉密现场施工管理能力，施工人员全部签署保密协议，无涉密违规前科；施工期间所有机房业务数据、拓扑、台账资料严禁外泄。</w:t>
            </w:r>
          </w:p>
        </w:tc>
      </w:tr>
      <w:tr>
        <w:trPr>
          <w:trHeight w:val="108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62" w:type="dxa"/>
          </w:tcPr>
          <w:p>
            <w:pPr>
              <w:spacing w:line="400" w:lineRule="exact"/>
              <w:ind w:firstLineChars="200" w:firstLine="560"/>
              <w:rPr>
                <w:rFonts w:ascii="宋体" w:eastAsia="宋体" w:hint="eastAsia"/>
                <w:sz w:val="28"/>
                <w:szCs w:val="28"/>
              </w:rPr>
            </w:pPr>
            <w:r>
              <w:rPr>
                <w:rFonts w:ascii="宋体" w:eastAsia="宋体" w:hint="eastAsia"/>
                <w:sz w:val="28"/>
                <w:szCs w:val="28"/>
              </w:rPr>
              <w:t>本项目包含机房旧线路清理、光纤规整、网线配线架整改、强弱电布线改造、全网线路标识、网络优化调试、台账建设、现场勘线配合、垃圾清运、质保运维</w:t>
            </w:r>
            <w:r>
              <w:rPr>
                <w:rFonts w:ascii="宋体" w:eastAsia="宋体"/>
                <w:sz w:val="28"/>
                <w:szCs w:val="28"/>
              </w:rPr>
              <w:t>及所有配套辅材</w:t>
            </w:r>
            <w:r>
              <w:rPr>
                <w:rFonts w:ascii="宋体" w:eastAsia="宋体" w:hint="eastAsia"/>
                <w:sz w:val="28"/>
                <w:szCs w:val="28"/>
              </w:rPr>
              <w:t>全流程交钥匙工程，所有施工工艺、技术标准、整改要求、售后要求均为实质性条款，不满足任意一条按无效投标处理。</w:t>
            </w:r>
          </w:p>
          <w:p>
            <w:pPr>
              <w:spacing w:line="400" w:lineRule="exact"/>
              <w:ind w:firstLineChars="200" w:firstLine="560"/>
              <w:rPr>
                <w:rFonts w:ascii="宋体" w:eastAsia="宋体" w:hint="eastAsia"/>
                <w:sz w:val="28"/>
                <w:szCs w:val="28"/>
              </w:rPr>
            </w:pPr>
            <w:r>
              <w:rPr>
                <w:rFonts w:ascii="宋体" w:eastAsia="宋体" w:hint="eastAsia"/>
                <w:sz w:val="28"/>
                <w:szCs w:val="28"/>
              </w:rPr>
              <w:t>一、项目核心改造技术要求</w:t>
            </w:r>
          </w:p>
          <w:p>
            <w:pPr>
              <w:spacing w:line="400" w:lineRule="exact"/>
              <w:ind w:firstLineChars="200" w:firstLine="560"/>
              <w:rPr>
                <w:rFonts w:ascii="宋体" w:eastAsia="宋体" w:hint="eastAsia"/>
                <w:sz w:val="28"/>
                <w:szCs w:val="28"/>
              </w:rPr>
            </w:pPr>
            <w:r>
              <w:rPr>
                <w:rFonts w:ascii="宋体" w:eastAsia="宋体" w:hint="eastAsia"/>
                <w:sz w:val="28"/>
                <w:szCs w:val="28"/>
              </w:rPr>
              <w:t>（一）光纤系统规范化改造</w:t>
            </w:r>
          </w:p>
          <w:p>
            <w:pPr>
              <w:numPr>
                <w:ilvl w:val="0"/>
                <w:numId w:val="1"/>
              </w:numPr>
              <w:spacing w:line="400" w:lineRule="exact"/>
              <w:rPr>
                <w:rFonts w:ascii="宋体" w:eastAsia="宋体" w:hint="eastAsia"/>
                <w:sz w:val="28"/>
                <w:szCs w:val="28"/>
              </w:rPr>
            </w:pPr>
            <w:r>
              <w:rPr>
                <w:rFonts w:ascii="宋体" w:eastAsia="宋体" w:hint="eastAsia"/>
                <w:sz w:val="28"/>
                <w:szCs w:val="28"/>
              </w:rPr>
              <w:t>全面梳理机房所有入户光纤、业务传输光纤，对老化、破皮、挤压、过度弯折、传输衰减异常光纤全部更换。</w:t>
            </w:r>
          </w:p>
          <w:p>
            <w:pPr>
              <w:numPr>
                <w:ilvl w:val="0"/>
                <w:numId w:val="1"/>
              </w:numPr>
              <w:spacing w:line="400" w:lineRule="exact"/>
              <w:rPr>
                <w:rFonts w:ascii="宋体" w:eastAsia="宋体" w:hint="eastAsia"/>
                <w:sz w:val="28"/>
                <w:szCs w:val="28"/>
              </w:rPr>
            </w:pPr>
            <w:r>
              <w:rPr>
                <w:rFonts w:ascii="宋体" w:eastAsia="宋体" w:hint="eastAsia"/>
                <w:sz w:val="28"/>
                <w:szCs w:val="28"/>
              </w:rPr>
              <w:t>所有裸露光纤统一加装防护套管，全程规范防护，杜绝受压、折损、断裂隐患。</w:t>
            </w:r>
          </w:p>
          <w:p>
            <w:pPr>
              <w:numPr>
                <w:ilvl w:val="0"/>
                <w:numId w:val="1"/>
              </w:numPr>
              <w:spacing w:line="400" w:lineRule="exact"/>
              <w:rPr>
                <w:rFonts w:ascii="宋体" w:eastAsia="宋体" w:hint="eastAsia"/>
                <w:sz w:val="28"/>
                <w:szCs w:val="28"/>
              </w:rPr>
            </w:pPr>
            <w:r>
              <w:rPr>
                <w:rFonts w:ascii="宋体" w:eastAsia="宋体" w:hint="eastAsia"/>
                <w:sz w:val="28"/>
                <w:szCs w:val="28"/>
              </w:rPr>
              <w:t>规范尾纤盘绕弧度、统一加装理线器、绕纤配件，杜绝交叉缠绕、乱拉乱接，保证光路稳定、整洁、可运维。</w:t>
            </w:r>
          </w:p>
          <w:p>
            <w:pPr>
              <w:numPr>
                <w:ilvl w:val="0"/>
                <w:numId w:val="1"/>
              </w:numPr>
              <w:spacing w:line="400" w:lineRule="exact"/>
              <w:rPr>
                <w:rFonts w:ascii="宋体" w:eastAsia="宋体" w:hint="eastAsia"/>
                <w:sz w:val="28"/>
                <w:szCs w:val="28"/>
              </w:rPr>
            </w:pPr>
            <w:r>
              <w:rPr>
                <w:rFonts w:ascii="宋体" w:eastAsia="宋体" w:hint="eastAsia"/>
                <w:sz w:val="28"/>
                <w:szCs w:val="28"/>
              </w:rPr>
              <w:t>重新规整光收发设备、光模块、机架布局，设备统一固定、整齐摆放、预留充足散热空间，整体布局标准化、规范化。</w:t>
            </w:r>
          </w:p>
          <w:p>
            <w:pPr>
              <w:numPr>
                <w:ilvl w:val="0"/>
                <w:numId w:val="1"/>
              </w:numPr>
              <w:spacing w:line="400" w:lineRule="exact"/>
              <w:rPr>
                <w:rFonts w:ascii="宋体" w:eastAsia="宋体" w:hint="eastAsia"/>
                <w:sz w:val="28"/>
                <w:szCs w:val="28"/>
              </w:rPr>
            </w:pPr>
            <w:r>
              <w:rPr>
                <w:rFonts w:ascii="宋体" w:eastAsia="宋体"/>
                <w:sz w:val="28"/>
                <w:szCs w:val="28"/>
              </w:rPr>
              <w:t>各类光纤物理完全分离，不同业务光路不得共用线槽、理线架、配线区域，严禁交叉混走，单独分区布设，加装隔离挡板；主干光纤全部采用低烟无卤阻燃型光纤，套管、线槽阻燃等级不低于V0级；采用不同颜色防水标签标识，台账单独分册归档。</w:t>
            </w:r>
          </w:p>
          <w:p>
            <w:pPr>
              <w:spacing w:line="400" w:lineRule="exact"/>
              <w:ind w:firstLineChars="200" w:firstLine="560"/>
              <w:rPr>
                <w:rFonts w:ascii="宋体" w:eastAsia="宋体" w:hint="eastAsia"/>
                <w:sz w:val="28"/>
                <w:szCs w:val="28"/>
              </w:rPr>
            </w:pPr>
            <w:r>
              <w:rPr>
                <w:rFonts w:ascii="宋体" w:eastAsia="宋体" w:hint="eastAsia"/>
                <w:sz w:val="28"/>
                <w:szCs w:val="28"/>
              </w:rPr>
              <w:t>（二）网线、配线架标准化整治</w:t>
            </w:r>
          </w:p>
          <w:p>
            <w:pPr>
              <w:numPr>
                <w:ilvl w:val="0"/>
                <w:numId w:val="2"/>
              </w:numPr>
              <w:spacing w:line="400" w:lineRule="exact"/>
              <w:rPr>
                <w:rFonts w:ascii="宋体" w:eastAsia="宋体" w:hint="eastAsia"/>
                <w:sz w:val="28"/>
                <w:szCs w:val="28"/>
              </w:rPr>
            </w:pPr>
            <w:r>
              <w:rPr>
                <w:rFonts w:ascii="宋体" w:eastAsia="宋体" w:hint="eastAsia"/>
                <w:sz w:val="28"/>
                <w:szCs w:val="28"/>
              </w:rPr>
              <w:t>全面清理机柜、配线架、交换机端口内所有废弃、冗余、闲置、杂乱网线，彻底清空无效旧线路。</w:t>
            </w:r>
          </w:p>
          <w:p>
            <w:pPr>
              <w:numPr>
                <w:ilvl w:val="0"/>
                <w:numId w:val="2"/>
              </w:numPr>
              <w:spacing w:line="400" w:lineRule="exact"/>
              <w:rPr>
                <w:rFonts w:ascii="宋体" w:eastAsia="宋体" w:hint="eastAsia"/>
                <w:sz w:val="28"/>
                <w:szCs w:val="28"/>
              </w:rPr>
            </w:pPr>
            <w:r>
              <w:rPr>
                <w:rFonts w:ascii="宋体" w:eastAsia="宋体" w:hint="eastAsia"/>
                <w:sz w:val="28"/>
                <w:szCs w:val="28"/>
              </w:rPr>
              <w:t>全部更换老化、破皮、接触不良、传输不达标的网线、跳线，统一使用国标六类千兆网线，保障全网传输质量稳定。</w:t>
            </w:r>
          </w:p>
          <w:p>
            <w:pPr>
              <w:numPr>
                <w:ilvl w:val="0"/>
                <w:numId w:val="2"/>
              </w:numPr>
              <w:spacing w:line="400" w:lineRule="exact"/>
              <w:rPr>
                <w:rFonts w:ascii="宋体" w:eastAsia="宋体" w:hint="eastAsia"/>
                <w:sz w:val="28"/>
                <w:szCs w:val="28"/>
              </w:rPr>
            </w:pPr>
            <w:r>
              <w:rPr>
                <w:rFonts w:ascii="宋体" w:eastAsia="宋体" w:hint="eastAsia"/>
                <w:sz w:val="28"/>
                <w:szCs w:val="28"/>
              </w:rPr>
              <w:t>重新规划配线架端口分区，按业务、用途分类规整，端口排布有序、逻辑清晰，实现业务链路可查、可管、可追溯。</w:t>
            </w:r>
          </w:p>
          <w:p>
            <w:pPr>
              <w:numPr>
                <w:ilvl w:val="0"/>
                <w:numId w:val="2"/>
              </w:numPr>
              <w:spacing w:line="400" w:lineRule="exact"/>
              <w:rPr>
                <w:rFonts w:ascii="宋体" w:eastAsia="宋体" w:hint="eastAsia"/>
                <w:sz w:val="28"/>
                <w:szCs w:val="28"/>
              </w:rPr>
            </w:pPr>
            <w:r>
              <w:rPr>
                <w:rFonts w:ascii="宋体" w:eastAsia="宋体" w:hint="eastAsia"/>
                <w:sz w:val="28"/>
                <w:szCs w:val="28"/>
              </w:rPr>
              <w:t>机柜统一加装垂直、水平走线槽、理线环，所有网线分层走线、横平竖直、规范绑扎，杜绝飞线、乱线、跨柜乱搭问题。</w:t>
            </w:r>
          </w:p>
          <w:p>
            <w:pPr>
              <w:numPr>
                <w:ilvl w:val="0"/>
                <w:numId w:val="2"/>
              </w:numPr>
              <w:spacing w:line="400" w:lineRule="exact"/>
              <w:rPr>
                <w:rFonts w:ascii="宋体" w:eastAsia="宋体" w:hint="eastAsia"/>
                <w:sz w:val="28"/>
                <w:szCs w:val="28"/>
              </w:rPr>
            </w:pPr>
            <w:r>
              <w:rPr>
                <w:rFonts w:ascii="宋体" w:eastAsia="宋体"/>
                <w:sz w:val="28"/>
                <w:szCs w:val="28"/>
              </w:rPr>
              <w:t>各类功能不同网线跳线分槽、分机柜、分配线架独立布设，间距</w:t>
            </w:r>
            <w:r>
              <w:rPr>
                <w:rFonts w:ascii="宋体" w:eastAsia="宋体" w:hint="eastAsia"/>
                <w:sz w:val="28"/>
                <w:szCs w:val="28"/>
              </w:rPr>
              <w:t>≥30cm，中间加装金属屏蔽</w:t>
            </w:r>
            <w:r>
              <w:rPr>
                <w:rFonts w:ascii="宋体" w:eastAsia="宋体"/>
                <w:sz w:val="28"/>
                <w:szCs w:val="28"/>
              </w:rPr>
              <w:t>隔板</w:t>
            </w:r>
            <w:r>
              <w:rPr>
                <w:rFonts w:ascii="宋体" w:eastAsia="宋体" w:hint="eastAsia"/>
                <w:sz w:val="28"/>
                <w:szCs w:val="28"/>
              </w:rPr>
              <w:t>，杜绝信号串扰</w:t>
            </w:r>
            <w:r>
              <w:rPr>
                <w:rFonts w:ascii="宋体" w:eastAsia="宋体"/>
                <w:sz w:val="28"/>
                <w:szCs w:val="28"/>
              </w:rPr>
              <w:t>、数据泄露风险。</w:t>
            </w:r>
          </w:p>
          <w:p>
            <w:pPr>
              <w:spacing w:line="400" w:lineRule="exact"/>
              <w:ind w:firstLineChars="200" w:firstLine="560"/>
              <w:rPr>
                <w:rFonts w:ascii="宋体" w:eastAsia="宋体" w:hint="eastAsia"/>
                <w:sz w:val="28"/>
                <w:szCs w:val="28"/>
              </w:rPr>
            </w:pPr>
            <w:r>
              <w:rPr>
                <w:rFonts w:ascii="宋体" w:eastAsia="宋体" w:hint="eastAsia"/>
                <w:sz w:val="28"/>
                <w:szCs w:val="28"/>
              </w:rPr>
              <w:t>（三）机房强弱电电路整改优化</w:t>
            </w:r>
          </w:p>
          <w:p>
            <w:pPr>
              <w:numPr>
                <w:ilvl w:val="0"/>
                <w:numId w:val="3"/>
              </w:numPr>
              <w:spacing w:line="400" w:lineRule="exact"/>
              <w:rPr>
                <w:rFonts w:ascii="宋体" w:eastAsia="宋体" w:hint="eastAsia"/>
                <w:sz w:val="28"/>
                <w:szCs w:val="28"/>
              </w:rPr>
            </w:pPr>
            <w:r>
              <w:rPr>
                <w:rFonts w:ascii="宋体" w:eastAsia="宋体" w:hint="eastAsia"/>
                <w:sz w:val="28"/>
                <w:szCs w:val="28"/>
              </w:rPr>
              <w:t>全面排查机房所有供电线路、机柜插排、供电插座、供电回路，更换全部老化、破损、不安全供电配件。</w:t>
            </w:r>
          </w:p>
          <w:p>
            <w:pPr>
              <w:numPr>
                <w:ilvl w:val="0"/>
                <w:numId w:val="3"/>
              </w:numPr>
              <w:spacing w:line="400" w:lineRule="exact"/>
              <w:rPr>
                <w:rFonts w:ascii="宋体" w:eastAsia="宋体" w:hint="eastAsia"/>
                <w:sz w:val="28"/>
                <w:szCs w:val="28"/>
              </w:rPr>
            </w:pPr>
            <w:r>
              <w:rPr>
                <w:rFonts w:ascii="宋体" w:eastAsia="宋体" w:hint="eastAsia"/>
                <w:sz w:val="28"/>
                <w:szCs w:val="28"/>
              </w:rPr>
              <w:t>严格执行强弱电物理分离标准，强电、弱电分层、分槽、分区布设，保持规范安全间距，杜绝电磁干扰、漏电、短路、火灾安全隐患。</w:t>
            </w:r>
          </w:p>
          <w:p>
            <w:pPr>
              <w:numPr>
                <w:ilvl w:val="0"/>
                <w:numId w:val="3"/>
              </w:numPr>
              <w:spacing w:line="400" w:lineRule="exact"/>
              <w:rPr>
                <w:rFonts w:ascii="宋体" w:eastAsia="宋体" w:hint="eastAsia"/>
                <w:sz w:val="28"/>
                <w:szCs w:val="28"/>
              </w:rPr>
            </w:pPr>
            <w:r>
              <w:rPr>
                <w:rFonts w:ascii="宋体" w:eastAsia="宋体" w:hint="eastAsia"/>
                <w:sz w:val="28"/>
                <w:szCs w:val="28"/>
              </w:rPr>
              <w:t>优化机房配电回路负载，均衡机柜供电负荷，消除单回路过载发热隐患，完善机柜接地、防静电、安全防护措施。</w:t>
            </w:r>
          </w:p>
          <w:p>
            <w:pPr>
              <w:numPr>
                <w:ilvl w:val="0"/>
                <w:numId w:val="3"/>
              </w:numPr>
              <w:spacing w:line="400" w:lineRule="exact"/>
              <w:rPr>
                <w:rFonts w:ascii="宋体" w:eastAsia="宋体" w:hint="eastAsia"/>
                <w:sz w:val="28"/>
                <w:szCs w:val="28"/>
              </w:rPr>
            </w:pPr>
            <w:r>
              <w:rPr>
                <w:rFonts w:ascii="宋体" w:eastAsia="宋体" w:hint="eastAsia"/>
                <w:sz w:val="28"/>
                <w:szCs w:val="28"/>
              </w:rPr>
              <w:t>规整所有机柜内部供电走线，布线整齐、固定牢靠，全面提升机房整体用电安全等级。</w:t>
            </w:r>
          </w:p>
          <w:p>
            <w:pPr>
              <w:spacing w:line="400" w:lineRule="exact"/>
              <w:ind w:firstLineChars="200" w:firstLine="560"/>
              <w:rPr>
                <w:rFonts w:ascii="宋体" w:eastAsia="宋体" w:hint="eastAsia"/>
                <w:sz w:val="28"/>
                <w:szCs w:val="28"/>
              </w:rPr>
            </w:pPr>
            <w:r>
              <w:rPr>
                <w:rFonts w:ascii="宋体" w:eastAsia="宋体" w:hint="eastAsia"/>
                <w:sz w:val="28"/>
                <w:szCs w:val="28"/>
              </w:rPr>
              <w:t>（四）全线线缆统一标识及台账建设</w:t>
            </w:r>
          </w:p>
          <w:p>
            <w:pPr>
              <w:numPr>
                <w:ilvl w:val="0"/>
                <w:numId w:val="4"/>
              </w:numPr>
              <w:spacing w:line="400" w:lineRule="exact"/>
              <w:rPr>
                <w:rFonts w:ascii="宋体" w:eastAsia="宋体" w:hint="eastAsia"/>
                <w:sz w:val="28"/>
                <w:szCs w:val="28"/>
              </w:rPr>
            </w:pPr>
            <w:r>
              <w:rPr>
                <w:rFonts w:ascii="宋体" w:eastAsia="宋体" w:hint="eastAsia"/>
                <w:sz w:val="28"/>
                <w:szCs w:val="28"/>
              </w:rPr>
              <w:t>机房所有光纤、尾纤、网络跳线、强弱电供电线缆两端全部粘贴防水永久统一标签。</w:t>
            </w:r>
          </w:p>
          <w:p>
            <w:pPr>
              <w:numPr>
                <w:ilvl w:val="0"/>
                <w:numId w:val="4"/>
              </w:numPr>
              <w:spacing w:line="400" w:lineRule="exact"/>
              <w:rPr>
                <w:rFonts w:ascii="宋体" w:eastAsia="宋体" w:hint="eastAsia"/>
                <w:sz w:val="28"/>
                <w:szCs w:val="28"/>
              </w:rPr>
            </w:pPr>
            <w:r>
              <w:rPr>
                <w:rFonts w:ascii="宋体" w:eastAsia="宋体" w:hint="eastAsia"/>
                <w:sz w:val="28"/>
                <w:szCs w:val="28"/>
              </w:rPr>
              <w:t>标签明确标注归属企业、业务用途、起始点位、终止点位、链路编号，做到一线一标、一链一号。</w:t>
            </w:r>
          </w:p>
          <w:p>
            <w:pPr>
              <w:numPr>
                <w:ilvl w:val="0"/>
                <w:numId w:val="4"/>
              </w:numPr>
              <w:spacing w:line="400" w:lineRule="exact"/>
              <w:rPr>
                <w:rFonts w:ascii="宋体" w:eastAsia="宋体" w:hint="eastAsia"/>
                <w:sz w:val="28"/>
                <w:szCs w:val="28"/>
              </w:rPr>
            </w:pPr>
            <w:r>
              <w:rPr>
                <w:rFonts w:ascii="宋体" w:eastAsia="宋体" w:hint="eastAsia"/>
                <w:sz w:val="28"/>
                <w:szCs w:val="28"/>
              </w:rPr>
              <w:t>完整建立机房线路电子台账 + 纸质台账，包含光路台账、网络链路台账、强弱电台账、端口对应表，实现全机房线路标准化、可视化、可追溯管理。</w:t>
            </w:r>
          </w:p>
          <w:p>
            <w:pPr>
              <w:spacing w:line="400" w:lineRule="exact"/>
              <w:ind w:firstLineChars="200" w:firstLine="560"/>
              <w:rPr>
                <w:rFonts w:ascii="宋体" w:eastAsia="宋体" w:hint="eastAsia"/>
                <w:sz w:val="28"/>
                <w:szCs w:val="28"/>
              </w:rPr>
            </w:pPr>
            <w:r>
              <w:rPr>
                <w:rFonts w:ascii="宋体" w:eastAsia="宋体" w:hint="eastAsia"/>
                <w:sz w:val="28"/>
                <w:szCs w:val="28"/>
              </w:rPr>
              <w:t>（五）机房整体网络优化整治</w:t>
            </w:r>
          </w:p>
          <w:p>
            <w:pPr>
              <w:numPr>
                <w:ilvl w:val="0"/>
                <w:numId w:val="5"/>
              </w:numPr>
              <w:spacing w:line="400" w:lineRule="exact"/>
              <w:rPr>
                <w:rFonts w:ascii="宋体" w:eastAsia="宋体" w:hint="eastAsia"/>
                <w:sz w:val="28"/>
                <w:szCs w:val="28"/>
              </w:rPr>
            </w:pPr>
            <w:r>
              <w:rPr>
                <w:rFonts w:ascii="宋体" w:eastAsia="宋体" w:hint="eastAsia"/>
                <w:sz w:val="28"/>
                <w:szCs w:val="28"/>
              </w:rPr>
              <w:t>梳理机房全网拓扑结构，优化主干链路、上联下联链路走向，消除线路交叉干扰、杂乱布线导致的网络丢包、延迟、卡顿问题。</w:t>
            </w:r>
          </w:p>
          <w:p>
            <w:pPr>
              <w:numPr>
                <w:ilvl w:val="0"/>
                <w:numId w:val="5"/>
              </w:numPr>
              <w:spacing w:line="400" w:lineRule="exact"/>
              <w:rPr>
                <w:rFonts w:ascii="宋体" w:eastAsia="宋体" w:hint="eastAsia"/>
                <w:sz w:val="28"/>
                <w:szCs w:val="28"/>
              </w:rPr>
            </w:pPr>
            <w:r>
              <w:rPr>
                <w:rFonts w:ascii="宋体" w:eastAsia="宋体" w:hint="eastAsia"/>
                <w:sz w:val="28"/>
                <w:szCs w:val="28"/>
              </w:rPr>
              <w:t>规整交换机端口链路、业务链路、设备互联链路，规范全网布线逻辑，提升整体网络稳定性、传输效率。</w:t>
            </w:r>
          </w:p>
          <w:p>
            <w:pPr>
              <w:numPr>
                <w:ilvl w:val="0"/>
                <w:numId w:val="5"/>
              </w:numPr>
              <w:spacing w:line="400" w:lineRule="exact"/>
              <w:rPr>
                <w:rFonts w:ascii="宋体" w:eastAsia="宋体" w:hint="eastAsia"/>
                <w:sz w:val="28"/>
                <w:szCs w:val="28"/>
              </w:rPr>
            </w:pPr>
            <w:r>
              <w:rPr>
                <w:rFonts w:ascii="宋体" w:eastAsia="宋体" w:hint="eastAsia"/>
                <w:sz w:val="28"/>
                <w:szCs w:val="28"/>
              </w:rPr>
              <w:t>排查机房现有网络异常点位，通过换线、规整、屏蔽干扰、优化走线，彻底解决因布线不规范造成的网络不稳定隐患。</w:t>
            </w:r>
          </w:p>
          <w:p>
            <w:pPr>
              <w:numPr>
                <w:ilvl w:val="0"/>
                <w:numId w:val="5"/>
              </w:numPr>
              <w:spacing w:line="400" w:lineRule="exact"/>
              <w:rPr>
                <w:rFonts w:ascii="宋体" w:eastAsia="宋体" w:hint="eastAsia"/>
                <w:sz w:val="28"/>
                <w:szCs w:val="28"/>
              </w:rPr>
            </w:pPr>
            <w:r>
              <w:rPr>
                <w:rFonts w:ascii="宋体" w:eastAsia="宋体" w:hint="eastAsia"/>
                <w:sz w:val="28"/>
                <w:szCs w:val="28"/>
              </w:rPr>
              <w:t>优化机柜设备散热、布线环境，减少线路挤压、拉扯、长期受力问题，降低网络故障率，提升机房整体网络运维稳定性。</w:t>
            </w:r>
          </w:p>
          <w:p>
            <w:pPr>
              <w:spacing w:line="400" w:lineRule="exact"/>
              <w:ind w:left="0" w:firstLineChars="200" w:firstLine="560"/>
              <w:rPr>
                <w:rFonts w:ascii="宋体"/>
                <w:sz w:val="28"/>
                <w:szCs w:val="28"/>
              </w:rPr>
            </w:pPr>
            <w:r>
              <w:rPr>
                <w:rFonts w:ascii="宋体" w:hint="eastAsia"/>
                <w:sz w:val="28"/>
                <w:szCs w:val="28"/>
              </w:rPr>
              <w:t>（六）</w:t>
            </w:r>
            <w:r>
              <w:rPr>
                <w:rFonts w:ascii="宋体"/>
                <w:sz w:val="28"/>
                <w:szCs w:val="28"/>
              </w:rPr>
              <w:t>全域网络覆盖优化整治</w:t>
            </w:r>
          </w:p>
          <w:p>
            <w:pPr>
              <w:spacing w:line="400" w:lineRule="exact"/>
              <w:ind w:left="0" w:firstLineChars="200" w:firstLine="560"/>
              <w:rPr>
                <w:rFonts w:ascii="宋体" w:hint="eastAsia"/>
                <w:sz w:val="28"/>
                <w:szCs w:val="28"/>
              </w:rPr>
            </w:pPr>
            <w:r>
              <w:rPr>
                <w:rFonts w:ascii="宋体"/>
                <w:sz w:val="28"/>
                <w:szCs w:val="28"/>
              </w:rPr>
              <w:t>针对本单位附属功能区域无线网络现状，开展全域网络信号排查与优化改造。开展区域网络信号排查与优化改造。现有区域存在网络覆盖盲区、信号弱、频段干扰、带宽分配不均、部分点位无法正常联网等网络补盲升级，通过现场逐点位信号勘测、增补部署无线AP设备、优化网络频段、消除信号干扰、均衡带宽资源分配，实现整体区域无线网络全覆盖、无死角、低延迟、稳定流畅。</w:t>
            </w:r>
          </w:p>
          <w:p>
            <w:pPr>
              <w:spacing w:line="400" w:lineRule="exact"/>
              <w:ind w:firstLineChars="200" w:firstLine="560"/>
              <w:rPr>
                <w:rFonts w:ascii="宋体" w:eastAsia="宋体" w:hint="eastAsia"/>
                <w:sz w:val="28"/>
                <w:szCs w:val="28"/>
              </w:rPr>
            </w:pPr>
            <w:r>
              <w:rPr>
                <w:rFonts w:ascii="宋体" w:eastAsia="宋体" w:hint="eastAsia"/>
                <w:sz w:val="28"/>
                <w:szCs w:val="28"/>
              </w:rPr>
              <w:t>（</w:t>
            </w:r>
            <w:r>
              <w:rPr>
                <w:rFonts w:ascii="宋体" w:eastAsia="宋体"/>
                <w:sz w:val="28"/>
                <w:szCs w:val="28"/>
              </w:rPr>
              <w:t>七</w:t>
            </w:r>
            <w:r>
              <w:rPr>
                <w:rFonts w:ascii="宋体" w:eastAsia="宋体" w:hint="eastAsia"/>
                <w:sz w:val="28"/>
                <w:szCs w:val="28"/>
              </w:rPr>
              <w:t>）现场</w:t>
            </w:r>
            <w:r>
              <w:rPr>
                <w:rFonts w:ascii="宋体" w:eastAsia="宋体"/>
                <w:sz w:val="28"/>
                <w:szCs w:val="28"/>
              </w:rPr>
              <w:t>链路勘线确认配合</w:t>
            </w:r>
          </w:p>
          <w:p>
            <w:pPr>
              <w:spacing w:line="400" w:lineRule="exact"/>
              <w:ind w:firstLineChars="200" w:firstLine="560"/>
              <w:rPr>
                <w:rFonts w:ascii="宋体" w:eastAsia="宋体" w:hint="eastAsia"/>
                <w:sz w:val="28"/>
                <w:szCs w:val="28"/>
              </w:rPr>
            </w:pPr>
            <w:r>
              <w:rPr>
                <w:rFonts w:ascii="宋体" w:eastAsia="宋体" w:hint="eastAsia"/>
                <w:sz w:val="28"/>
                <w:szCs w:val="28"/>
              </w:rPr>
              <w:t>离线施工前</w:t>
            </w:r>
            <w:r>
              <w:rPr>
                <w:rFonts w:ascii="宋体" w:eastAsia="宋体"/>
                <w:sz w:val="28"/>
                <w:szCs w:val="28"/>
              </w:rPr>
              <w:t>，</w:t>
            </w:r>
            <w:r>
              <w:rPr>
                <w:rFonts w:ascii="宋体" w:eastAsia="宋体" w:hint="eastAsia"/>
                <w:sz w:val="28"/>
                <w:szCs w:val="28"/>
              </w:rPr>
              <w:t>组织</w:t>
            </w:r>
            <w:r>
              <w:rPr>
                <w:rFonts w:ascii="宋体" w:eastAsia="宋体"/>
                <w:sz w:val="28"/>
                <w:szCs w:val="28"/>
              </w:rPr>
              <w:t>我方人员开展</w:t>
            </w:r>
            <w:r>
              <w:rPr>
                <w:rFonts w:ascii="宋体" w:eastAsia="宋体" w:hint="eastAsia"/>
                <w:sz w:val="28"/>
                <w:szCs w:val="28"/>
              </w:rPr>
              <w:t>现场勘线</w:t>
            </w:r>
            <w:r>
              <w:rPr>
                <w:rFonts w:ascii="宋体" w:eastAsia="宋体"/>
                <w:sz w:val="28"/>
                <w:szCs w:val="28"/>
              </w:rPr>
              <w:t>工作</w:t>
            </w:r>
            <w:r>
              <w:rPr>
                <w:rFonts w:ascii="宋体" w:eastAsia="宋体" w:hint="eastAsia"/>
                <w:sz w:val="28"/>
                <w:szCs w:val="28"/>
              </w:rPr>
              <w:t>，施工单位全程配合</w:t>
            </w:r>
            <w:r>
              <w:rPr>
                <w:rFonts w:ascii="宋体" w:eastAsia="宋体"/>
                <w:sz w:val="28"/>
                <w:szCs w:val="28"/>
              </w:rPr>
              <w:t>我方</w:t>
            </w:r>
            <w:r>
              <w:rPr>
                <w:rFonts w:ascii="宋体" w:eastAsia="宋体" w:hint="eastAsia"/>
                <w:sz w:val="28"/>
                <w:szCs w:val="28"/>
              </w:rPr>
              <w:t>人员现场指认、</w:t>
            </w:r>
            <w:r>
              <w:rPr>
                <w:rFonts w:ascii="宋体" w:eastAsia="宋体"/>
                <w:sz w:val="28"/>
                <w:szCs w:val="28"/>
              </w:rPr>
              <w:t>逐一</w:t>
            </w:r>
            <w:r>
              <w:rPr>
                <w:rFonts w:ascii="宋体" w:eastAsia="宋体" w:hint="eastAsia"/>
                <w:sz w:val="28"/>
                <w:szCs w:val="28"/>
              </w:rPr>
              <w:t>核对</w:t>
            </w:r>
            <w:r>
              <w:rPr>
                <w:rFonts w:ascii="宋体" w:eastAsia="宋体"/>
                <w:sz w:val="28"/>
                <w:szCs w:val="28"/>
              </w:rPr>
              <w:t>在用</w:t>
            </w:r>
            <w:r>
              <w:rPr>
                <w:rFonts w:ascii="宋体" w:eastAsia="宋体" w:hint="eastAsia"/>
                <w:sz w:val="28"/>
                <w:szCs w:val="28"/>
              </w:rPr>
              <w:t>光纤、网络业务链路，所有</w:t>
            </w:r>
            <w:r>
              <w:rPr>
                <w:rFonts w:ascii="宋体" w:eastAsia="宋体"/>
                <w:sz w:val="28"/>
                <w:szCs w:val="28"/>
              </w:rPr>
              <w:t>在用</w:t>
            </w:r>
            <w:r>
              <w:rPr>
                <w:rFonts w:ascii="宋体" w:eastAsia="宋体" w:hint="eastAsia"/>
                <w:sz w:val="28"/>
                <w:szCs w:val="28"/>
              </w:rPr>
              <w:t>链路</w:t>
            </w:r>
            <w:r>
              <w:rPr>
                <w:rFonts w:ascii="宋体" w:eastAsia="宋体"/>
                <w:sz w:val="28"/>
                <w:szCs w:val="28"/>
              </w:rPr>
              <w:t>信息签字</w:t>
            </w:r>
            <w:r>
              <w:rPr>
                <w:rFonts w:ascii="宋体" w:eastAsia="宋体" w:hint="eastAsia"/>
                <w:sz w:val="28"/>
                <w:szCs w:val="28"/>
              </w:rPr>
              <w:t>存档，未</w:t>
            </w:r>
            <w:r>
              <w:rPr>
                <w:rFonts w:ascii="宋体" w:eastAsia="宋体"/>
                <w:sz w:val="28"/>
                <w:szCs w:val="28"/>
              </w:rPr>
              <w:t>完成</w:t>
            </w:r>
            <w:r>
              <w:rPr>
                <w:rFonts w:ascii="宋体" w:eastAsia="宋体" w:hint="eastAsia"/>
                <w:sz w:val="28"/>
                <w:szCs w:val="28"/>
              </w:rPr>
              <w:t>确认</w:t>
            </w:r>
            <w:r>
              <w:rPr>
                <w:rFonts w:ascii="宋体" w:eastAsia="宋体"/>
                <w:sz w:val="28"/>
                <w:szCs w:val="28"/>
              </w:rPr>
              <w:t>的</w:t>
            </w:r>
            <w:r>
              <w:rPr>
                <w:rFonts w:ascii="宋体" w:eastAsia="宋体" w:hint="eastAsia"/>
                <w:sz w:val="28"/>
                <w:szCs w:val="28"/>
              </w:rPr>
              <w:t>链路</w:t>
            </w:r>
            <w:r>
              <w:rPr>
                <w:rFonts w:ascii="宋体" w:eastAsia="宋体"/>
                <w:sz w:val="28"/>
                <w:szCs w:val="28"/>
              </w:rPr>
              <w:t>，施工方</w:t>
            </w:r>
            <w:r>
              <w:rPr>
                <w:rFonts w:ascii="宋体" w:eastAsia="宋体" w:hint="eastAsia"/>
                <w:sz w:val="28"/>
                <w:szCs w:val="28"/>
              </w:rPr>
              <w:t>严禁拆除、割接、改动，</w:t>
            </w:r>
            <w:r>
              <w:rPr>
                <w:rFonts w:ascii="宋体" w:eastAsia="宋体"/>
                <w:sz w:val="28"/>
                <w:szCs w:val="28"/>
              </w:rPr>
              <w:t>防止</w:t>
            </w:r>
            <w:r>
              <w:rPr>
                <w:rFonts w:ascii="宋体" w:eastAsia="宋体" w:hint="eastAsia"/>
                <w:sz w:val="28"/>
                <w:szCs w:val="28"/>
              </w:rPr>
              <w:t>施工误</w:t>
            </w:r>
            <w:r>
              <w:rPr>
                <w:rFonts w:ascii="宋体" w:eastAsia="宋体"/>
                <w:sz w:val="28"/>
                <w:szCs w:val="28"/>
              </w:rPr>
              <w:t>操作造成</w:t>
            </w:r>
            <w:r>
              <w:rPr>
                <w:rFonts w:ascii="宋体" w:eastAsia="宋体" w:hint="eastAsia"/>
                <w:sz w:val="28"/>
                <w:szCs w:val="28"/>
              </w:rPr>
              <w:t>业务</w:t>
            </w:r>
            <w:r>
              <w:rPr>
                <w:rFonts w:ascii="宋体" w:eastAsia="宋体"/>
                <w:sz w:val="28"/>
                <w:szCs w:val="28"/>
              </w:rPr>
              <w:t>中断</w:t>
            </w:r>
            <w:r>
              <w:rPr>
                <w:rFonts w:ascii="宋体" w:eastAsia="宋体" w:hint="eastAsia"/>
                <w:sz w:val="28"/>
                <w:szCs w:val="28"/>
              </w:rPr>
              <w:t>。</w:t>
            </w:r>
          </w:p>
          <w:p>
            <w:pPr>
              <w:spacing w:line="400" w:lineRule="exact"/>
              <w:ind w:firstLineChars="200" w:firstLine="560"/>
              <w:rPr>
                <w:rFonts w:ascii="宋体" w:eastAsia="宋体" w:hint="eastAsia"/>
                <w:sz w:val="28"/>
                <w:szCs w:val="28"/>
              </w:rPr>
            </w:pPr>
            <w:r>
              <w:rPr>
                <w:rFonts w:ascii="宋体" w:eastAsia="宋体" w:hint="eastAsia"/>
                <w:sz w:val="28"/>
                <w:szCs w:val="28"/>
              </w:rPr>
              <w:t>二、施工实施硬性要求</w:t>
            </w:r>
          </w:p>
          <w:p>
            <w:pPr>
              <w:numPr>
                <w:ilvl w:val="0"/>
                <w:numId w:val="6"/>
              </w:numPr>
              <w:spacing w:line="400" w:lineRule="exact"/>
              <w:rPr>
                <w:rFonts w:ascii="宋体" w:eastAsia="宋体" w:hint="eastAsia"/>
                <w:sz w:val="28"/>
                <w:szCs w:val="28"/>
              </w:rPr>
            </w:pPr>
            <w:r>
              <w:rPr>
                <w:rFonts w:ascii="宋体" w:eastAsia="宋体" w:hint="eastAsia"/>
                <w:sz w:val="28"/>
                <w:szCs w:val="28"/>
              </w:rPr>
              <w:t>本项目采用机房离线停机窗口施工模式，提前报备停机时间、施工方案，错峰施工最大限度降低业务影响。</w:t>
            </w:r>
          </w:p>
          <w:p>
            <w:pPr>
              <w:numPr>
                <w:ilvl w:val="0"/>
                <w:numId w:val="6"/>
              </w:numPr>
              <w:spacing w:line="400" w:lineRule="exact"/>
              <w:rPr>
                <w:rFonts w:ascii="宋体" w:eastAsia="宋体" w:hint="eastAsia"/>
                <w:sz w:val="28"/>
                <w:szCs w:val="28"/>
              </w:rPr>
            </w:pPr>
            <w:r>
              <w:rPr>
                <w:rFonts w:ascii="宋体" w:eastAsia="宋体" w:hint="eastAsia"/>
                <w:sz w:val="28"/>
                <w:szCs w:val="28"/>
              </w:rPr>
              <w:t>所有布线、光纤熔接、强弱电施工、网络调试严格按照国家综合布线标准、机房建设规范执行，全部材料为国标全新正品。</w:t>
            </w:r>
          </w:p>
          <w:p>
            <w:pPr>
              <w:numPr>
                <w:ilvl w:val="0"/>
                <w:numId w:val="6"/>
              </w:numPr>
              <w:spacing w:line="400" w:lineRule="exact"/>
              <w:rPr>
                <w:rFonts w:ascii="宋体" w:eastAsia="宋体" w:hint="eastAsia"/>
                <w:sz w:val="28"/>
                <w:szCs w:val="28"/>
              </w:rPr>
            </w:pPr>
            <w:r>
              <w:rPr>
                <w:rFonts w:ascii="宋体" w:eastAsia="宋体" w:hint="eastAsia"/>
                <w:sz w:val="28"/>
                <w:szCs w:val="28"/>
              </w:rPr>
              <w:t>施工全程文明施工，每日完工清理现场，所有废弃线缆、废料、垃圾统一清运出场，保持机房整洁规范。</w:t>
            </w:r>
          </w:p>
          <w:p>
            <w:pPr>
              <w:numPr>
                <w:ilvl w:val="0"/>
                <w:numId w:val="6"/>
              </w:numPr>
              <w:spacing w:line="400" w:lineRule="exact"/>
              <w:rPr>
                <w:rFonts w:ascii="宋体" w:eastAsia="宋体" w:hint="eastAsia"/>
                <w:sz w:val="28"/>
                <w:szCs w:val="28"/>
              </w:rPr>
            </w:pPr>
            <w:r>
              <w:rPr>
                <w:rFonts w:ascii="宋体" w:eastAsia="宋体" w:hint="eastAsia"/>
                <w:sz w:val="28"/>
                <w:szCs w:val="28"/>
              </w:rPr>
              <w:t>施工全过程服从机房管理制度，严禁私自改动在用设备、私自变动已确认业务链路，严禁违规带电作业。</w:t>
            </w:r>
          </w:p>
          <w:p>
            <w:pPr>
              <w:spacing w:line="400" w:lineRule="exact"/>
              <w:ind w:firstLineChars="200" w:firstLine="560"/>
              <w:rPr>
                <w:rFonts w:ascii="宋体" w:eastAsia="宋体" w:hint="eastAsia"/>
                <w:sz w:val="28"/>
                <w:szCs w:val="28"/>
              </w:rPr>
            </w:pPr>
            <w:r>
              <w:rPr>
                <w:rFonts w:ascii="宋体" w:eastAsia="宋体" w:hint="eastAsia"/>
                <w:sz w:val="28"/>
                <w:szCs w:val="28"/>
              </w:rPr>
              <w:t>三、交付成果硬性要求</w:t>
            </w:r>
          </w:p>
          <w:p>
            <w:pPr>
              <w:numPr>
                <w:ilvl w:val="0"/>
                <w:numId w:val="7"/>
              </w:numPr>
              <w:spacing w:line="400" w:lineRule="exact"/>
              <w:rPr>
                <w:rFonts w:ascii="宋体" w:eastAsia="宋体" w:hint="eastAsia"/>
                <w:sz w:val="28"/>
                <w:szCs w:val="28"/>
              </w:rPr>
            </w:pPr>
            <w:r>
              <w:rPr>
                <w:rFonts w:ascii="宋体" w:eastAsia="宋体" w:hint="eastAsia"/>
                <w:sz w:val="28"/>
                <w:szCs w:val="28"/>
              </w:rPr>
              <w:t>完整机房光纤、网络、强弱电线路纸质 + 电子台账一套；</w:t>
            </w:r>
          </w:p>
          <w:p>
            <w:pPr>
              <w:numPr>
                <w:ilvl w:val="0"/>
                <w:numId w:val="7"/>
              </w:numPr>
              <w:spacing w:line="400" w:lineRule="exact"/>
              <w:rPr>
                <w:rFonts w:ascii="宋体" w:eastAsia="宋体" w:hint="eastAsia"/>
                <w:sz w:val="28"/>
                <w:szCs w:val="28"/>
              </w:rPr>
            </w:pPr>
            <w:r>
              <w:rPr>
                <w:rFonts w:ascii="宋体" w:eastAsia="宋体" w:hint="eastAsia"/>
                <w:sz w:val="28"/>
                <w:szCs w:val="28"/>
              </w:rPr>
              <w:t>全机房线缆标签对照表、端口对应表、链路点位清单；</w:t>
            </w:r>
          </w:p>
          <w:p>
            <w:pPr>
              <w:numPr>
                <w:ilvl w:val="0"/>
                <w:numId w:val="7"/>
              </w:numPr>
              <w:spacing w:line="400" w:lineRule="exact"/>
              <w:rPr>
                <w:rFonts w:ascii="宋体" w:eastAsia="宋体" w:hint="eastAsia"/>
                <w:sz w:val="28"/>
                <w:szCs w:val="28"/>
              </w:rPr>
            </w:pPr>
            <w:r>
              <w:rPr>
                <w:rFonts w:ascii="宋体" w:eastAsia="宋体" w:hint="eastAsia"/>
                <w:sz w:val="28"/>
                <w:szCs w:val="28"/>
              </w:rPr>
              <w:t>机房改造前后全景对比照片、施工影像资料；</w:t>
            </w:r>
          </w:p>
          <w:p>
            <w:pPr>
              <w:numPr>
                <w:ilvl w:val="0"/>
                <w:numId w:val="7"/>
              </w:numPr>
              <w:spacing w:line="400" w:lineRule="exact"/>
              <w:rPr>
                <w:rFonts w:ascii="宋体" w:eastAsia="宋体" w:hint="eastAsia"/>
                <w:sz w:val="28"/>
                <w:szCs w:val="28"/>
              </w:rPr>
            </w:pPr>
            <w:r>
              <w:rPr>
                <w:rFonts w:ascii="宋体" w:eastAsia="宋体" w:hint="eastAsia"/>
                <w:sz w:val="28"/>
                <w:szCs w:val="28"/>
              </w:rPr>
              <w:t>线路勘线签字确认汇总档案；</w:t>
            </w:r>
          </w:p>
          <w:p>
            <w:pPr>
              <w:numPr>
                <w:ilvl w:val="0"/>
                <w:numId w:val="7"/>
              </w:numPr>
              <w:spacing w:line="400" w:lineRule="exact"/>
              <w:rPr>
                <w:rFonts w:ascii="宋体" w:eastAsia="宋体" w:hint="eastAsia"/>
                <w:sz w:val="28"/>
                <w:szCs w:val="28"/>
              </w:rPr>
            </w:pPr>
            <w:r>
              <w:rPr>
                <w:rFonts w:ascii="宋体" w:eastAsia="宋体" w:hint="eastAsia"/>
                <w:sz w:val="28"/>
                <w:szCs w:val="28"/>
              </w:rPr>
              <w:t>网络设备、光设备配置备份文件、网络优化调试记录；</w:t>
            </w:r>
          </w:p>
          <w:p>
            <w:pPr>
              <w:numPr>
                <w:ilvl w:val="0"/>
                <w:numId w:val="7"/>
              </w:numPr>
              <w:spacing w:line="400" w:lineRule="exact"/>
              <w:rPr>
                <w:rFonts w:ascii="宋体" w:eastAsia="宋体" w:hint="eastAsia"/>
                <w:sz w:val="28"/>
                <w:szCs w:val="28"/>
              </w:rPr>
            </w:pPr>
            <w:r>
              <w:rPr>
                <w:rFonts w:ascii="宋体" w:eastAsia="宋体" w:hint="eastAsia"/>
                <w:sz w:val="28"/>
                <w:szCs w:val="28"/>
              </w:rPr>
              <w:t>完整竣工报告、整改说明、运维资料全套归档。</w:t>
            </w:r>
          </w:p>
          <w:p>
            <w:pPr>
              <w:spacing w:line="400" w:lineRule="exact"/>
              <w:ind w:firstLineChars="200" w:firstLine="560"/>
              <w:rPr>
                <w:rFonts w:ascii="宋体" w:eastAsia="宋体" w:hint="eastAsia"/>
                <w:sz w:val="28"/>
                <w:szCs w:val="28"/>
              </w:rPr>
            </w:pPr>
            <w:r>
              <w:rPr>
                <w:rFonts w:ascii="宋体" w:eastAsia="宋体" w:hint="eastAsia"/>
                <w:sz w:val="28"/>
                <w:szCs w:val="28"/>
              </w:rPr>
              <w:t>四、售后服务实质性硬性条款</w:t>
            </w:r>
          </w:p>
          <w:p>
            <w:pPr>
              <w:numPr>
                <w:ilvl w:val="0"/>
                <w:numId w:val="8"/>
              </w:numPr>
              <w:spacing w:line="400" w:lineRule="exact"/>
              <w:rPr>
                <w:rFonts w:ascii="宋体" w:eastAsia="宋体" w:hint="eastAsia"/>
                <w:sz w:val="28"/>
                <w:szCs w:val="28"/>
              </w:rPr>
            </w:pPr>
            <w:r>
              <w:rPr>
                <w:rFonts w:ascii="宋体" w:eastAsia="宋体" w:hint="eastAsia"/>
                <w:sz w:val="28"/>
                <w:szCs w:val="28"/>
              </w:rPr>
              <w:t>质保服务：本项目整体免费质保不少于 1 年，质保期内所有线路故障、网络不稳定、标签脱落、布线松动等问题全部免费上门整改、免费更换辅材材料。</w:t>
            </w:r>
          </w:p>
          <w:p>
            <w:pPr>
              <w:numPr>
                <w:ilvl w:val="0"/>
                <w:numId w:val="8"/>
              </w:numPr>
              <w:spacing w:line="400" w:lineRule="exact"/>
              <w:rPr>
                <w:rFonts w:ascii="宋体" w:eastAsia="宋体" w:hint="eastAsia"/>
                <w:sz w:val="28"/>
                <w:szCs w:val="28"/>
              </w:rPr>
            </w:pPr>
            <w:r>
              <w:rPr>
                <w:rFonts w:ascii="宋体" w:eastAsia="宋体" w:hint="eastAsia"/>
                <w:sz w:val="28"/>
                <w:szCs w:val="28"/>
              </w:rPr>
              <w:t>故障响应时效：提供 7×24 小时电话技术支持，接到网络、线路故障报修后及时响应，</w:t>
            </w:r>
            <w:r>
              <w:rPr>
                <w:rFonts w:ascii="宋体" w:eastAsia="宋体"/>
                <w:sz w:val="28"/>
                <w:szCs w:val="28"/>
              </w:rPr>
              <w:t>质保期内对线路标识、</w:t>
            </w:r>
            <w:r>
              <w:rPr>
                <w:rFonts w:ascii="宋体" w:eastAsia="宋体" w:hint="eastAsia"/>
                <w:sz w:val="28"/>
                <w:szCs w:val="28"/>
              </w:rPr>
              <w:t>线路老化、松动、干扰、网络异常隐患，短时间内抵达现场排查整改。</w:t>
            </w:r>
          </w:p>
          <w:p>
            <w:pPr>
              <w:numPr>
                <w:ilvl w:val="0"/>
                <w:numId w:val="8"/>
              </w:numPr>
              <w:spacing w:line="400" w:lineRule="exact"/>
              <w:rPr>
                <w:rFonts w:ascii="宋体" w:eastAsia="宋体" w:hint="eastAsia"/>
                <w:sz w:val="28"/>
                <w:szCs w:val="28"/>
              </w:rPr>
            </w:pPr>
            <w:r>
              <w:rPr>
                <w:rFonts w:ascii="宋体" w:eastAsia="宋体" w:hint="eastAsia"/>
                <w:sz w:val="28"/>
                <w:szCs w:val="28"/>
              </w:rPr>
              <w:t>技术培训交付：项目完工后对甲方运维人员开展现场培训，包含线路识别、标签台账使用、日常巡查、简单故障判断、网络基础运维内容。</w:t>
            </w:r>
          </w:p>
          <w:p>
            <w:pPr>
              <w:spacing w:line="400" w:lineRule="exact"/>
              <w:ind w:firstLineChars="200" w:firstLine="560"/>
              <w:rPr>
                <w:rFonts w:ascii="宋体" w:eastAsia="宋体" w:hint="eastAsia"/>
                <w:sz w:val="28"/>
                <w:szCs w:val="28"/>
              </w:rPr>
            </w:pPr>
            <w:r>
              <w:rPr>
                <w:rFonts w:ascii="宋体" w:eastAsia="宋体" w:hint="eastAsia"/>
                <w:sz w:val="28"/>
                <w:szCs w:val="28"/>
              </w:rPr>
              <w:t>五、项目约束要求</w:t>
            </w:r>
          </w:p>
          <w:p>
            <w:pPr>
              <w:numPr>
                <w:ilvl w:val="0"/>
                <w:numId w:val="9"/>
              </w:numPr>
              <w:spacing w:line="400" w:lineRule="exact"/>
              <w:rPr>
                <w:rFonts w:ascii="宋体" w:eastAsia="宋体" w:hint="eastAsia"/>
                <w:sz w:val="28"/>
                <w:szCs w:val="28"/>
              </w:rPr>
            </w:pPr>
            <w:r>
              <w:rPr>
                <w:rFonts w:ascii="宋体" w:eastAsia="宋体" w:hint="eastAsia"/>
                <w:sz w:val="28"/>
                <w:szCs w:val="28"/>
              </w:rPr>
              <w:t>本项目全程严禁转包、违法分包，一经查实采购人有权终止合同、扣除履约保证金。</w:t>
            </w:r>
          </w:p>
          <w:p>
            <w:pPr>
              <w:numPr>
                <w:ilvl w:val="0"/>
                <w:numId w:val="9"/>
              </w:numPr>
              <w:spacing w:line="400" w:lineRule="exact"/>
              <w:rPr>
                <w:rFonts w:ascii="宋体" w:eastAsia="宋体" w:hint="eastAsia"/>
                <w:sz w:val="28"/>
                <w:szCs w:val="28"/>
              </w:rPr>
            </w:pPr>
            <w:r>
              <w:rPr>
                <w:rFonts w:ascii="宋体" w:eastAsia="宋体" w:hint="eastAsia"/>
                <w:sz w:val="28"/>
                <w:szCs w:val="28"/>
              </w:rPr>
              <w:t>所有竣工资料、台账、影像、巡检记录、培训资料、质保承诺函必须完整归档，作为验收、审计、支付必备材料。</w:t>
            </w:r>
          </w:p>
          <w:p>
            <w:pPr>
              <w:numPr>
                <w:ilvl w:val="0"/>
                <w:numId w:val="9"/>
              </w:numPr>
              <w:spacing w:line="400" w:lineRule="exact"/>
              <w:rPr>
                <w:rFonts w:ascii="宋体" w:eastAsia="宋体" w:hint="eastAsia"/>
                <w:color w:val="000000"/>
                <w:sz w:val="28"/>
                <w:szCs w:val="28"/>
              </w:rPr>
            </w:pPr>
            <w:r>
              <w:rPr>
                <w:rFonts w:ascii="宋体" w:eastAsia="宋体" w:hint="eastAsia"/>
                <w:sz w:val="28"/>
                <w:szCs w:val="28"/>
              </w:rPr>
              <w:t>所有施工工艺、整改效果、网络稳定性、台账完整性必须 100% 达标，未达标无条件整改直至合格。</w:t>
            </w:r>
          </w:p>
        </w:tc>
      </w:tr>
      <w:tr>
        <w:trPr>
          <w:trHeight w:val="610"/>
        </w:trPr>
        <w:tc>
          <w:tcPr>
            <w:tcW w:w="2198"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评审因素</w:t>
            </w:r>
          </w:p>
        </w:tc>
        <w:tc>
          <w:tcPr>
            <w:tcW w:w="6862" w:type="dxa"/>
            <w:vAlign w:val="center"/>
          </w:tcPr>
          <w:p>
            <w:pPr>
              <w:spacing w:line="400" w:lineRule="exact"/>
              <w:rPr>
                <w:rFonts w:ascii="Times New Roman" w:eastAsia="方正仿宋_GBK" w:cs="Times New Roman" w:hAnsi="Times New Roman"/>
                <w:sz w:val="28"/>
                <w:szCs w:val="28"/>
              </w:rPr>
            </w:pPr>
            <w:r>
              <w:rPr>
                <w:rFonts w:ascii="方正仿宋_GBK" w:eastAsia="方正仿宋_GBK" w:cs="方正仿宋_GBK" w:hint="eastAsia"/>
                <w:sz w:val="28"/>
                <w:szCs w:val="28"/>
              </w:rPr>
              <w:t>√最低价法</w:t>
            </w:r>
          </w:p>
        </w:tc>
      </w:tr>
      <w:tr>
        <w:trPr>
          <w:trHeight w:val="2545"/>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862" w:type="dxa"/>
          </w:tcPr>
          <w:p>
            <w:pPr>
              <w:spacing w:line="400" w:lineRule="exact"/>
              <w:jc w:val="left"/>
              <w:rPr>
                <w:rFonts w:ascii="方正仿宋_GBK" w:eastAsia="方正仿宋_GBK" w:cs="方正仿宋_GBK"/>
                <w:sz w:val="28"/>
                <w:szCs w:val="28"/>
              </w:rPr>
            </w:pPr>
          </w:p>
        </w:tc>
      </w:tr>
    </w:tbl>
    <w:p>
      <w:pPr>
        <w:rPr>
          <w:rFonts w:ascii="方正仿宋_GBK" w:eastAsia="方正仿宋_GBK" w:cs="方正仿宋_GBK"/>
          <w:sz w:val="32"/>
          <w:szCs w:val="32"/>
        </w:rPr>
      </w:pPr>
    </w:p>
    <w:p>
      <w:pPr>
        <w:spacing w:line="560" w:lineRule="exac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Wingdings 2">
    <w:altName w:val="DejaVu Sans"/>
    <w:panose1 w:val="05020102010507070707"/>
    <w:charset w:val="02"/>
    <w:family w:val="roman"/>
    <w:pitch w:val="variable"/>
    <w:sig w:usb0="00000000" w:usb1="00000000" w:usb2="00000000" w:usb3="00000000" w:csb0="80000000"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5"/>
      </w:rPr>
      <w:fldChar w:fldCharType="begin"/>
    </w:r>
    <w:r>
      <w:rPr>
        <w:rStyle w:val="25"/>
      </w:rPr>
      <w:instrText>Page</w:instrText>
    </w:r>
    <w:r>
      <w:rPr>
        <w:rStyle w:val="25"/>
      </w:rPr>
      <w:fldChar w:fldCharType="separate"/>
    </w:r>
    <w:r>
      <w:rPr>
        <w:rStyle w:val="25"/>
      </w:rPr>
      <w:t>3</w:t>
    </w:r>
    <w:r>
      <w:rPr>
        <w:rStyle w:val="25"/>
      </w:rPr>
      <w:fldChar w:fldCharType="end"/>
    </w:r>
  </w:p>
  <w:p>
    <w:pPr>
      <w:pStyle w:val="17"/>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5"/>
      </w:rPr>
      <w:fldChar w:fldCharType="begin"/>
    </w:r>
    <w:r>
      <w:rPr>
        <w:rStyle w:val="25"/>
      </w:rPr>
      <w:instrText>Page</w:instrText>
    </w:r>
    <w:r>
      <w:rPr>
        <w:rStyle w:val="25"/>
      </w:rPr>
      <w:fldChar w:fldCharType="separate"/>
    </w:r>
    <w:r>
      <w:rPr>
        <w:rStyle w:val="25"/>
      </w:rPr>
      <w:t>1</w:t>
    </w:r>
    <w:r>
      <w:rPr>
        <w:rStyle w:val="25"/>
      </w:rPr>
      <w:fldChar w:fldCharType="end"/>
    </w:r>
  </w:p>
  <w:p>
    <w:pPr>
      <w:pStyle w:val="17"/>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7885628"/>
    <w:multiLevelType w:val="multilevel"/>
    <w:tmpl w:val="97885628"/>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7B93761D"/>
    <w:multiLevelType w:val="multilevel"/>
    <w:tmpl w:val="7B93761D"/>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5E68043A"/>
    <w:multiLevelType w:val="multilevel"/>
    <w:tmpl w:val="5E68043A"/>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B31DFBAC"/>
    <w:multiLevelType w:val="multilevel"/>
    <w:tmpl w:val="B31DFBAC"/>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8C790AA3"/>
    <w:multiLevelType w:val="multilevel"/>
    <w:tmpl w:val="8C790AA3"/>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70BF2A8D"/>
    <w:multiLevelType w:val="multilevel"/>
    <w:tmpl w:val="70BF2A8D"/>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52B31968"/>
    <w:multiLevelType w:val="multilevel"/>
    <w:tmpl w:val="52B31968"/>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AA35B20B"/>
    <w:multiLevelType w:val="multilevel"/>
    <w:tmpl w:val="AA35B20B"/>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FBA4347D"/>
    <w:multiLevelType w:val="multilevel"/>
    <w:tmpl w:val="FBA4347D"/>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pPr>
      <w:widowControl/>
      <w:spacing w:before="100" w:beforeAutospacing="1" w:after="100" w:afterAutospacing="1"/>
      <w:jc w:val="left"/>
      <w:outlineLvl w:val="1"/>
    </w:pPr>
    <w:rPr>
      <w:rFonts w:ascii="宋体"/>
      <w:b/>
      <w:kern w:val="0"/>
      <w:sz w:val="36"/>
    </w:rPr>
  </w:style>
  <w:style w:type="paragraph" w:styleId="3">
    <w:name w:val="heading 3"/>
    <w:basedOn w:val="0"/>
    <w:pPr>
      <w:widowControl/>
      <w:spacing w:before="100" w:beforeAutospacing="1" w:after="100" w:afterAutospacing="1"/>
      <w:jc w:val="left"/>
      <w:outlineLvl w:val="2"/>
    </w:pPr>
    <w:rPr>
      <w:rFonts w:ascii="宋体"/>
      <w:b/>
      <w:kern w:val="0"/>
      <w:sz w:val="27"/>
    </w:rPr>
  </w:style>
  <w:style w:type="character" w:default="1" w:styleId="10">
    <w:name w:val="Default Paragraph Font"/>
  </w:style>
  <w:style w:type="paragraph" w:styleId="15">
    <w:name w:val="annotation text"/>
    <w:pPr>
      <w:widowControl w:val="0"/>
    </w:pPr>
    <w:rPr>
      <w:rFonts w:ascii="Calibri" w:eastAsia="宋体" w:cs="Arial" w:hAnsi="Calibri"/>
      <w:kern w:val="2"/>
      <w:sz w:val="21"/>
      <w:szCs w:val="24"/>
      <w:lang w:val="en-US" w:eastAsia="zh-CN" w:bidi="ar-SA"/>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index heading"/>
    <w:basedOn w:val="0"/>
    <w:rPr>
      <w:rFonts w:ascii="Arial" w:hAnsi="Arial"/>
      <w:b/>
    </w:rPr>
  </w:style>
  <w:style w:type="paragraph" w:styleId="20">
    <w:name w:val="List 5"/>
    <w:basedOn w:val="0"/>
    <w:pPr>
      <w:ind w:left="2100" w:hanging="420"/>
    </w:pPr>
  </w:style>
  <w:style w:type="paragraph" w:styleId="21">
    <w:name w:val="index 7"/>
    <w:basedOn w:val="0"/>
    <w:autoRedefine/>
    <w:next w:val="0"/>
    <w:pPr>
      <w:ind w:left="2520"/>
    </w:pPr>
  </w:style>
  <w:style w:type="paragraph" w:styleId="22">
    <w:name w:val="Normal (Web)"/>
    <w:next w:val="20"/>
    <w:pPr>
      <w:widowControl w:val="0"/>
      <w:spacing w:before="100" w:beforeAutospacing="1" w:after="100" w:afterAutospacing="1"/>
    </w:pPr>
    <w:rPr>
      <w:rFonts w:ascii="宋体" w:eastAsia="宋体" w:cs="Times New Roman"/>
      <w:kern w:val="2"/>
      <w:sz w:val="24"/>
      <w:szCs w:val="24"/>
      <w:lang w:val="en-US" w:eastAsia="zh-CN" w:bidi="ar-SA"/>
    </w:rPr>
  </w:style>
  <w:style w:type="paragraph" w:styleId="23">
    <w:name w:val="annotation subject"/>
    <w:next w:val="15"/>
    <w:pPr>
      <w:widowControl w:val="0"/>
    </w:pPr>
    <w:rPr>
      <w:rFonts w:ascii="Calibri" w:eastAsia="宋体" w:cs="Arial" w:hAnsi="Calibri"/>
      <w:b/>
      <w:kern w:val="2"/>
      <w:sz w:val="21"/>
      <w:szCs w:val="24"/>
      <w:lang w:val="en-US" w:eastAsia="zh-CN" w:bidi="ar-SA"/>
    </w:rPr>
  </w:style>
  <w:style w:type="character" w:styleId="24">
    <w:name w:val="Strong"/>
    <w:basedOn w:val="10"/>
    <w:rPr>
      <w:b/>
      <w:bCs/>
    </w:rPr>
  </w:style>
  <w:style w:type="character" w:styleId="25">
    <w:name w:val="page number"/>
    <w:basedOn w:val="10"/>
  </w:style>
  <w:style w:type="character" w:styleId="26">
    <w:name w:val="annotation reference"/>
    <w:basedOn w:val="10"/>
    <w:rPr>
      <w:sz w:val="21"/>
      <w:szCs w:val="21"/>
    </w:rPr>
  </w:style>
  <w:style w:type="paragraph" w:customStyle="1" w:styleId="27">
    <w:name w:val="样式 10 磅"/>
    <w:pPr>
      <w:widowControl w:val="0"/>
      <w:jc w:val="both"/>
    </w:pPr>
    <w:rPr>
      <w:rFonts w:ascii="Calibri" w:eastAsia="宋体" w:cs="Arial" w:hAnsi="Calibri"/>
      <w:kern w:val="2"/>
      <w:sz w:val="21"/>
      <w:szCs w:val="24"/>
      <w:lang w:val="en-US" w:eastAsia="zh-CN" w:bidi="ar-SA"/>
    </w:rPr>
  </w:style>
  <w:style w:type="paragraph" w:customStyle="1" w:styleId="28">
    <w:name w:val="样式 1 10 磅"/>
    <w:pPr>
      <w:widowControl w:val="0"/>
      <w:jc w:val="both"/>
    </w:pPr>
    <w:rPr>
      <w:rFonts w:ascii="Calibri" w:eastAsia="宋体" w:cs="Arial" w:hAnsi="Calibri"/>
      <w:kern w:val="2"/>
      <w:sz w:val="21"/>
      <w:szCs w:val="24"/>
      <w:lang w:val="en-US" w:eastAsia="zh-CN" w:bidi="ar-SA"/>
    </w:rPr>
  </w:style>
  <w:style w:type="paragraph" w:customStyle="1" w:styleId="29">
    <w:name w:val="样式 2 10 磅"/>
    <w:pPr>
      <w:widowControl w:val="0"/>
      <w:jc w:val="both"/>
    </w:pPr>
    <w:rPr>
      <w:rFonts w:ascii="Calibri" w:eastAsia="宋体" w:cs="Arial" w:hAnsi="Calibri"/>
      <w:kern w:val="2"/>
      <w:sz w:val="21"/>
      <w:szCs w:val="24"/>
      <w:lang w:val="en-US" w:eastAsia="zh-CN" w:bidi="ar-SA"/>
    </w:rPr>
  </w:style>
  <w:style w:type="paragraph" w:customStyle="1" w:styleId="30">
    <w:name w:val="样式 3 10 磅"/>
    <w:pPr>
      <w:widowControl w:val="0"/>
      <w:jc w:val="both"/>
    </w:pPr>
    <w:rPr>
      <w:rFonts w:ascii="Calibri" w:eastAsia="宋体" w:cs="Arial" w:hAnsi="Calibri"/>
      <w:kern w:val="2"/>
      <w:sz w:val="21"/>
      <w:szCs w:val="24"/>
      <w:lang w:val="en-US" w:eastAsia="zh-CN" w:bidi="ar-SA"/>
    </w:rPr>
  </w:style>
  <w:style w:type="paragraph" w:customStyle="1" w:styleId="31">
    <w:name w:val="样式 4 10 磅"/>
    <w:pPr>
      <w:widowControl w:val="0"/>
      <w:jc w:val="both"/>
    </w:pPr>
    <w:rPr>
      <w:rFonts w:ascii="Calibri" w:eastAsia="宋体" w:cs="Arial" w:hAnsi="Calibri"/>
      <w:kern w:val="2"/>
      <w:sz w:val="21"/>
      <w:szCs w:val="24"/>
      <w:lang w:val="en-US" w:eastAsia="zh-CN" w:bidi="ar-SA"/>
    </w:rPr>
  </w:style>
  <w:style w:type="paragraph" w:customStyle="1" w:styleId="32">
    <w:name w:val="样式 5 10 磅"/>
    <w:pPr>
      <w:widowControl w:val="0"/>
      <w:jc w:val="both"/>
    </w:pPr>
    <w:rPr>
      <w:rFonts w:ascii="Calibri" w:eastAsia="宋体" w:cs="Arial" w:hAnsi="Calibri"/>
      <w:kern w:val="2"/>
      <w:sz w:val="21"/>
      <w:szCs w:val="24"/>
      <w:lang w:val="en-US" w:eastAsia="zh-CN" w:bidi="ar-SA"/>
    </w:rPr>
  </w:style>
  <w:style w:type="paragraph" w:customStyle="1" w:styleId="33">
    <w:name w:val="样式 6 10 磅"/>
    <w:pPr>
      <w:widowControl w:val="0"/>
      <w:jc w:val="both"/>
    </w:pPr>
    <w:rPr>
      <w:rFonts w:ascii="Calibri" w:eastAsia="宋体" w:cs="Arial" w:hAnsi="Calibri"/>
      <w:kern w:val="2"/>
      <w:sz w:val="21"/>
      <w:szCs w:val="24"/>
      <w:lang w:val="en-US" w:eastAsia="zh-CN" w:bidi="ar-SA"/>
    </w:rPr>
  </w:style>
  <w:style w:type="paragraph" w:customStyle="1" w:styleId="34">
    <w:name w:val="样式 7 10 磅"/>
    <w:pPr>
      <w:widowControl w:val="0"/>
      <w:jc w:val="both"/>
    </w:pPr>
    <w:rPr>
      <w:rFonts w:ascii="Calibri" w:eastAsia="宋体" w:cs="Arial" w:hAnsi="Calibri"/>
      <w:kern w:val="2"/>
      <w:sz w:val="21"/>
      <w:szCs w:val="24"/>
      <w:lang w:val="en-US" w:eastAsia="zh-CN" w:bidi="ar-SA"/>
    </w:rPr>
  </w:style>
  <w:style w:type="paragraph" w:customStyle="1" w:styleId="35">
    <w:name w:val="样式 8 10 磅"/>
    <w:pPr>
      <w:widowControl w:val="0"/>
      <w:jc w:val="both"/>
    </w:pPr>
    <w:rPr>
      <w:rFonts w:ascii="Calibri" w:eastAsia="宋体" w:cs="Arial" w:hAnsi="Calibri"/>
      <w:kern w:val="2"/>
      <w:sz w:val="21"/>
      <w:szCs w:val="24"/>
      <w:lang w:val="en-US" w:eastAsia="zh-CN" w:bidi="ar-SA"/>
    </w:rPr>
  </w:style>
  <w:style w:type="paragraph" w:customStyle="1" w:styleId="36">
    <w:name w:val="样式 9 10 磅"/>
    <w:pPr>
      <w:widowControl w:val="0"/>
      <w:jc w:val="both"/>
    </w:pPr>
    <w:rPr>
      <w:rFonts w:ascii="Calibri" w:eastAsia="宋体" w:cs="Arial" w:hAnsi="Calibri"/>
      <w:kern w:val="2"/>
      <w:sz w:val="21"/>
      <w:szCs w:val="24"/>
      <w:lang w:val="en-US" w:eastAsia="zh-CN" w:bidi="ar-SA"/>
    </w:rPr>
  </w:style>
  <w:style w:type="paragraph" w:customStyle="1" w:styleId="37">
    <w:name w:val="样式 10 10 磅"/>
    <w:pPr>
      <w:widowControl w:val="0"/>
      <w:jc w:val="both"/>
    </w:pPr>
    <w:rPr>
      <w:rFonts w:ascii="Calibri" w:eastAsia="宋体" w:cs="Arial" w:hAnsi="Calibri"/>
      <w:kern w:val="2"/>
      <w:sz w:val="21"/>
      <w:szCs w:val="24"/>
      <w:lang w:val="en-US" w:eastAsia="zh-CN" w:bidi="ar-SA"/>
    </w:rPr>
  </w:style>
  <w:style w:type="paragraph" w:customStyle="1" w:styleId="38">
    <w:name w:val="样式 11 10 磅"/>
    <w:pPr>
      <w:widowControl w:val="0"/>
      <w:jc w:val="both"/>
    </w:pPr>
    <w:rPr>
      <w:rFonts w:ascii="Calibri" w:eastAsia="宋体" w:cs="Arial" w:hAnsi="Calibri"/>
      <w:kern w:val="2"/>
      <w:sz w:val="21"/>
      <w:szCs w:val="24"/>
      <w:lang w:val="en-US" w:eastAsia="zh-CN" w:bidi="ar-SA"/>
    </w:rPr>
  </w:style>
  <w:style w:type="paragraph" w:customStyle="1" w:styleId="39">
    <w:name w:val="样式 12 10 磅"/>
    <w:pPr>
      <w:widowControl w:val="0"/>
      <w:jc w:val="both"/>
    </w:pPr>
    <w:rPr>
      <w:rFonts w:ascii="Calibri" w:eastAsia="宋体" w:cs="Arial" w:hAnsi="Calibri"/>
      <w:kern w:val="2"/>
      <w:sz w:val="21"/>
      <w:szCs w:val="24"/>
      <w:lang w:val="en-US" w:eastAsia="zh-CN" w:bidi="ar-SA"/>
    </w:rPr>
  </w:style>
  <w:style w:type="paragraph" w:customStyle="1" w:styleId="40">
    <w:name w:val="样式 13 10 磅"/>
    <w:pPr>
      <w:widowControl w:val="0"/>
      <w:jc w:val="both"/>
    </w:pPr>
    <w:rPr>
      <w:rFonts w:ascii="Calibri" w:eastAsia="宋体" w:cs="Arial" w:hAnsi="Calibri"/>
      <w:kern w:val="2"/>
      <w:sz w:val="21"/>
      <w:szCs w:val="24"/>
      <w:lang w:val="en-US" w:eastAsia="zh-CN" w:bidi="ar-SA"/>
    </w:rPr>
  </w:style>
  <w:style w:type="paragraph" w:customStyle="1" w:styleId="41">
    <w:name w:val="样式 14 10 磅"/>
    <w:pPr>
      <w:widowControl w:val="0"/>
      <w:jc w:val="both"/>
    </w:pPr>
    <w:rPr>
      <w:rFonts w:ascii="Calibri" w:eastAsia="宋体" w:cs="Arial" w:hAnsi="Calibri"/>
      <w:kern w:val="2"/>
      <w:sz w:val="21"/>
      <w:szCs w:val="24"/>
      <w:lang w:val="en-US" w:eastAsia="zh-CN" w:bidi="ar-SA"/>
    </w:rPr>
  </w:style>
  <w:style w:type="paragraph" w:customStyle="1" w:styleId="42">
    <w:name w:val="样式 15 10 磅"/>
    <w:pPr>
      <w:widowControl w:val="0"/>
      <w:jc w:val="both"/>
    </w:pPr>
    <w:rPr>
      <w:rFonts w:ascii="Calibri" w:eastAsia="宋体" w:cs="Arial" w:hAnsi="Calibri"/>
      <w:kern w:val="2"/>
      <w:sz w:val="21"/>
      <w:szCs w:val="24"/>
      <w:lang w:val="en-US" w:eastAsia="zh-CN" w:bidi="ar-SA"/>
    </w:rPr>
  </w:style>
  <w:style w:type="paragraph" w:customStyle="1" w:styleId="43">
    <w:name w:val="样式 16 10 磅"/>
    <w:pPr>
      <w:widowControl w:val="0"/>
      <w:jc w:val="both"/>
    </w:pPr>
    <w:rPr>
      <w:rFonts w:ascii="Calibri" w:eastAsia="宋体" w:cs="Arial" w:hAnsi="Calibri"/>
      <w:kern w:val="2"/>
      <w:sz w:val="21"/>
      <w:szCs w:val="24"/>
      <w:lang w:val="en-US" w:eastAsia="zh-CN" w:bidi="ar-SA"/>
    </w:rPr>
  </w:style>
  <w:style w:type="paragraph" w:customStyle="1" w:styleId="44">
    <w:name w:val="样式 17 10 磅"/>
    <w:pPr>
      <w:widowControl w:val="0"/>
      <w:jc w:val="both"/>
    </w:pPr>
    <w:rPr>
      <w:rFonts w:ascii="Calibri" w:eastAsia="宋体" w:cs="Arial" w:hAnsi="Calibri"/>
      <w:kern w:val="2"/>
      <w:sz w:val="21"/>
      <w:szCs w:val="24"/>
      <w:lang w:val="en-US" w:eastAsia="zh-CN" w:bidi="ar-SA"/>
    </w:rPr>
  </w:style>
  <w:style w:type="paragraph" w:customStyle="1" w:styleId="45">
    <w:name w:val="样式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6">
    <w:name w:val="样式 1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7">
    <w:name w:val="样式 18 10 磅"/>
    <w:next w:val="30"/>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19 10 磅"/>
    <w:pPr>
      <w:widowControl w:val="0"/>
      <w:jc w:val="both"/>
    </w:pPr>
    <w:rPr>
      <w:rFonts w:ascii="Calibri" w:eastAsia="宋体" w:cs="Arial" w:hAnsi="Calibri"/>
      <w:kern w:val="2"/>
      <w:sz w:val="21"/>
      <w:szCs w:val="24"/>
      <w:lang w:val="en-US" w:eastAsia="zh-CN" w:bidi="ar-SA"/>
    </w:rPr>
  </w:style>
  <w:style w:type="paragraph" w:customStyle="1" w:styleId="49">
    <w:name w:val="样式 20 10 磅"/>
    <w:pPr>
      <w:widowControl w:val="0"/>
      <w:jc w:val="both"/>
    </w:pPr>
    <w:rPr>
      <w:rFonts w:ascii="Calibri" w:eastAsia="宋体" w:cs="Arial" w:hAnsi="Calibri"/>
      <w:kern w:val="2"/>
      <w:sz w:val="21"/>
      <w:szCs w:val="24"/>
      <w:lang w:val="en-US" w:eastAsia="zh-CN" w:bidi="ar-SA"/>
    </w:rPr>
  </w:style>
  <w:style w:type="paragraph" w:customStyle="1" w:styleId="50">
    <w:name w:val="样式 21 10 磅"/>
    <w:pPr>
      <w:widowControl w:val="0"/>
      <w:jc w:val="both"/>
    </w:pPr>
    <w:rPr>
      <w:rFonts w:ascii="Calibri" w:eastAsia="宋体" w:cs="Arial" w:hAnsi="Calibri"/>
      <w:kern w:val="2"/>
      <w:sz w:val="21"/>
      <w:szCs w:val="24"/>
      <w:lang w:val="en-US" w:eastAsia="zh-CN" w:bidi="ar-SA"/>
    </w:rPr>
  </w:style>
  <w:style w:type="paragraph" w:customStyle="1" w:styleId="51">
    <w:name w:val="样式 22 10 磅"/>
    <w:pPr>
      <w:widowControl w:val="0"/>
      <w:jc w:val="both"/>
    </w:pPr>
    <w:rPr>
      <w:rFonts w:ascii="Calibri" w:eastAsia="宋体" w:cs="Arial" w:hAnsi="Calibri"/>
      <w:kern w:val="2"/>
      <w:sz w:val="21"/>
      <w:szCs w:val="24"/>
      <w:lang w:val="en-US" w:eastAsia="zh-CN" w:bidi="ar-SA"/>
    </w:rPr>
  </w:style>
  <w:style w:type="paragraph" w:customStyle="1" w:styleId="52">
    <w:name w:val="样式 小四"/>
    <w:pPr>
      <w:widowControl w:val="0"/>
    </w:pPr>
    <w:rPr>
      <w:rFonts w:ascii="宋体" w:eastAsia="宋体" w:cs="Times New Roman"/>
      <w:kern w:val="2"/>
      <w:sz w:val="24"/>
      <w:szCs w:val="21"/>
      <w:lang w:val="en-US" w:eastAsia="zh-CN" w:bidi="ar-SA"/>
    </w:rPr>
  </w:style>
  <w:style w:type="paragraph" w:customStyle="1" w:styleId="53">
    <w:name w:val="样式 23 10 磅"/>
    <w:pPr>
      <w:widowControl w:val="0"/>
      <w:jc w:val="both"/>
    </w:pPr>
    <w:rPr>
      <w:rFonts w:ascii="Calibri" w:eastAsia="宋体" w:cs="Arial" w:hAnsi="Calibri"/>
      <w:kern w:val="2"/>
      <w:sz w:val="21"/>
      <w:szCs w:val="24"/>
      <w:lang w:val="en-US" w:eastAsia="zh-CN" w:bidi="ar-SA"/>
    </w:rPr>
  </w:style>
  <w:style w:type="paragraph" w:customStyle="1" w:styleId="54">
    <w:name w:val="样式 24 10 磅"/>
    <w:pPr>
      <w:widowControl w:val="0"/>
      <w:jc w:val="both"/>
    </w:pPr>
    <w:rPr>
      <w:rFonts w:ascii="Calibri" w:eastAsia="宋体" w:cs="Arial" w:hAnsi="Calibri"/>
      <w:kern w:val="2"/>
      <w:sz w:val="21"/>
      <w:szCs w:val="24"/>
      <w:lang w:val="en-US" w:eastAsia="zh-CN" w:bidi="ar-SA"/>
    </w:rPr>
  </w:style>
  <w:style w:type="paragraph" w:customStyle="1" w:styleId="55">
    <w:name w:val="样式 2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6">
    <w:name w:val="样式 3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7">
    <w:name w:val="样式 25 10 磅"/>
    <w:pPr>
      <w:widowControl w:val="0"/>
      <w:jc w:val="both"/>
    </w:pPr>
    <w:rPr>
      <w:rFonts w:ascii="Calibri" w:eastAsia="宋体" w:cs="Arial" w:hAnsi="Calibri"/>
      <w:kern w:val="2"/>
      <w:sz w:val="21"/>
      <w:szCs w:val="24"/>
      <w:lang w:val="en-US" w:eastAsia="zh-CN" w:bidi="ar-SA"/>
    </w:rPr>
  </w:style>
  <w:style w:type="paragraph" w:customStyle="1" w:styleId="58">
    <w:name w:val="样式 26 10 磅"/>
    <w:pPr>
      <w:widowControl w:val="0"/>
      <w:jc w:val="both"/>
    </w:pPr>
    <w:rPr>
      <w:rFonts w:ascii="Calibri" w:eastAsia="宋体" w:cs="Arial" w:hAnsi="Calibri"/>
      <w:kern w:val="2"/>
      <w:sz w:val="21"/>
      <w:szCs w:val="24"/>
      <w:lang w:val="en-US" w:eastAsia="zh-CN" w:bidi="ar-SA"/>
    </w:rPr>
  </w:style>
  <w:style w:type="paragraph" w:customStyle="1" w:styleId="59">
    <w:name w:val="样式 27 10 磅"/>
    <w:pPr>
      <w:widowControl w:val="0"/>
      <w:jc w:val="both"/>
    </w:pPr>
    <w:rPr>
      <w:rFonts w:ascii="Calibri" w:eastAsia="宋体" w:cs="Times New Roman" w:hAnsi="Calibri"/>
      <w:kern w:val="2"/>
      <w:sz w:val="21"/>
      <w:szCs w:val="22"/>
      <w:lang w:val="en-US" w:eastAsia="zh-CN" w:bidi="ar-SA"/>
    </w:rPr>
  </w:style>
  <w:style w:type="paragraph" w:customStyle="1" w:styleId="60">
    <w:name w:val="样式 28 10 磅"/>
    <w:pPr>
      <w:widowControl w:val="0"/>
      <w:jc w:val="both"/>
    </w:pPr>
    <w:rPr>
      <w:rFonts w:ascii="Calibri" w:eastAsia="宋体" w:cs="Times New Roman" w:hAnsi="Calibri"/>
      <w:kern w:val="2"/>
      <w:sz w:val="21"/>
      <w:szCs w:val="22"/>
      <w:lang w:val="en-US" w:eastAsia="zh-CN" w:bidi="ar-SA"/>
    </w:rPr>
  </w:style>
  <w:style w:type="paragraph" w:customStyle="1" w:styleId="61">
    <w:name w:val="样式 29 10 磅"/>
    <w:pPr>
      <w:widowControl w:val="0"/>
      <w:jc w:val="both"/>
    </w:pPr>
    <w:rPr>
      <w:rFonts w:ascii="Calibri" w:eastAsia="宋体" w:cs="Arial" w:hAnsi="Calibri"/>
      <w:kern w:val="2"/>
      <w:sz w:val="21"/>
      <w:szCs w:val="24"/>
      <w:lang w:val="en-US" w:eastAsia="zh-CN" w:bidi="ar-SA"/>
    </w:rPr>
  </w:style>
  <w:style w:type="paragraph" w:customStyle="1" w:styleId="62">
    <w:name w:val="样式 30 10 磅"/>
    <w:pPr>
      <w:widowControl w:val="0"/>
      <w:jc w:val="both"/>
    </w:pPr>
    <w:rPr>
      <w:rFonts w:ascii="Calibri" w:eastAsia="宋体" w:cs="Arial" w:hAnsi="Calibri"/>
      <w:kern w:val="2"/>
      <w:sz w:val="21"/>
      <w:szCs w:val="24"/>
      <w:lang w:val="en-US" w:eastAsia="zh-CN" w:bidi="ar-SA"/>
    </w:rPr>
  </w:style>
  <w:style w:type="paragraph" w:customStyle="1" w:styleId="63">
    <w:name w:val="样式 31 10 磅"/>
    <w:pPr>
      <w:widowControl w:val="0"/>
      <w:jc w:val="both"/>
    </w:pPr>
    <w:rPr>
      <w:rFonts w:ascii="Calibri" w:eastAsia="宋体" w:cs="Arial" w:hAnsi="Calibri"/>
      <w:kern w:val="2"/>
      <w:sz w:val="21"/>
      <w:szCs w:val="24"/>
      <w:lang w:val="en-US" w:eastAsia="zh-CN" w:bidi="ar-SA"/>
    </w:rPr>
  </w:style>
  <w:style w:type="paragraph" w:customStyle="1" w:styleId="64">
    <w:name w:val="样式 32 10 磅"/>
    <w:pPr>
      <w:widowControl w:val="0"/>
      <w:jc w:val="both"/>
    </w:pPr>
    <w:rPr>
      <w:rFonts w:ascii="Calibri" w:eastAsia="宋体" w:cs="Arial" w:hAnsi="Calibri"/>
      <w:kern w:val="2"/>
      <w:sz w:val="21"/>
      <w:szCs w:val="24"/>
      <w:lang w:val="en-US" w:eastAsia="zh-CN" w:bidi="ar-SA"/>
    </w:rPr>
  </w:style>
  <w:style w:type="paragraph" w:customStyle="1" w:styleId="65">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66">
    <w:name w:val="样式 34 10 磅"/>
    <w:pPr>
      <w:widowControl w:val="0"/>
      <w:jc w:val="both"/>
    </w:pPr>
    <w:rPr>
      <w:rFonts w:ascii="Calibri" w:eastAsia="宋体" w:cs="Arial" w:hAnsi="Calibri"/>
      <w:kern w:val="2"/>
      <w:sz w:val="21"/>
      <w:szCs w:val="24"/>
      <w:lang w:val="en-US" w:eastAsia="zh-CN" w:bidi="ar-SA"/>
    </w:rPr>
  </w:style>
  <w:style w:type="paragraph" w:customStyle="1" w:styleId="67">
    <w:name w:val="样式 1 小四"/>
    <w:pPr>
      <w:widowControl w:val="0"/>
    </w:pPr>
    <w:rPr>
      <w:rFonts w:ascii="宋体" w:eastAsia="宋体" w:cs="Times New Roman"/>
      <w:kern w:val="2"/>
      <w:sz w:val="24"/>
      <w:szCs w:val="21"/>
      <w:lang w:val="en-US" w:eastAsia="zh-CN" w:bidi="ar-SA"/>
    </w:rPr>
  </w:style>
  <w:style w:type="paragraph" w:customStyle="1" w:styleId="68">
    <w:name w:val="样式 35 10 磅"/>
    <w:pPr>
      <w:widowControl w:val="0"/>
      <w:jc w:val="both"/>
    </w:pPr>
    <w:rPr>
      <w:rFonts w:ascii="Calibri" w:eastAsia="宋体" w:cs="Arial" w:hAnsi="Calibri"/>
      <w:kern w:val="2"/>
      <w:sz w:val="21"/>
      <w:szCs w:val="24"/>
      <w:lang w:val="en-US" w:eastAsia="zh-CN" w:bidi="ar-SA"/>
    </w:rPr>
  </w:style>
  <w:style w:type="paragraph" w:customStyle="1" w:styleId="69">
    <w:name w:val="样式 36 10 磅"/>
    <w:next w:val="66"/>
    <w:pPr>
      <w:widowControl w:val="0"/>
      <w:jc w:val="both"/>
    </w:pPr>
    <w:rPr>
      <w:rFonts w:ascii="Calibri" w:eastAsia="宋体" w:cs="Arial" w:hAnsi="Calibri"/>
      <w:kern w:val="2"/>
      <w:sz w:val="21"/>
      <w:szCs w:val="24"/>
      <w:lang w:val="en-US" w:eastAsia="zh-CN" w:bidi="ar-SA"/>
    </w:rPr>
  </w:style>
  <w:style w:type="paragraph" w:customStyle="1" w:styleId="70">
    <w:name w:val="样式 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1">
    <w:name w:val="样式 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2">
    <w:name w:val="样式 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3">
    <w:name w:val="样式 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4">
    <w:name w:val="样式 6 小四"/>
    <w:pPr>
      <w:widowControl w:val="0"/>
    </w:pPr>
    <w:rPr>
      <w:rFonts w:ascii="宋体" w:eastAsia="宋体" w:cs="Times New Roman"/>
      <w:kern w:val="2"/>
      <w:sz w:val="24"/>
      <w:szCs w:val="21"/>
      <w:lang w:val="en-US" w:eastAsia="zh-CN" w:bidi="ar-SA"/>
    </w:rPr>
  </w:style>
  <w:style w:type="paragraph" w:customStyle="1" w:styleId="75">
    <w:name w:val="样式 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6">
    <w:name w:val="样式 8 小四"/>
    <w:pPr>
      <w:widowControl w:val="0"/>
    </w:pPr>
    <w:rPr>
      <w:rFonts w:ascii="宋体" w:eastAsia="宋体" w:cs="Times New Roman"/>
      <w:kern w:val="2"/>
      <w:sz w:val="24"/>
      <w:szCs w:val="21"/>
      <w:lang w:val="en-US" w:eastAsia="zh-CN" w:bidi="ar-SA"/>
    </w:rPr>
  </w:style>
  <w:style w:type="paragraph" w:customStyle="1" w:styleId="77">
    <w:name w:val="样式 9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8">
    <w:name w:val="样式 10 小四"/>
    <w:pPr>
      <w:widowControl w:val="0"/>
    </w:pPr>
    <w:rPr>
      <w:rFonts w:ascii="宋体" w:eastAsia="宋体" w:cs="Times New Roman"/>
      <w:kern w:val="2"/>
      <w:sz w:val="24"/>
      <w:szCs w:val="21"/>
      <w:lang w:val="en-US" w:eastAsia="zh-CN" w:bidi="ar-SA"/>
    </w:rPr>
  </w:style>
  <w:style w:type="paragraph" w:customStyle="1" w:styleId="79">
    <w:name w:val="样式 11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0">
    <w:name w:val="样式 1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1">
    <w:name w:val="样式 1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2">
    <w:name w:val="样式 37 10 磅"/>
    <w:pPr>
      <w:widowControl w:val="0"/>
      <w:jc w:val="both"/>
    </w:pPr>
    <w:rPr>
      <w:rFonts w:ascii="Calibri" w:eastAsia="宋体" w:cs="Arial" w:hAnsi="Calibri"/>
      <w:kern w:val="2"/>
      <w:sz w:val="21"/>
      <w:szCs w:val="24"/>
      <w:lang w:val="en-US" w:eastAsia="zh-CN" w:bidi="ar-SA"/>
    </w:rPr>
  </w:style>
  <w:style w:type="paragraph" w:customStyle="1" w:styleId="83">
    <w:name w:val="样式 54 10 磅"/>
    <w:next w:val="21"/>
    <w:pPr>
      <w:widowControl w:val="0"/>
      <w:jc w:val="both"/>
    </w:pPr>
    <w:rPr>
      <w:rFonts w:ascii="Calibri" w:eastAsia="宋体" w:cs="Arial" w:hAnsi="Calibri"/>
      <w:kern w:val="2"/>
      <w:sz w:val="21"/>
      <w:szCs w:val="24"/>
      <w:lang w:val="en-US" w:eastAsia="zh-CN" w:bidi="ar-SA"/>
    </w:rPr>
  </w:style>
  <w:style w:type="paragraph" w:customStyle="1" w:styleId="84">
    <w:name w:val="样式 1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5">
    <w:name w:val="样式 1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6">
    <w:name w:val="样式 38 10 磅"/>
    <w:pPr>
      <w:widowControl w:val="0"/>
      <w:jc w:val="both"/>
    </w:pPr>
    <w:rPr>
      <w:rFonts w:ascii="Calibri" w:eastAsia="宋体" w:cs="Arial" w:hAnsi="Calibri"/>
      <w:kern w:val="2"/>
      <w:sz w:val="21"/>
      <w:szCs w:val="24"/>
      <w:lang w:val="en-US" w:eastAsia="zh-CN" w:bidi="ar-SA"/>
    </w:rPr>
  </w:style>
  <w:style w:type="paragraph" w:customStyle="1" w:styleId="87">
    <w:name w:val="样式 39 10 磅"/>
    <w:pPr>
      <w:widowControl w:val="0"/>
    </w:pPr>
    <w:rPr>
      <w:rFonts w:ascii="Calibri" w:eastAsia="宋体" w:cs="Arial" w:hAnsi="Calibri"/>
      <w:kern w:val="2"/>
      <w:sz w:val="21"/>
      <w:szCs w:val="24"/>
      <w:lang w:val="en-US" w:eastAsia="zh-CN" w:bidi="ar-SA"/>
    </w:rPr>
  </w:style>
  <w:style w:type="paragraph" w:customStyle="1" w:styleId="88">
    <w:name w:val="样式 40 10 磅"/>
    <w:pPr>
      <w:widowControl w:val="0"/>
    </w:pPr>
    <w:rPr>
      <w:rFonts w:ascii="Calibri" w:eastAsia="宋体" w:cs="Arial" w:hAnsi="Calibri"/>
      <w:kern w:val="2"/>
      <w:sz w:val="21"/>
      <w:szCs w:val="24"/>
      <w:lang w:val="en-US" w:eastAsia="zh-CN" w:bidi="ar-SA"/>
    </w:rPr>
  </w:style>
  <w:style w:type="paragraph" w:customStyle="1" w:styleId="89">
    <w:name w:val="样式 41 10 磅"/>
    <w:pPr>
      <w:widowControl w:val="0"/>
    </w:pPr>
    <w:rPr>
      <w:rFonts w:ascii="Calibri" w:eastAsia="宋体" w:cs="Arial" w:hAnsi="Calibri"/>
      <w:kern w:val="2"/>
      <w:sz w:val="21"/>
      <w:szCs w:val="24"/>
      <w:lang w:val="en-US" w:eastAsia="zh-CN" w:bidi="ar-SA"/>
    </w:rPr>
  </w:style>
  <w:style w:type="paragraph" w:customStyle="1" w:styleId="90">
    <w:name w:val="样式 42 10 磅"/>
    <w:pPr>
      <w:widowControl w:val="0"/>
    </w:pPr>
    <w:rPr>
      <w:rFonts w:ascii="Calibri" w:eastAsia="宋体" w:cs="Arial" w:hAnsi="Calibri"/>
      <w:kern w:val="2"/>
      <w:sz w:val="21"/>
      <w:szCs w:val="24"/>
      <w:lang w:val="en-US" w:eastAsia="zh-CN" w:bidi="ar-SA"/>
    </w:rPr>
  </w:style>
  <w:style w:type="paragraph" w:customStyle="1" w:styleId="91">
    <w:name w:val="样式 43 10 磅"/>
    <w:pPr>
      <w:widowControl w:val="0"/>
      <w:jc w:val="both"/>
    </w:pPr>
    <w:rPr>
      <w:rFonts w:ascii="Calibri" w:eastAsia="宋体" w:cs="Arial" w:hAnsi="Calibri"/>
      <w:kern w:val="2"/>
      <w:sz w:val="21"/>
      <w:szCs w:val="24"/>
      <w:lang w:val="en-US" w:eastAsia="zh-CN" w:bidi="ar-SA"/>
    </w:rPr>
  </w:style>
  <w:style w:type="paragraph" w:customStyle="1" w:styleId="92">
    <w:name w:val="样式 44 10 磅"/>
    <w:pPr>
      <w:widowControl w:val="0"/>
    </w:pPr>
    <w:rPr>
      <w:rFonts w:ascii="Calibri" w:eastAsia="宋体" w:cs="Arial" w:hAnsi="Calibri"/>
      <w:kern w:val="2"/>
      <w:sz w:val="21"/>
      <w:szCs w:val="24"/>
      <w:lang w:val="en-US" w:eastAsia="zh-CN" w:bidi="ar-SA"/>
    </w:rPr>
  </w:style>
  <w:style w:type="paragraph" w:customStyle="1" w:styleId="93">
    <w:name w:val="样式 45 10 磅"/>
    <w:pPr>
      <w:widowControl w:val="0"/>
    </w:pPr>
    <w:rPr>
      <w:rFonts w:ascii="Calibri" w:eastAsia="宋体" w:cs="Arial" w:hAnsi="Calibri"/>
      <w:kern w:val="2"/>
      <w:sz w:val="21"/>
      <w:szCs w:val="24"/>
      <w:lang w:val="en-US" w:eastAsia="zh-CN" w:bidi="ar-SA"/>
    </w:rPr>
  </w:style>
  <w:style w:type="paragraph" w:customStyle="1" w:styleId="94">
    <w:name w:val="样式 16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5">
    <w:name w:val="样式 46 10 磅"/>
    <w:pPr>
      <w:widowControl w:val="0"/>
      <w:jc w:val="both"/>
    </w:pPr>
    <w:rPr>
      <w:rFonts w:ascii="Calibri" w:eastAsia="宋体" w:cs="Arial" w:hAnsi="Calibri"/>
      <w:kern w:val="2"/>
      <w:sz w:val="21"/>
      <w:szCs w:val="24"/>
      <w:lang w:val="en-US" w:eastAsia="zh-CN" w:bidi="ar-SA"/>
    </w:rPr>
  </w:style>
  <w:style w:type="paragraph" w:customStyle="1" w:styleId="96">
    <w:name w:val="样式 1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7">
    <w:name w:val="样式 47 10 磅"/>
    <w:pPr>
      <w:widowControl w:val="0"/>
      <w:jc w:val="both"/>
    </w:pPr>
    <w:rPr>
      <w:rFonts w:ascii="Calibri" w:eastAsia="宋体" w:cs="Arial" w:hAnsi="Calibri"/>
      <w:kern w:val="2"/>
      <w:sz w:val="21"/>
      <w:szCs w:val="24"/>
      <w:lang w:val="en-US" w:eastAsia="zh-CN" w:bidi="ar-SA"/>
    </w:rPr>
  </w:style>
  <w:style w:type="paragraph" w:customStyle="1" w:styleId="98">
    <w:name w:val="样式 18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9">
    <w:name w:val="样式 48 10 磅"/>
    <w:pPr>
      <w:widowControl w:val="0"/>
      <w:jc w:val="both"/>
    </w:pPr>
    <w:rPr>
      <w:rFonts w:ascii="Calibri" w:eastAsia="宋体" w:cs="Arial" w:hAnsi="Calibri"/>
      <w:kern w:val="2"/>
      <w:sz w:val="21"/>
      <w:szCs w:val="24"/>
      <w:lang w:val="en-US" w:eastAsia="zh-CN" w:bidi="ar-SA"/>
    </w:rPr>
  </w:style>
  <w:style w:type="paragraph" w:customStyle="1" w:styleId="100">
    <w:name w:val="样式 49 10 磅"/>
    <w:pPr>
      <w:widowControl w:val="0"/>
      <w:jc w:val="both"/>
    </w:pPr>
    <w:rPr>
      <w:rFonts w:ascii="Calibri" w:eastAsia="宋体" w:cs="Arial" w:hAnsi="Calibri"/>
      <w:kern w:val="2"/>
      <w:sz w:val="21"/>
      <w:szCs w:val="24"/>
      <w:lang w:val="en-US" w:eastAsia="zh-CN" w:bidi="ar-SA"/>
    </w:rPr>
  </w:style>
  <w:style w:type="paragraph" w:customStyle="1" w:styleId="101">
    <w:name w:val="样式 50 10 磅"/>
    <w:pPr>
      <w:widowControl w:val="0"/>
      <w:jc w:val="both"/>
    </w:pPr>
    <w:rPr>
      <w:rFonts w:ascii="Calibri" w:eastAsia="宋体" w:cs="Arial" w:hAnsi="Calibri"/>
      <w:kern w:val="2"/>
      <w:sz w:val="21"/>
      <w:szCs w:val="24"/>
      <w:lang w:val="en-US" w:eastAsia="zh-CN" w:bidi="ar-SA"/>
    </w:rPr>
  </w:style>
  <w:style w:type="paragraph" w:customStyle="1" w:styleId="102">
    <w:name w:val="样式 51 10 磅"/>
    <w:pPr>
      <w:widowControl w:val="0"/>
      <w:jc w:val="both"/>
    </w:pPr>
    <w:rPr>
      <w:rFonts w:ascii="Calibri" w:eastAsia="宋体" w:cs="Arial" w:hAnsi="Calibri"/>
      <w:kern w:val="2"/>
      <w:sz w:val="21"/>
      <w:szCs w:val="24"/>
      <w:lang w:val="en-US" w:eastAsia="zh-CN" w:bidi="ar-SA"/>
    </w:rPr>
  </w:style>
  <w:style w:type="paragraph" w:customStyle="1" w:styleId="103">
    <w:name w:val="样式 52 10 磅"/>
    <w:pPr>
      <w:widowControl w:val="0"/>
      <w:jc w:val="both"/>
    </w:pPr>
    <w:rPr>
      <w:rFonts w:ascii="Calibri" w:eastAsia="宋体" w:cs="Arial" w:hAnsi="Calibri"/>
      <w:kern w:val="2"/>
      <w:sz w:val="21"/>
      <w:szCs w:val="24"/>
      <w:lang w:val="en-US" w:eastAsia="zh-CN" w:bidi="ar-SA"/>
    </w:rPr>
  </w:style>
  <w:style w:type="paragraph" w:customStyle="1" w:styleId="104">
    <w:name w:val="样式 53 10 磅"/>
    <w:pPr>
      <w:widowControl w:val="0"/>
      <w:jc w:val="both"/>
    </w:pPr>
    <w:rPr>
      <w:rFonts w:ascii="Calibri" w:eastAsia="宋体" w:cs="Arial" w:hAnsi="Calibri"/>
      <w:kern w:val="2"/>
      <w:sz w:val="21"/>
      <w:szCs w:val="24"/>
      <w:lang w:val="en-US" w:eastAsia="zh-CN" w:bidi="ar-SA"/>
    </w:rPr>
  </w:style>
  <w:style w:type="paragraph" w:customStyle="1" w:styleId="105">
    <w:name w:val="样式 55 10 磅"/>
    <w:pPr>
      <w:widowControl w:val="0"/>
      <w:jc w:val="both"/>
    </w:pPr>
    <w:rPr>
      <w:rFonts w:ascii="Calibri" w:eastAsia="宋体" w:cs="Arial" w:hAnsi="Calibri"/>
      <w:kern w:val="2"/>
      <w:sz w:val="21"/>
      <w:szCs w:val="24"/>
      <w:lang w:val="en-US" w:eastAsia="zh-CN" w:bidi="ar-SA"/>
    </w:rPr>
  </w:style>
  <w:style w:type="paragraph" w:customStyle="1" w:styleId="106">
    <w:name w:val="样式 56 10 磅"/>
    <w:pPr>
      <w:widowControl w:val="0"/>
      <w:jc w:val="both"/>
    </w:pPr>
    <w:rPr>
      <w:rFonts w:ascii="Calibri" w:eastAsia="宋体" w:cs="Arial" w:hAnsi="Calibri"/>
      <w:kern w:val="2"/>
      <w:sz w:val="21"/>
      <w:szCs w:val="24"/>
      <w:lang w:val="en-US" w:eastAsia="zh-CN" w:bidi="ar-SA"/>
    </w:rPr>
  </w:style>
  <w:style w:type="paragraph" w:customStyle="1" w:styleId="107">
    <w:name w:val="样式 57 10 磅"/>
    <w:pPr>
      <w:widowControl w:val="0"/>
      <w:jc w:val="both"/>
    </w:pPr>
    <w:rPr>
      <w:rFonts w:ascii="Calibri" w:eastAsia="宋体" w:cs="Arial" w:hAnsi="Calibri"/>
      <w:kern w:val="2"/>
      <w:sz w:val="21"/>
      <w:szCs w:val="24"/>
      <w:lang w:val="en-US" w:eastAsia="zh-CN" w:bidi="ar-SA"/>
    </w:rPr>
  </w:style>
  <w:style w:type="paragraph" w:customStyle="1" w:styleId="108">
    <w:name w:val="样式 58 10 磅"/>
    <w:pPr>
      <w:widowControl w:val="0"/>
      <w:jc w:val="both"/>
    </w:pPr>
    <w:rPr>
      <w:rFonts w:ascii="Calibri" w:eastAsia="宋体" w:cs="Arial" w:hAnsi="Calibri"/>
      <w:kern w:val="2"/>
      <w:sz w:val="21"/>
      <w:szCs w:val="24"/>
      <w:lang w:val="en-US" w:eastAsia="zh-CN" w:bidi="ar-SA"/>
    </w:rPr>
  </w:style>
  <w:style w:type="paragraph" w:customStyle="1" w:styleId="109">
    <w:name w:val="样式 59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611</TotalTime>
  <Application>Yozo_Office</Application>
  <Pages>6</Pages>
  <Words>3148</Words>
  <Characters>3212</Characters>
  <Lines>57</Lines>
  <Paragraphs>78</Paragraphs>
  <CharactersWithSpaces>3261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付玮</cp:lastModifiedBy>
  <cp:revision>7</cp:revision>
  <cp:lastPrinted>2026-06-04T23:02:00Z</cp:lastPrinted>
  <dcterms:created xsi:type="dcterms:W3CDTF">2026-06-04T23:16:00Z</dcterms:created>
  <dcterms:modified xsi:type="dcterms:W3CDTF">2026-08-18T07:28:45Z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2052-12.8.2.1112</vt:lpwstr>
  </property>
  <property fmtid="{D5CDD505-2E9C-101B-9397-08002B2CF9AE}" pid="3" name="ICV">
    <vt:lpwstr>D68DD73654E24520A45C7463E354BE99_13</vt:lpwstr>
  </property>
  <property fmtid="{D5CDD505-2E9C-101B-9397-08002B2CF9AE}" pid="4" name="KSOTemplateDocerSaveRecord">
    <vt:lpwstr>eyJoZGlkIjoiMDRhYjQ2MmQ4YWM2OTJjNDIzYzlhMGQ1YTBjNTk1M2UiLCJ1c2VySWQiOiIyODk3MjQzNDQifQ==</vt:lpwstr>
  </property>
</Properties>
</file>