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emf" ContentType="image/emf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ackground w:color="FFFFFF"/>
  <w:body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海关</w:t>
      </w:r>
      <w:r>
        <w:rPr>
          <w:rFonts w:eastAsia="方正小标宋_GBK"/>
          <w:sz w:val="44"/>
          <w:szCs w:val="44"/>
        </w:rPr>
        <w:t>政务服务</w:t>
      </w:r>
      <w:r>
        <w:rPr>
          <w:rFonts w:eastAsia="方正小标宋_GBK" w:hint="eastAsia"/>
          <w:sz w:val="44"/>
          <w:szCs w:val="44"/>
        </w:rPr>
        <w:t>事项</w:t>
      </w:r>
      <w:r>
        <w:rPr>
          <w:rFonts w:eastAsia="方正小标宋_GBK"/>
          <w:sz w:val="44"/>
          <w:szCs w:val="44"/>
        </w:rPr>
        <w:t>办事</w:t>
      </w:r>
      <w:r>
        <w:rPr>
          <w:rFonts w:eastAsia="方正小标宋_GBK" w:hint="eastAsia"/>
          <w:sz w:val="44"/>
          <w:szCs w:val="44"/>
        </w:rPr>
        <w:t>指南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（</w:t>
      </w:r>
      <w:r>
        <w:rPr>
          <w:rFonts w:eastAsia="方正小标宋_GBK"/>
          <w:sz w:val="32"/>
          <w:szCs w:val="32"/>
        </w:rPr>
        <w:t>00062900200Y</w:t>
      </w:r>
      <w:r>
        <w:rPr>
          <w:rFonts w:eastAsia="方正小标宋_GBK" w:hint="eastAsia"/>
          <w:sz w:val="32"/>
          <w:szCs w:val="32"/>
        </w:rPr>
        <w:t>）</w:t>
      </w:r>
    </w:p>
    <w:p>
      <w:pPr>
        <w:wordWrap w:val="0"/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 w:hint="eastAsia"/>
          <w:sz w:val="32"/>
          <w:szCs w:val="32"/>
        </w:rPr>
        <w:t>“</w:t>
      </w:r>
      <w:r>
        <w:rPr>
          <w:rFonts w:eastAsia="方正小标宋_GBK" w:hint="eastAsia"/>
          <w:bCs/>
          <w:sz w:val="32"/>
          <w:szCs w:val="32"/>
        </w:rPr>
        <w:t>补充申报</w:t>
      </w:r>
      <w:r>
        <w:rPr>
          <w:rFonts w:eastAsia="方正小标宋_GBK" w:hint="eastAsia"/>
          <w:sz w:val="32"/>
          <w:szCs w:val="32"/>
        </w:rPr>
        <w:t>”政务</w:t>
      </w:r>
      <w:r>
        <w:rPr>
          <w:rFonts w:eastAsia="方正小标宋_GBK"/>
          <w:sz w:val="32"/>
          <w:szCs w:val="32"/>
        </w:rPr>
        <w:t>服务事项办事指南</w:t>
      </w:r>
    </w:p>
    <w:p>
      <w:pPr>
        <w:wordWrap w:val="0"/>
        <w:spacing w:line="560" w:lineRule="exact"/>
        <w:jc w:val="center"/>
        <w:rPr>
          <w:rFonts w:eastAsia="方正小标宋_GBK"/>
          <w:sz w:val="44"/>
          <w:szCs w:val="44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spacing w:val="-4"/>
          <w:sz w:val="32"/>
          <w:szCs w:val="32"/>
        </w:rPr>
        <w:t>一</w:t>
      </w:r>
      <w:r>
        <w:rPr>
          <w:rFonts w:eastAsia="方正黑体_GBK"/>
          <w:spacing w:val="-4"/>
          <w:sz w:val="32"/>
          <w:szCs w:val="32"/>
        </w:rPr>
        <w:t>、</w:t>
      </w:r>
      <w:r>
        <w:rPr>
          <w:rFonts w:eastAsia="方正黑体_GBK" w:hint="eastAsia"/>
          <w:spacing w:val="-4"/>
          <w:sz w:val="32"/>
          <w:szCs w:val="32"/>
        </w:rPr>
        <w:t>事项名称：</w:t>
      </w:r>
      <w:r>
        <w:rPr>
          <w:rFonts w:eastAsia="方正仿宋_GBK" w:hint="eastAsia"/>
          <w:bCs/>
          <w:spacing w:val="-4"/>
          <w:sz w:val="32"/>
          <w:szCs w:val="32"/>
        </w:rPr>
        <w:t>补充申报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</w:t>
      </w:r>
      <w:r>
        <w:rPr>
          <w:rFonts w:eastAsia="方正黑体_GBK"/>
          <w:bCs/>
          <w:spacing w:val="-4"/>
          <w:sz w:val="32"/>
          <w:szCs w:val="32"/>
        </w:rPr>
        <w:t>、</w:t>
      </w:r>
      <w:r>
        <w:rPr>
          <w:rFonts w:eastAsia="方正黑体_GBK" w:hint="eastAsia"/>
          <w:bCs/>
          <w:spacing w:val="-4"/>
          <w:sz w:val="32"/>
          <w:szCs w:val="32"/>
        </w:rPr>
        <w:t>事项类型：</w:t>
      </w:r>
      <w:r>
        <w:rPr>
          <w:rFonts w:eastAsia="方正仿宋_GBK" w:hint="eastAsia"/>
          <w:bCs/>
          <w:spacing w:val="-4"/>
          <w:sz w:val="32"/>
          <w:szCs w:val="32"/>
        </w:rPr>
        <w:t>行政检查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三、设定依据：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《中华人民共和国进出口关税条例》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spacing w:val="-4"/>
          <w:kern w:val="0"/>
          <w:sz w:val="32"/>
          <w:szCs w:val="32"/>
        </w:rPr>
        <w:t>第三十条 纳税义务人应当依法如实向海关申报，并按照海关的规定提供有关确定完税价格、进行商品归类、确定原产地以及采取反倾销、反补贴或者保障措施等所需的资料；必要时，海关可以要求纳税义务人补充申报。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《中华人民共和国海关进出口货物征税管理办法》</w:t>
      </w:r>
    </w:p>
    <w:p>
      <w:pPr>
        <w:widowControl/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第七条  为审核确定进出口货物的商品归类、完税价格、原产地等，海关可以要求纳税义务人按照有关规定进行补充申报。纳税义务人认为必要时，也可以主动要求进行补充申报。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海关总署2009年第49号公告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二、有下列情形的，收发货人、报关企业应当向海关进行补充申报：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三、收发货人、报关企业可以主动向海关进行补充申报，并在递交报关单时一并提交补充申报单。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四、补充申报的申报单包括《中华人民共和国海关进出口货物价格补充申报单》、《中华人民共和国海关进出口货物商品归类补充申报单》、《中华人民共和国海关进出口货物原产地补充申报单》以及海关行政法规和规章规定的其他补充申报单证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收发货人、报关企业应按要求如实、完整地填写补充申报单，并对补充申报内容的真实性、准确性承担相应的法律责任。补充申报的内容是对报关单申报内容的有效补充，不得与报关单填报的内容相抵触。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五、根据本公告第二条的规定需要进行补充申报的，海关应当书面通知收发货人、报关企业，收发货人、报关企业应当在收到海关书面通知之日起5个工作日内向海关办理补充申报手续，海关行政法规和规章另有规定的除外。</w:t>
      </w:r>
    </w:p>
    <w:p>
      <w:pPr>
        <w:wordWrap w:val="0"/>
        <w:spacing w:line="560" w:lineRule="exact"/>
        <w:ind w:firstLineChars="200" w:firstLine="624"/>
        <w:rPr>
          <w:rFonts w:cs="Arial"/>
          <w:color w:val="333333"/>
          <w:spacing w:val="-4"/>
          <w:kern w:val="0"/>
          <w:szCs w:val="21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收发货人、报关企业在规定时限内未能按要求进行补充申报的，海关可根据已掌握的信息，按照有关规定确定进口货物的完税价格、商品编码和原产地。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海关总署2012年第42号公告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为配合通关作业无纸化改革，提高通关效率，进一步规范进出口补充申报行为，根据海关总署公告2009年第49号，海关总署开发了补充申报管理系统（以下简称系统），对通关过程的补充申报进行电子化管理。现就启用系统的相关问题公告如下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一、进出口货物的收发货人、受委托的报关企业（以下分别简称收发货人、报关企业）主动向海关进行补充申报的，应在向海关申报电子数据报关单时，一并通过系统向海关申报电子数据补充申报单。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二、海关在对进出口货物申报时的价格、商品编码、原产地等内容审核的过程中，要求收发货人、报关企业进行补充申报的，可通过系统发送电子指令通知收发货人、报关企业向海关申报电子数据补充申报单。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三、收发货人、报关企业应当在收到海关补充申报电子指令之日起5个工作日内，通过系统向海关申报电子数据补充申报单。法律、行政法规和海关规章另有规定的除外。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四、电子数据补充申报单经海关审核通过后，收发货人、报关企业应当打印纸质补充申报单（一式两份）签名盖章后递交现场海关。适用通关作业无纸化通关方式申报的补充申报单，无需递交纸质补充申报单。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六、海关对已放行货物的价格、商品编码、原产地等内容进行进一步核实时，要求收发货人、报关企业进行补充申报的，应当制发《补充申报通知书》书面通知收发货人、报关企业。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四、实施机构：</w:t>
      </w:r>
      <w:r>
        <w:rPr>
          <w:rFonts w:eastAsia="方正仿宋_GBK" w:hint="eastAsia"/>
          <w:bCs/>
          <w:spacing w:val="-4"/>
          <w:sz w:val="32"/>
          <w:szCs w:val="32"/>
        </w:rPr>
        <w:t>各直属</w:t>
      </w:r>
      <w:r>
        <w:rPr>
          <w:rFonts w:eastAsia="方正仿宋_GBK"/>
          <w:bCs/>
          <w:spacing w:val="-4"/>
          <w:sz w:val="32"/>
          <w:szCs w:val="32"/>
        </w:rPr>
        <w:t>海关、</w:t>
      </w:r>
      <w:r>
        <w:rPr>
          <w:rFonts w:eastAsia="方正仿宋_GBK" w:hint="eastAsia"/>
          <w:bCs/>
          <w:spacing w:val="-4"/>
          <w:sz w:val="32"/>
          <w:szCs w:val="32"/>
        </w:rPr>
        <w:t>隶属海关负责补充申报的部门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五、法定办结时限：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六、承诺办结时限：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收发货人、报关企业应当在收到海关补充申报电子指令之日起5个工作日内，通过系统向海关申报电子数据补充申报单。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（二）收发货人、报关企业应当在收到海关书面通知之日起5个工作日内向海关办理补充申报手续。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七、结果名称：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八、结果样本：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九、收费标准：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仿宋_GBK" w:cs="宋体"/>
          <w:bCs/>
          <w:spacing w:val="-4"/>
          <w:kern w:val="0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十、收费依据：</w:t>
      </w:r>
      <w:r>
        <w:rPr>
          <w:rFonts w:eastAsia="方正仿宋_GBK" w:hint="eastAsia"/>
          <w:bCs/>
          <w:spacing w:val="-4"/>
          <w:sz w:val="32"/>
          <w:szCs w:val="32"/>
        </w:rPr>
        <w:t>无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十一</w:t>
      </w:r>
      <w:r>
        <w:rPr>
          <w:rFonts w:eastAsia="方正黑体_GBK"/>
          <w:bCs/>
          <w:spacing w:val="-4"/>
          <w:sz w:val="32"/>
          <w:szCs w:val="32"/>
        </w:rPr>
        <w:t>、申请条件</w:t>
      </w:r>
      <w:r>
        <w:rPr>
          <w:rFonts w:eastAsia="方正黑体_GBK" w:hint="eastAsia"/>
          <w:bCs/>
          <w:spacing w:val="-4"/>
          <w:sz w:val="32"/>
          <w:szCs w:val="32"/>
        </w:rPr>
        <w:t>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（一）海关对申报时货物的价格、商品编码等内容进行审核时，为确定申报内容的完整性和准确性，要求进行补充申报的。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海关对申报货物的原产地进行审核时，为确定货物原产地准确性，要求收发货人提交原产地证书，并进行补充申报的。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（二）海关对已放行货物的价格、商品编码和原产地等内容进行进一步核实时，要求进行补充申报的。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收发货人、报关企业可以主动向海关进行补充申报，并在递交报关单时一并提交补充申报单。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十二、申请材料：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1.涉及价格补充申报的，用户</w:t>
      </w:r>
      <w:r>
        <w:rPr>
          <w:rFonts w:eastAsia="方正仿宋_GBK"/>
          <w:bCs/>
          <w:spacing w:val="-4"/>
          <w:sz w:val="32"/>
          <w:szCs w:val="32"/>
        </w:rPr>
        <w:t>在线上填写《进出口货物价格补充申报单》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（见附件1）；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2.涉及归类补充申报的，用户在线上填写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《进出口货物归类补充申报单》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（见附件2）；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3.涉及原产地补充申报的，用户在线上填写</w:t>
      </w:r>
      <w:r>
        <w:rPr>
          <w:rFonts w:eastAsia="方正仿宋_GBK"/>
          <w:bCs/>
          <w:spacing w:val="-4"/>
          <w:sz w:val="32"/>
          <w:szCs w:val="32"/>
        </w:rPr>
        <w:t>《进口货物原产地补充申报单》</w:t>
      </w:r>
      <w:r>
        <w:rPr>
          <w:rFonts w:eastAsia="方正仿宋_GBK" w:hint="eastAsia"/>
          <w:bCs/>
          <w:spacing w:val="-4"/>
          <w:sz w:val="32"/>
          <w:szCs w:val="32"/>
        </w:rPr>
        <w:t>（见附件3）。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</w:t>
      </w:r>
      <w:r>
        <w:rPr>
          <w:rFonts w:eastAsia="方正楷体_GBK"/>
          <w:b/>
          <w:bCs/>
          <w:spacing w:val="-4"/>
          <w:sz w:val="32"/>
          <w:szCs w:val="32"/>
        </w:rPr>
        <w:t>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企业根据需要办理的补充申报类型填写对应的价格、归类、原产地相关补充申报单，法人签字并加盖企业公章后递交至原申报地海关。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十三、</w:t>
      </w:r>
      <w:r>
        <w:rPr>
          <w:rFonts w:eastAsia="方正黑体_GBK" w:hint="eastAsia"/>
          <w:spacing w:val="-4"/>
          <w:sz w:val="32"/>
          <w:szCs w:val="32"/>
        </w:rPr>
        <w:t>办理流程：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网上办理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spacing w:val="-4"/>
          <w:sz w:val="32"/>
          <w:szCs w:val="32"/>
        </w:rPr>
      </w:pPr>
      <w:r>
        <w:rPr>
          <w:rFonts w:eastAsia="方正仿宋_GBK" w:hint="eastAsia"/>
          <w:spacing w:val="-4"/>
          <w:sz w:val="32"/>
          <w:szCs w:val="32"/>
        </w:rPr>
        <w:t>（一）系统</w:t>
      </w:r>
      <w:r>
        <w:rPr>
          <w:rFonts w:eastAsia="方正仿宋_GBK"/>
          <w:spacing w:val="-4"/>
          <w:sz w:val="32"/>
          <w:szCs w:val="32"/>
        </w:rPr>
        <w:t>登录</w:t>
      </w:r>
      <w:r>
        <w:rPr>
          <w:rFonts w:eastAsia="方正仿宋_GBK" w:hint="eastAsia"/>
          <w:spacing w:val="-4"/>
          <w:sz w:val="32"/>
          <w:szCs w:val="32"/>
        </w:rPr>
        <w:t>。</w:t>
      </w:r>
      <w:r>
        <w:rPr>
          <w:rFonts w:eastAsia="方正仿宋_GBK"/>
          <w:spacing w:val="-4"/>
          <w:sz w:val="32"/>
          <w:szCs w:val="32"/>
        </w:rPr>
        <w:t>通过互联网访问“互联网+海关”一体化网上办事平台（http://online.customs.gov.cn）或中国国际贸易单一窗口（以下简称“单一窗口”）（http://www.singlewindow.cn），在页面右上角点击“登录”字样，或点击门户网站“标准版应用”页签，进入统一登录界面，选择“卡介质” ，使用IC卡或IKey进行登录。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（二）发起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1.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企业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主动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补充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进口</w:t>
      </w:r>
      <w:r>
        <w:rPr>
          <w:rFonts w:eastAsia="方正仿宋_GBK"/>
          <w:spacing w:val="-4"/>
          <w:sz w:val="32"/>
          <w:szCs w:val="32"/>
        </w:rPr>
        <w:t>整合申报”</w:t>
      </w:r>
      <w:r>
        <w:rPr>
          <w:rFonts w:eastAsia="方正仿宋_GBK" w:hint="eastAsia"/>
          <w:spacing w:val="-4"/>
          <w:sz w:val="32"/>
          <w:szCs w:val="32"/>
        </w:rPr>
        <w:t>模块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/>
          <w:color w:val="333333"/>
          <w:spacing w:val="-4"/>
          <w:kern w:val="0"/>
          <w:sz w:val="32"/>
          <w:szCs w:val="32"/>
        </w:rPr>
        <w:t>2.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要求企业补充申报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一是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通关无纸化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货物的价格、商品编码、原产地等内容进行核实时要求收发货人、报关企业进行补充申报的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海关通过系统发送电子指令通知收发货人、报关企业向海关申报电子数据补充申报单。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二是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通过</w:t>
      </w:r>
      <w:r>
        <w:rPr>
          <w:rFonts w:eastAsia="方正仿宋_GBK"/>
          <w:spacing w:val="-4"/>
          <w:sz w:val="32"/>
          <w:szCs w:val="32"/>
        </w:rPr>
        <w:t>“单一窗口”（http://www.singlewindow.cn）</w:t>
      </w:r>
      <w:r>
        <w:rPr>
          <w:rFonts w:eastAsia="方正仿宋_GBK" w:hint="eastAsia"/>
          <w:spacing w:val="-4"/>
          <w:sz w:val="32"/>
          <w:szCs w:val="32"/>
        </w:rPr>
        <w:t>或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</w:t>
      </w:r>
      <w:r>
        <w:rPr>
          <w:rFonts w:eastAsia="方正仿宋_GBK" w:hint="eastAsia"/>
          <w:spacing w:val="-4"/>
          <w:sz w:val="32"/>
          <w:szCs w:val="32"/>
        </w:rPr>
        <w:t>中</w:t>
      </w:r>
      <w:r>
        <w:rPr>
          <w:rFonts w:eastAsia="方正仿宋_GBK"/>
          <w:spacing w:val="-4"/>
          <w:sz w:val="32"/>
          <w:szCs w:val="32"/>
        </w:rPr>
        <w:t>“</w:t>
      </w:r>
      <w:r>
        <w:rPr>
          <w:rFonts w:eastAsia="方正仿宋_GBK" w:hint="eastAsia"/>
          <w:spacing w:val="-4"/>
          <w:sz w:val="32"/>
          <w:szCs w:val="32"/>
        </w:rPr>
        <w:t>数据查询</w:t>
      </w:r>
      <w:r>
        <w:rPr>
          <w:rFonts w:eastAsia="方正仿宋_GBK"/>
          <w:spacing w:val="-4"/>
          <w:sz w:val="32"/>
          <w:szCs w:val="32"/>
        </w:rPr>
        <w:t>/</w:t>
      </w:r>
      <w:r>
        <w:rPr>
          <w:rFonts w:eastAsia="方正仿宋_GBK" w:hint="eastAsia"/>
          <w:spacing w:val="-4"/>
          <w:sz w:val="32"/>
          <w:szCs w:val="32"/>
        </w:rPr>
        <w:t>统计</w:t>
      </w:r>
      <w:r>
        <w:rPr>
          <w:rFonts w:eastAsia="方正仿宋_GBK"/>
          <w:spacing w:val="-4"/>
          <w:sz w:val="32"/>
          <w:szCs w:val="32"/>
        </w:rPr>
        <w:t>”—“</w:t>
      </w:r>
      <w:r>
        <w:rPr>
          <w:rFonts w:eastAsia="方正仿宋_GBK" w:hint="eastAsia"/>
          <w:spacing w:val="-4"/>
          <w:sz w:val="32"/>
          <w:szCs w:val="32"/>
        </w:rPr>
        <w:t>补充</w:t>
      </w:r>
      <w:r>
        <w:rPr>
          <w:rFonts w:eastAsia="方正仿宋_GBK"/>
          <w:spacing w:val="-4"/>
          <w:sz w:val="32"/>
          <w:szCs w:val="32"/>
        </w:rPr>
        <w:t>申报单查询”</w:t>
      </w:r>
      <w:r>
        <w:rPr>
          <w:rFonts w:eastAsia="方正仿宋_GBK" w:hint="eastAsia"/>
          <w:spacing w:val="-4"/>
          <w:sz w:val="32"/>
          <w:szCs w:val="32"/>
        </w:rPr>
        <w:t>模块查询</w:t>
      </w:r>
      <w:r>
        <w:rPr>
          <w:rFonts w:eastAsia="方正仿宋_GBK"/>
          <w:spacing w:val="-4"/>
          <w:sz w:val="32"/>
          <w:szCs w:val="32"/>
        </w:rPr>
        <w:t>电子指令，按要求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向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发送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电子数据补充申报单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具体为：</w:t>
      </w:r>
      <w:r>
        <w:rPr>
          <w:rFonts w:eastAsia="方正仿宋_GBK"/>
          <w:bCs/>
          <w:spacing w:val="-4"/>
          <w:sz w:val="32"/>
          <w:szCs w:val="32"/>
        </w:rPr>
        <w:t>《进出口货物价格补充申报单》或《进出口货物归类补充申报单》或《进口货物原产地补充申报单》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按照审查标准对企业提交的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电子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 w:hint="eastAsia"/>
          <w:b/>
          <w:bCs/>
          <w:spacing w:val="-4"/>
          <w:sz w:val="32"/>
          <w:szCs w:val="32"/>
        </w:rPr>
        <w:t>窗口办理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（一）发起</w:t>
      </w:r>
      <w:r>
        <w:rPr>
          <w:rFonts w:eastAsia="方正仿宋_GBK"/>
          <w:bCs/>
          <w:spacing w:val="-4"/>
          <w:sz w:val="32"/>
          <w:szCs w:val="32"/>
        </w:rPr>
        <w:t>补充申报。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1.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海关对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通关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有纸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化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模式在通关过程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中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货物的价格、商品编码、原产地等内容进行进一步核实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的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，收发货人、报关企业采用纸质补充申报单进行申报。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2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. 海关对已放行货物的价格、商品编码、原产地等内容进行进一步核实时，要求收发货人、报关企业进行补充申报的，</w:t>
      </w:r>
      <w:r>
        <w:rPr>
          <w:rFonts w:eastAsia="方正仿宋_GBK"/>
          <w:bCs/>
          <w:spacing w:val="-4"/>
          <w:sz w:val="32"/>
          <w:szCs w:val="32"/>
        </w:rPr>
        <w:t>向收发货人、报关企业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制发《补充申报通知书》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收发货人、报关企业采用纸质补充申报单进行申报。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（二）</w:t>
      </w:r>
      <w:r>
        <w:rPr>
          <w:rFonts w:eastAsia="方正仿宋_GBK"/>
          <w:bCs/>
          <w:spacing w:val="-4"/>
          <w:sz w:val="32"/>
          <w:szCs w:val="32"/>
        </w:rPr>
        <w:t>提交</w:t>
      </w:r>
      <w:r>
        <w:rPr>
          <w:rFonts w:eastAsia="方正仿宋_GBK" w:hint="eastAsia"/>
          <w:bCs/>
          <w:spacing w:val="-4"/>
          <w:sz w:val="32"/>
          <w:szCs w:val="32"/>
        </w:rPr>
        <w:t>纸质</w:t>
      </w:r>
      <w:r>
        <w:rPr>
          <w:rFonts w:eastAsia="方正仿宋_GBK"/>
          <w:bCs/>
          <w:spacing w:val="-4"/>
          <w:sz w:val="32"/>
          <w:szCs w:val="32"/>
        </w:rPr>
        <w:t>补充申报资料。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收发货人、报关企业应当打印纸质补充申报单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签名盖章后递交现场海关。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（三）审核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海关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按照审查标准对企业提交的纸质补充申报单</w:t>
      </w:r>
      <w:r>
        <w:rPr>
          <w:rFonts w:eastAsia="方正仿宋_GBK" w:hint="eastAsia"/>
          <w:color w:val="333333"/>
          <w:spacing w:val="-4"/>
          <w:kern w:val="0"/>
          <w:sz w:val="32"/>
          <w:szCs w:val="32"/>
        </w:rPr>
        <w:t>进行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审核，符合条件的予以接受，不符合条件的退回企业修改后再提交。</w:t>
      </w:r>
    </w:p>
    <w:p>
      <w:pPr>
        <w:wordWrap w:val="0"/>
        <w:spacing w:line="560" w:lineRule="exact"/>
        <w:ind w:firstLineChars="200" w:firstLine="420"/>
        <w:rPr>
          <w:rFonts w:eastAsia="方正仿宋_GBK"/>
          <w:color w:val="333333"/>
          <w:spacing w:val="-4"/>
          <w:kern w:val="0"/>
          <w:sz w:val="32"/>
          <w:szCs w:val="32"/>
        </w:rPr>
      </w:pPr>
      <w:r>
        <w:drawing>
          <wp:anchor distT="0" distB="0" distL="114297" distR="114297" simplePos="0" relativeHeight="2" behindDoc="1" locked="0" layoutInCell="1" hidden="0" allowOverlap="1">
            <wp:simplePos x="0" y="0"/>
            <wp:positionH relativeFrom="column">
              <wp:posOffset>85725</wp:posOffset>
            </wp:positionH>
            <wp:positionV relativeFrom="paragraph">
              <wp:posOffset>41275</wp:posOffset>
            </wp:positionV>
            <wp:extent cx="5276850" cy="4533900"/>
            <wp:effectExtent l="0" t="0" r="0" b="0"/>
            <wp:wrapNone/>
            <wp:docPr id="1" name="图片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6850" cy="453390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color w:val="333333"/>
          <w:spacing w:val="-4"/>
          <w:kern w:val="0"/>
          <w:sz w:val="32"/>
          <w:szCs w:val="32"/>
        </w:rPr>
      </w:pP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十四、办理形式：</w:t>
      </w:r>
      <w:r>
        <w:rPr>
          <w:rFonts w:eastAsia="方正仿宋_GBK" w:hint="eastAsia"/>
          <w:bCs/>
          <w:spacing w:val="-4"/>
          <w:sz w:val="32"/>
          <w:szCs w:val="32"/>
        </w:rPr>
        <w:t>网上办理或窗口办理</w:t>
      </w:r>
      <w:r>
        <w:rPr>
          <w:rFonts w:eastAsia="方正仿宋_GBK"/>
          <w:color w:val="333333"/>
          <w:spacing w:val="-4"/>
          <w:kern w:val="0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十五、到办理现场次数：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 w:hint="eastAsia"/>
          <w:bCs/>
          <w:spacing w:val="-4"/>
          <w:sz w:val="32"/>
          <w:szCs w:val="32"/>
        </w:rPr>
        <w:t>网上办理：0次；窗口办理：1次。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十六、审查标准：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（一）收发货人、报关企业应按要求如实、完整地填写补充申报单，并对补充申报内容的真实性、准确性承担相应的法律责任。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仿宋_GBK"/>
          <w:bCs/>
          <w:spacing w:val="-4"/>
          <w:sz w:val="32"/>
          <w:szCs w:val="32"/>
        </w:rPr>
        <w:t>（二）补充申报的内容是对报关单申报内容的有效补充，不得与报关单填报的内容相抵触。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十七、通办范围：</w:t>
      </w:r>
      <w:r>
        <w:rPr>
          <w:rFonts w:eastAsia="方正仿宋_GBK" w:hint="eastAsia"/>
          <w:bCs/>
          <w:spacing w:val="-4"/>
          <w:sz w:val="32"/>
          <w:szCs w:val="32"/>
        </w:rPr>
        <w:t>各直属海关相关业务现场。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十八、预约办理：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十九、网上支付：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 w:hint="eastAsia"/>
          <w:bCs/>
          <w:spacing w:val="-4"/>
          <w:sz w:val="32"/>
          <w:szCs w:val="32"/>
        </w:rPr>
        <w:t>二十、物流快递：</w:t>
      </w:r>
      <w:r>
        <w:rPr>
          <w:rFonts w:eastAsia="方正仿宋_GBK" w:cs="宋体" w:hint="eastAsia"/>
          <w:bCs/>
          <w:spacing w:val="-4"/>
          <w:kern w:val="0"/>
          <w:sz w:val="32"/>
          <w:szCs w:val="32"/>
        </w:rPr>
        <w:t>否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二十一、办理地点：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网上办理：</w:t>
      </w:r>
      <w:r>
        <w:rPr>
          <w:rFonts w:eastAsia="方正仿宋_GBK"/>
          <w:spacing w:val="-4"/>
          <w:sz w:val="32"/>
          <w:szCs w:val="32"/>
        </w:rPr>
        <w:t>“互联网+海关”一体化网上办事平台（http://online.customs.gov.cn）或中国国际贸易单一窗口（以下简称“单一窗口”）（http://www.singlewindow.cn）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ascii="方正黑体_GBK" w:eastAsia="方正黑体_GBK" w:hint="eastAsia"/>
          <w:bCs/>
          <w:sz w:val="32"/>
          <w:szCs w:val="32"/>
        </w:rPr>
        <w:t>内蒙古阿拉善盟额济纳旗额济纳海关政务服务大厅。</w:t>
      </w:r>
    </w:p>
    <w:p>
      <w:pPr>
        <w:wordWrap w:val="0"/>
        <w:spacing w:line="560" w:lineRule="exact"/>
        <w:ind w:firstLineChars="200" w:firstLine="624"/>
        <w:rPr>
          <w:rFonts w:eastAsia="方正黑体_GBK"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二十二、办理时间：</w:t>
      </w:r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网上</w:t>
      </w:r>
      <w:r>
        <w:rPr>
          <w:rFonts w:eastAsia="方正楷体_GBK" w:hint="eastAsia"/>
          <w:b/>
          <w:bCs/>
          <w:spacing w:val="-4"/>
          <w:sz w:val="32"/>
          <w:szCs w:val="32"/>
        </w:rPr>
        <w:t>申请</w:t>
      </w:r>
      <w:r>
        <w:rPr>
          <w:rFonts w:eastAsia="方正楷体_GBK"/>
          <w:b/>
          <w:bCs/>
          <w:spacing w:val="-4"/>
          <w:sz w:val="32"/>
          <w:szCs w:val="32"/>
        </w:rPr>
        <w:t>：</w:t>
      </w:r>
      <w:r>
        <w:rPr>
          <w:rFonts w:eastAsia="方正仿宋_GBK"/>
          <w:bCs/>
          <w:spacing w:val="-4"/>
          <w:sz w:val="32"/>
          <w:szCs w:val="32"/>
        </w:rPr>
        <w:t>24小时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  <w:bookmarkStart w:id="0" w:name="_GoBack"/>
      <w:bookmarkEnd w:id="0"/>
    </w:p>
    <w:p>
      <w:pPr>
        <w:wordWrap w:val="0"/>
        <w:spacing w:line="560" w:lineRule="exact"/>
        <w:ind w:firstLineChars="200" w:firstLine="624"/>
        <w:rPr>
          <w:rFonts w:eastAsia="方正楷体_GBK"/>
          <w:b/>
          <w:bCs/>
          <w:spacing w:val="-4"/>
          <w:sz w:val="32"/>
          <w:szCs w:val="32"/>
        </w:rPr>
      </w:pPr>
      <w:r>
        <w:rPr>
          <w:rFonts w:eastAsia="方正楷体_GBK"/>
          <w:b/>
          <w:bCs/>
          <w:spacing w:val="-4"/>
          <w:sz w:val="32"/>
          <w:szCs w:val="32"/>
        </w:rPr>
        <w:t>窗口办理：</w:t>
      </w:r>
      <w:r>
        <w:rPr>
          <w:rFonts w:eastAsia="方正仿宋_GBK" w:hint="eastAsia"/>
          <w:bCs/>
          <w:spacing w:val="-4"/>
          <w:sz w:val="32"/>
          <w:szCs w:val="32"/>
        </w:rPr>
        <w:t>额济纳海关</w:t>
      </w:r>
      <w:r>
        <w:rPr>
          <w:rFonts w:eastAsia="方正仿宋_GBK"/>
          <w:bCs/>
          <w:spacing w:val="-4"/>
          <w:sz w:val="32"/>
          <w:szCs w:val="32"/>
        </w:rPr>
        <w:t>工作时间</w:t>
      </w:r>
      <w:r>
        <w:rPr>
          <w:rFonts w:eastAsia="方正仿宋_GBK" w:hint="eastAsia"/>
          <w:bCs/>
          <w:spacing w:val="-4"/>
          <w:sz w:val="32"/>
          <w:szCs w:val="32"/>
        </w:rPr>
        <w:t>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二十三、咨询电话：</w:t>
      </w:r>
      <w:r>
        <w:rPr>
          <w:rFonts w:eastAsia="方正仿宋_GBK" w:hint="eastAsia"/>
          <w:bCs/>
          <w:spacing w:val="-4"/>
          <w:sz w:val="32"/>
          <w:szCs w:val="32"/>
        </w:rPr>
        <w:t>0483-6962345或</w:t>
      </w:r>
      <w:r>
        <w:rPr>
          <w:rFonts w:eastAsia="方正仿宋_GBK" w:hint="eastAsia"/>
          <w:b/>
          <w:bCs/>
          <w:spacing w:val="-4"/>
          <w:sz w:val="32"/>
          <w:szCs w:val="32"/>
        </w:rPr>
        <w:t xml:space="preserve"> </w:t>
      </w:r>
      <w:r>
        <w:rPr>
          <w:rFonts w:eastAsia="方正仿宋_GBK" w:hint="eastAsia"/>
          <w:bCs/>
          <w:spacing w:val="-4"/>
          <w:sz w:val="32"/>
          <w:szCs w:val="32"/>
        </w:rPr>
        <w:t>12360海关服务热线。</w:t>
      </w:r>
    </w:p>
    <w:p>
      <w:pPr>
        <w:wordWrap w:val="0"/>
        <w:spacing w:line="560" w:lineRule="exact"/>
        <w:ind w:firstLineChars="200" w:firstLine="624"/>
        <w:rPr>
          <w:rFonts w:eastAsia="方正仿宋_GBK"/>
          <w:b/>
          <w:bCs/>
          <w:spacing w:val="-4"/>
          <w:sz w:val="32"/>
          <w:szCs w:val="32"/>
        </w:rPr>
      </w:pPr>
      <w:r>
        <w:rPr>
          <w:rFonts w:eastAsia="方正黑体_GBK"/>
          <w:bCs/>
          <w:spacing w:val="-4"/>
          <w:sz w:val="32"/>
          <w:szCs w:val="32"/>
        </w:rPr>
        <w:t>二十四、监督电话：</w:t>
      </w:r>
      <w:r>
        <w:rPr>
          <w:rFonts w:eastAsia="方正仿宋_GBK" w:hint="eastAsia"/>
          <w:b/>
          <w:bCs/>
          <w:spacing w:val="-4"/>
          <w:sz w:val="32"/>
          <w:szCs w:val="32"/>
        </w:rPr>
        <w:t xml:space="preserve"> </w:t>
      </w:r>
      <w:r>
        <w:rPr>
          <w:rFonts w:eastAsia="方正仿宋_GBK" w:hint="eastAsia"/>
          <w:bCs/>
          <w:spacing w:val="-4"/>
          <w:sz w:val="32"/>
          <w:szCs w:val="32"/>
        </w:rPr>
        <w:t>12360海关服务热线。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altName w:val="微软雅黑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仿宋_GBK">
    <w:altName w:val="微软雅黑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方正楷体_GBK">
    <w:altName w:val="微软雅黑"/>
    <w:panose1 w:val="00000000000000000000"/>
    <w:charset w:val="86"/>
    <w:family w:val="script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0000000000000000000"/>
    <w:charset w:val="86"/>
    <w:family w:val="modern"/>
    <w:pitch w:val="variable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next w:val="0"/>
    <w:pPr>
      <w:keepNext/>
      <w:widowControl w:val="0"/>
      <w:jc w:val="both"/>
      <w:outlineLvl w:val="0"/>
    </w:pPr>
    <w:rPr>
      <w:rFonts w:ascii="仿宋_GB2312" w:eastAsia="仿宋_GB2312" w:cs="Times New Roman"/>
      <w:kern w:val="2"/>
      <w:sz w:val="28"/>
      <w:lang w:val="en-US" w:eastAsia="zh-CN" w:bidi="ar-SA"/>
    </w:rPr>
  </w:style>
  <w:style w:type="paragraph" w:styleId="2">
    <w:name w:val="heading 2"/>
    <w:next w:val="0"/>
    <w:pPr>
      <w:keepNext/>
      <w:widowControl w:val="0"/>
      <w:jc w:val="center"/>
      <w:outlineLvl w:val="1"/>
    </w:pPr>
    <w:rPr>
      <w:rFonts w:ascii="宋体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3"/>
    <w:next w:val="0"/>
    <w:pPr>
      <w:keepNext/>
      <w:widowControl w:val="0"/>
      <w:adjustRightInd w:val="0"/>
      <w:snapToGrid w:val="0"/>
      <w:spacing w:line="220" w:lineRule="exact"/>
      <w:jc w:val="both"/>
      <w:outlineLvl w:val="2"/>
    </w:pPr>
    <w:rPr>
      <w:rFonts w:ascii="Times New Roman" w:eastAsia="宋体" w:cs="Times New Roman" w:hAnsi="Times New Roman"/>
      <w:b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character" w:styleId="15">
    <w:name w:val="annotation reference"/>
    <w:rPr>
      <w:sz w:val="21"/>
      <w:szCs w:val="21"/>
    </w:rPr>
  </w:style>
  <w:style w:type="paragraph" w:styleId="16">
    <w:name w:val="annotation subject"/>
    <w:next w:val="18"/>
    <w:pPr>
      <w:widowControl w:val="0"/>
    </w:pPr>
    <w:rPr>
      <w:rFonts w:ascii="Times New Roman" w:eastAsia="方正仿宋_GBK" w:cs="Times New Roman" w:hAnsi="Times New Roman"/>
      <w:b/>
      <w:bCs/>
      <w:kern w:val="2"/>
      <w:sz w:val="32"/>
      <w:szCs w:val="22"/>
      <w:lang w:val="en-US" w:eastAsia="zh-CN" w:bidi="ar-SA"/>
    </w:rPr>
  </w:style>
  <w:style w:type="paragraph" w:styleId="17">
    <w:name w:val="footer"/>
    <w:next w:val="16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宋体" w:cs="Times New Roman" w:hAnsi="Times New Roman"/>
      <w:kern w:val="2"/>
      <w:sz w:val="18"/>
      <w:szCs w:val="18"/>
      <w:lang w:val="en-US" w:eastAsia="zh-CN" w:bidi="ar-SA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Body Text"/>
    <w:next w:val="22"/>
    <w:pPr>
      <w:widowControl w:val="0"/>
      <w:spacing w:after="12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0">
    <w:name w:val="annotation text"/>
    <w:next w:val="18"/>
    <w:pPr>
      <w:widowControl w:val="0"/>
    </w:pPr>
    <w:rPr>
      <w:rFonts w:ascii="Times New Roman" w:eastAsia="方正仿宋_GBK" w:cs="Times New Roman" w:hAnsi="Times New Roman"/>
      <w:kern w:val="2"/>
      <w:sz w:val="32"/>
      <w:szCs w:val="22"/>
      <w:lang w:val="en-US" w:eastAsia="zh-CN" w:bidi="ar-SA"/>
    </w:rPr>
  </w:style>
  <w:style w:type="paragraph" w:styleId="21">
    <w:name w:val="Normal (Web)"/>
    <w:next w:val="23"/>
    <w:pPr>
      <w:spacing w:before="100" w:beforeAutospacing="1" w:after="100" w:afterAutospacing="1"/>
    </w:pPr>
    <w:rPr>
      <w:rFonts w:ascii="宋体" w:eastAsia="宋体" w:cs="Times New Roman"/>
      <w:sz w:val="24"/>
      <w:szCs w:val="24"/>
      <w:lang w:val="en-US" w:eastAsia="zh-CN" w:bidi="ar-SA"/>
    </w:rPr>
  </w:style>
  <w:style w:type="paragraph" w:styleId="22">
    <w:name w:val="index 5"/>
    <w:basedOn w:val="0"/>
    <w:next w:val="0"/>
    <w:pPr>
      <w:ind w:left="1680"/>
    </w:pPr>
  </w:style>
  <w:style w:type="paragraph" w:styleId="23">
    <w:name w:val="Body Text Indent 2"/>
    <w:next w:val="19"/>
    <w:pPr>
      <w:widowControl w:val="0"/>
      <w:spacing w:after="120" w:line="480" w:lineRule="auto"/>
      <w:ind w:leftChars="200" w:left="20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24">
    <w:name w:val="Balloon Text"/>
    <w:basedOn w:val="0"/>
    <w:rPr>
      <w:sz w:val="18"/>
      <w:szCs w:val="18"/>
    </w:rPr>
  </w:style>
  <w:style w:type="paragraph" w:customStyle="1" w:styleId="25">
    <w:name w:val="列出段落1"/>
    <w:next w:val="17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emf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10</TotalTime>
  <Application>Yozo_Office</Application>
  <Pages>8</Pages>
  <Words>3281</Words>
  <Characters>3544</Characters>
  <Lines>187</Lines>
  <Paragraphs>81</Paragraphs>
  <CharactersWithSpaces>3551</CharactersWithSpaces>
  <Company>ms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海关系统行政审批事项服务指南（一）</dc:title>
  <dc:creator>wang_jia2</dc:creator>
  <cp:lastModifiedBy>巴桑次仁</cp:lastModifiedBy>
  <cp:revision>5</cp:revision>
  <dcterms:created xsi:type="dcterms:W3CDTF">2019-08-07T11:18:00Z</dcterms:created>
  <dcterms:modified xsi:type="dcterms:W3CDTF">2023-11-23T12:07:50Z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2052-9.1.0.5060</vt:lpwstr>
  </property>
</Properties>
</file>